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11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November 5,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Parabolic Technologies,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pPr>
            <w: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B_edei--EntityFileNumber_c20261105"/>
            <w:bookmarkEnd w:id="6"/>
            <w:r>
              <w:rPr>
                <w:rFonts w:ascii="Times New Roman;Times;Serif" w:hAnsi="Times New Roman;Times;Serif"/>
                <w:b/>
                <w:i w:val="false"/>
                <w:caps w:val="false"/>
                <w:smallCaps w:val="false"/>
                <w:sz w:val="20"/>
              </w:rPr>
              <w:t>001-39826</w:t>
            </w:r>
          </w:p>
        </w:tc>
        <w:tc>
          <w:tcPr>
            <w:tcW w:w="60" w:type="dxa"/>
            <w:tcBorders/>
            <w:vAlign w:val="center"/>
          </w:tcPr>
          <w:p>
            <w:pPr>
              <w:pStyle w:val="TableContents"/>
              <w:bidi w:val="0"/>
              <w:spacing w:before="0" w:after="283"/>
              <w:jc w:val="left"/>
            </w:pPr>
            <w: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85-3118980</w:t>
            </w:r>
          </w:p>
        </w:tc>
      </w:tr>
      <w:tr>
        <w:tc>
          <w:tcPr>
            <w:tcW w:w="216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pPr>
            <w: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pPr>
            <w: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jc w:val="center"/>
      </w:pPr>
      <w:r>
        <w:t> </w:t>
      </w:r>
    </w:p>
    <w:p>
      <w:pPr>
        <w:pStyle w:val="TextBody"/>
        <w:bidi w:val="0"/>
        <w:spacing w:before="0" w:after="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435 Ericksen Ave </w:t>
      </w:r>
      <w:bookmarkStart w:id="9" w:name="xdx_904_edei--EntityAddressAddressLine2_"/>
      <w:bookmarkEnd w:id="9"/>
      <w:r>
        <w:rPr>
          <w:rFonts w:ascii="Times New Roman;Times;Serif" w:hAnsi="Times New Roman;Times;Serif"/>
          <w:b/>
          <w:i w:val="false"/>
          <w:caps w:val="false"/>
          <w:smallCaps w:val="false"/>
          <w:sz w:val="20"/>
        </w:rPr>
        <w:t>Suite 250</w:t>
      </w:r>
    </w:p>
    <w:p>
      <w:pPr>
        <w:pStyle w:val="TextBody"/>
        <w:bidi w:val="0"/>
        <w:spacing w:before="0" w:after="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Bainbridge Island, </w:t>
      </w:r>
      <w:bookmarkStart w:id="11" w:name="xdx_909_edei--EntityAddressStateOrProvin"/>
      <w:bookmarkEnd w:id="11"/>
      <w:r>
        <w:rPr>
          <w:rFonts w:ascii="Times New Roman;Times;Serif" w:hAnsi="Times New Roman;Times;Serif"/>
          <w:b/>
          <w:i w:val="false"/>
          <w:caps w:val="false"/>
          <w:smallCaps w:val="false"/>
          <w:sz w:val="20"/>
        </w:rPr>
        <w:t xml:space="preserve">Washington </w:t>
      </w:r>
      <w:bookmarkStart w:id="12" w:name="xdx_906_edei--EntityAddressPostalZipCode"/>
      <w:bookmarkEnd w:id="12"/>
      <w:r>
        <w:rPr>
          <w:rFonts w:ascii="Times New Roman;Times;Serif" w:hAnsi="Times New Roman;Times;Serif"/>
          <w:b/>
          <w:i w:val="false"/>
          <w:caps w:val="false"/>
          <w:smallCaps w:val="false"/>
          <w:sz w:val="20"/>
        </w:rPr>
        <w:t>98110</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3_edei--CityAreaCode_c20261105__20"/>
      <w:bookmarkEnd w:id="13"/>
      <w:r>
        <w:rPr>
          <w:rFonts w:ascii="Times New Roman;Times;Serif" w:hAnsi="Times New Roman;Times;Serif"/>
          <w:b/>
          <w:i w:val="false"/>
          <w:caps w:val="false"/>
          <w:smallCaps w:val="false"/>
          <w:sz w:val="20"/>
        </w:rPr>
        <w:t xml:space="preserve">206) </w:t>
      </w:r>
      <w:bookmarkStart w:id="14" w:name="xdx_907_edei--LocalPhoneNumber_c20261105"/>
      <w:bookmarkEnd w:id="14"/>
      <w:r>
        <w:rPr>
          <w:rFonts w:ascii="Times New Roman;Times;Serif" w:hAnsi="Times New Roman;Times;Serif"/>
          <w:b/>
          <w:i w:val="false"/>
          <w:caps w:val="false"/>
          <w:smallCaps w:val="false"/>
          <w:sz w:val="20"/>
        </w:rPr>
        <w:t>414-1777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5" w:name="xdx_908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6" w:name="xdx_907_edei--SolicitingMaterial_c202611"/>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7" w:name="xdx_906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bookmarkStart w:id="18" w:name="xdx_909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283"/>
        <w:jc w:val="left"/>
      </w:pPr>
      <w: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21"/>
        <w:gridCol w:w="60"/>
        <w:gridCol w:w="1214"/>
        <w:gridCol w:w="60"/>
        <w:gridCol w:w="2450"/>
      </w:tblGrid>
      <w:tr>
        <w:tc>
          <w:tcPr>
            <w:tcW w:w="64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1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Name of each exchange on which registered</w:t>
            </w:r>
          </w:p>
        </w:tc>
      </w:tr>
      <w:tr>
        <w:tc>
          <w:tcPr>
            <w:tcW w:w="64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61105"/>
            <w:bookmarkEnd w:id="19"/>
            <w:r>
              <w:rPr>
                <w:rFonts w:ascii="Times New Roman;Times;Serif" w:hAnsi="Times New Roman;Times;Serif"/>
                <w:b w:val="false"/>
                <w:i w:val="false"/>
                <w:caps w:val="false"/>
                <w:smallCaps w:val="false"/>
                <w:sz w:val="20"/>
              </w:rPr>
              <w:t>Class A 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61105__2"/>
            <w:bookmarkEnd w:id="20"/>
            <w:r>
              <w:rPr>
                <w:rFonts w:ascii="Times New Roman;Times;Serif" w:hAnsi="Times New Roman;Times;Serif"/>
                <w:b w:val="false"/>
                <w:i w:val="false"/>
                <w:caps w:val="false"/>
                <w:smallCaps w:val="false"/>
                <w:sz w:val="20"/>
              </w:rPr>
              <w:t>PARA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8_edei--SecurityExchangeName_c2026"/>
            <w:bookmarkEnd w:id="21"/>
            <w:r>
              <w:rPr>
                <w:rFonts w:ascii="Times New Roman;Times;Serif" w:hAnsi="Times New Roman;Times;Serif"/>
                <w:b w:val="false"/>
                <w:i w:val="false"/>
                <w:caps w:val="false"/>
                <w:smallCaps w:val="false"/>
                <w:sz w:val="20"/>
              </w:rPr>
              <w:t>Nasdaq Capital Market</w:t>
            </w:r>
          </w:p>
        </w:tc>
      </w:tr>
      <w:tr>
        <w:tc>
          <w:tcPr>
            <w:tcW w:w="64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12bTitle_c20261105"/>
            <w:bookmarkEnd w:id="22"/>
            <w:r>
              <w:rPr>
                <w:rFonts w:ascii="Times New Roman;Times;Serif" w:hAnsi="Times New Roman;Times;Serif"/>
                <w:b w:val="false"/>
                <w:i w:val="false"/>
                <w:caps w:val="false"/>
                <w:smallCaps w:val="false"/>
                <w:sz w:val="20"/>
              </w:rPr>
              <w:t>Redeemable Warrants, each whole warrant exercisable for one share of Class A common stock at an exercise price of $1,150,000.00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8_edei--TradingSymbol_c20261105__2"/>
            <w:bookmarkEnd w:id="23"/>
            <w:r>
              <w:rPr>
                <w:rFonts w:ascii="Times New Roman;Times;Serif" w:hAnsi="Times New Roman;Times;Serif"/>
                <w:b w:val="false"/>
                <w:i w:val="false"/>
                <w:caps w:val="false"/>
                <w:smallCaps w:val="false"/>
                <w:sz w:val="20"/>
              </w:rPr>
              <w:t>PARAW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E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1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w:t>
            </w:r>
          </w:p>
        </w:tc>
        <w:tc>
          <w:tcPr>
            <w:tcW w:w="37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2026, Parabolic Technologies,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with Aegis Capital Corp. (“</w:t>
      </w:r>
      <w:r>
        <w:rPr>
          <w:rFonts w:ascii="Times New Roman;Times;Serif" w:hAnsi="Times New Roman;Times;Serif"/>
          <w:b/>
          <w:i w:val="false"/>
          <w:caps w:val="false"/>
          <w:smallCaps w:val="false"/>
          <w:sz w:val="20"/>
        </w:rPr>
        <w:t>Aegis</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relating to the Company’s public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of $13,500,000 of securities, including (i) 4,963,235 units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with each Unit consisting of (a) one share (each, a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Class A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or one pre-funded warrant to purchase one share of Common Stock in lieu thereof (each, a “</w:t>
      </w:r>
      <w:r>
        <w:rPr>
          <w:rFonts w:ascii="Times New Roman;Times;Serif" w:hAnsi="Times New Roman;Times;Serif"/>
          <w:b/>
          <w:i w:val="false"/>
          <w:caps w:val="false"/>
          <w:smallCaps w:val="false"/>
          <w:sz w:val="20"/>
        </w:rPr>
        <w:t>Pre-Funded Warrant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(b) two warrants, each exercisable to purchase one share of Common Stock (each, a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(ii) up to 9,926,470 shares of Common Stock issuable upon exercise of the Warrants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(iii) up to 4,963,235 shares of Common Stock issuable upon exercise of the Pre-Funded Warrants (the “</w:t>
      </w:r>
      <w:r>
        <w:rPr>
          <w:rFonts w:ascii="Times New Roman;Times;Serif" w:hAnsi="Times New Roman;Times;Serif"/>
          <w:b/>
          <w:i w:val="false"/>
          <w:caps w:val="false"/>
          <w:smallCaps w:val="false"/>
          <w:sz w:val="20"/>
        </w:rPr>
        <w:t>Pre-Funded Warrant Shares</w:t>
      </w:r>
      <w:r>
        <w:rPr>
          <w:rFonts w:ascii="Times New Roman;Times;Serif" w:hAnsi="Times New Roman;Times;Serif"/>
          <w:b w:val="false"/>
          <w:i w:val="false"/>
          <w:caps w:val="false"/>
          <w:smallCaps w:val="false"/>
          <w:sz w:val="20"/>
        </w:rPr>
        <w:t>”); and (iv) additional shares of Common Stock sold in the offering (the “</w:t>
      </w:r>
      <w:r>
        <w:rPr>
          <w:rFonts w:ascii="Times New Roman;Times;Serif" w:hAnsi="Times New Roman;Times;Serif"/>
          <w:b/>
          <w:i w:val="false"/>
          <w:caps w:val="false"/>
          <w:smallCaps w:val="false"/>
          <w:sz w:val="20"/>
        </w:rPr>
        <w:t>Option Shares</w:t>
      </w:r>
      <w:r>
        <w:rPr>
          <w:rFonts w:ascii="Times New Roman;Times;Serif" w:hAnsi="Times New Roman;Times;Serif"/>
          <w:b w:val="false"/>
          <w:i w:val="false"/>
          <w:caps w:val="false"/>
          <w:smallCaps w:val="false"/>
          <w:sz w:val="20"/>
        </w:rPr>
        <w:t>”) and/or Warrants to purchase additional shares of Common Stock (the “</w:t>
      </w:r>
      <w:r>
        <w:rPr>
          <w:rFonts w:ascii="Times New Roman;Times;Serif" w:hAnsi="Times New Roman;Times;Serif"/>
          <w:b/>
          <w:i w:val="false"/>
          <w:caps w:val="false"/>
          <w:smallCaps w:val="false"/>
          <w:sz w:val="20"/>
        </w:rPr>
        <w:t>Option Warrants,</w:t>
      </w:r>
      <w:r>
        <w:rPr>
          <w:rFonts w:ascii="Times New Roman;Times;Serif" w:hAnsi="Times New Roman;Times;Serif"/>
          <w:b w:val="false"/>
          <w:i w:val="false"/>
          <w:caps w:val="false"/>
          <w:smallCaps w:val="false"/>
          <w:sz w:val="20"/>
        </w:rPr>
        <w:t>” together with the Option Shares, the “</w:t>
      </w:r>
      <w:r>
        <w:rPr>
          <w:rFonts w:ascii="Times New Roman;Times;Serif" w:hAnsi="Times New Roman;Times;Serif"/>
          <w:b/>
          <w:i w:val="false"/>
          <w:caps w:val="false"/>
          <w:smallCaps w:val="false"/>
          <w:sz w:val="20"/>
        </w:rPr>
        <w:t>Option Securities,</w:t>
      </w:r>
      <w:r>
        <w:rPr>
          <w:rFonts w:ascii="Times New Roman;Times;Serif" w:hAnsi="Times New Roman;Times;Serif"/>
          <w:b w:val="false"/>
          <w:i w:val="false"/>
          <w:caps w:val="false"/>
          <w:smallCaps w:val="false"/>
          <w:sz w:val="20"/>
        </w:rPr>
        <w:t>” which for purposes of this Report, includes all shares of Common Stock underlying such Option Securities) for which the Underwriter (as hereinafter defined) has been granted an over-allotment option</w:t>
      </w:r>
      <w:r>
        <w:rPr>
          <w:rFonts w:ascii="Times New Roman;Times;Serif" w:hAnsi="Times New Roman;Times;Serif"/>
          <w:b w:val="false"/>
          <w:i w:val="false"/>
          <w:caps w:val="false"/>
          <w:smallCaps w:val="false"/>
          <w:sz w:val="20"/>
          <w:shd w:fill="FFFFFF" w:val="clear"/>
        </w:rPr>
        <w:t>, pursuant to the terms and provisions of the U</w:t>
      </w:r>
      <w:r>
        <w:rPr>
          <w:rFonts w:ascii="Times New Roman;Times;Serif" w:hAnsi="Times New Roman;Times;Serif"/>
          <w:b w:val="false"/>
          <w:i w:val="false"/>
          <w:caps w:val="false"/>
          <w:smallCaps w:val="false"/>
          <w:sz w:val="20"/>
        </w:rPr>
        <w:t>nderwriting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public offering price per Unit is $2.72 and the public offering price per Pre-Funded Unit is $2.71999, which is equal to the public offering price per Unit minus the exercise price of $0.00001 per Pre-Funded Warrant. The initial exercise price of each Warrant is $6.80 per Share, which is equal to </w:t>
      </w:r>
      <w:r>
        <w:rPr>
          <w:rFonts w:ascii="Times New Roman;Times;Serif" w:hAnsi="Times New Roman;Times;Serif"/>
          <w:b w:val="false"/>
          <w:i w:val="false"/>
          <w:caps w:val="false"/>
          <w:smallCaps w:val="false"/>
          <w:sz w:val="20"/>
          <w:shd w:fill="FFFFFF" w:val="clear"/>
        </w:rPr>
        <w:t>250% of the public offering price per Unit</w:t>
      </w:r>
      <w:r>
        <w:rPr>
          <w:rFonts w:ascii="Times New Roman;Times;Serif" w:hAnsi="Times New Roman;Times;Serif"/>
          <w:b w:val="false"/>
          <w:i w:val="false"/>
          <w:caps w:val="false"/>
          <w:smallCaps w:val="false"/>
          <w:sz w:val="20"/>
        </w:rPr>
        <w:t xml:space="preserve">. The Warrants will be immediately exercisable and will expire on the fifth year after the initial date of issuance. The Company received net proceeds of approximately $5.512 million from the Offering, after deducting the Offering expenses payable by the Company, including the Underwriter’s discounts and commissions. The Company intends to use the net proceeds from the Offering for </w:t>
      </w:r>
      <w:r>
        <w:rPr>
          <w:rFonts w:ascii="Times New Roman;Times;Serif" w:hAnsi="Times New Roman;Times;Serif"/>
          <w:b w:val="false"/>
          <w:i w:val="false"/>
          <w:caps w:val="false"/>
          <w:smallCaps w:val="false"/>
          <w:sz w:val="20"/>
          <w:shd w:fill="FFFFFF" w:val="clear"/>
        </w:rPr>
        <w:t>working capital and other general corporate purposes, and repayment of indebtedness.</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revised a few immaterial provisions of the Warrants, the form of which were previously filed as exhibits to the Registration Statement (as hereinafter defined); the final form of the Warrants is attached hereto as Exhibit 4.1. The Warrants provide for downward exercise-price resets on the fifth and tenth trading days after issuance to the lower of the then-current exercise price and 80% of the lowest volume weighted average price during the applicable measurement period, subject to the floor prices specified in the Warrants. Each reset correspondingly increases the number of Warrant Shares issuable, and holders remain entitled to additional shares resulting from the resets even if they previously exercised their Warrants in full. Following issuance, holders may also elect a “zero exercise price option” to receive, for no additional cash, 90% of the shares otherwise issuable upon cash exercise, after applicable adjustments, whether or not an effective registration statement is available for issuance or resale of the Warrant Shares. This summary is qualified in its entirety by the form of Warrant filed as an exhibit 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granted the Underwriter a 45-day option to purchase up to 744,485 additional Shares (15.0% of the Common Shares included in the Units and the Pre-Funded Units sold in the Offering), at a price of $2.5024 per Share; and/or up to 1,488,970 additional Warrants to purchase an aggregate of an additional 1,488,970 Shares (15.0% of the Warrants included in the Units and Pre-Funded Units sold in the Offering) at a price of $0.00001 per Warrant. The Underwriter may exercise this option with respect to the Shares only, Warrants only or any combination thereof. On November 5, 2026, the Underwriter exercised its over-allotment option with respect to 360,000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were offered and sold pursuant to the Company’s Registration Statement on Form S-1 (File No. 333-299744), originally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October 30, 2026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The Registration Statement was declared effective by the Commission on November 3, 2026. The closing of the Offering took place on November 5, 2026. A final prospectus describing the terms of the offering was filed with the Commission on November 5, 2026, and is available on the Commission’s website located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includes customary representations, warranties, and agreements by the Company, customary conditions to closing, indemnification obligations of the Company and the Underwriter, including for liabilities under the Securities Act, other obligations of the parties and termination provisions. The representations, warranties and covenants contained in the Underwriting Agreement were made only for purposes of the Underwriting Agreement and as of the specific applicable dates contained in the Underwriting Agreement, were solely for the benefit of the parties to the Underwriting Agreement and were subject to limitations agreed upon by the contracting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is filed as Exhibit 1.1 to this report and is incorporated herein by reference. The foregoing is only a brief description of the terms of the Underwriting Agreement and the Warrants and does not purport to be a complete statement of the rights and obligations of the parties thereto and the transactions contemplated thereby, and is qualified in its entirety by reference to the full text of such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legal opinion of Hunter, Taubman, Fischer &amp; Li LLC, relating to the validity of the issuance and sale of the shares of Common Stock in the Offering, is filed as Exhibit 5.1 to this Current Report on Form 8-K and is filed with reference to, and is hereby incorporated by reference into,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2026, the Company issued a press release announcing the Offering, a copy of which is attached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2026, the Company issued a press release announcing the pricing of the Offering, a copy of which is attached as Exhibit 99.2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99.1 and Exhibit 99.2, shall not be deemed “filed” for purposes of Section 18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into any filing under the Securities Act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filing may be considered forward-looking statements within the meaning of the Private Securities Litigation Reform Act of 1995, including statements regarding the transactions contemplated by the Underwriting Agreement. These forward-looking statements generally include statements that are predictive in nature and depend upon or refer to future events or conditions and include words such as “believes,” “plans,” “anticipates,” “projects,” “estimates,” “expects,” “intends,” “strategy,” “future,” “opportunity,” “may,” “will,” “should,” “could,” “potential,” or similar expressions. Statements that are not historical facts are forward-looking statements. Forward-looking statements are based on current beliefs and assumptions that are subject to risks and uncertainties. Forward-looking statements speak only as of the date they are made, and Parabolic undertakes no obligation to update any of them publicly in light of new information or future events. Actual results could differ materially from those contained in any forward-looking statement as a result of various factors. Parabolic may be adversely affected by other economic, business, and/or competitive factors. Additional factors that may affect the future results of Parabolic are set forth in its filings with the SEC, including Parabolic’s most recently filed Annual Report on Form 10-K, subsequent Quarterly Reports on Form 10-Q, Current Reports on Form 8-K and other filings with the SEC, which are available on the SEC’s website at www.sec.gov, specifically under the heading “Risk Factors.” The risks and uncertainties described above and in Parabolic’s filings with the SEC are not exclusive. Readers are urged to consider these factors carefully in evaluating these forward-looking statements, and not to place undue reliance on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45"/>
        <w:gridCol w:w="755"/>
      </w:tblGrid>
      <w:t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pPr>
            <w:hyperlink w:anchor="ex1-1.htm">
              <w:r>
                <w:rPr>
                  <w:rStyle w:val="InternetLink"/>
                  <w:rFonts w:ascii="Times New Roman;Times;Serif" w:hAnsi="Times New Roman;Times;Serif"/>
                  <w:b w:val="false"/>
                  <w:i w:val="false"/>
                  <w:caps w:val="false"/>
                  <w:smallCaps w:val="false"/>
                  <w:sz w:val="20"/>
                </w:rPr>
                <w:t>Underwriting Agreement</w:t>
              </w:r>
            </w:hyperlink>
          </w:p>
        </w:tc>
      </w:tr>
      <w:t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pPr>
            <w:hyperlink w:anchor="ex4-1.htm">
              <w:r>
                <w:rPr>
                  <w:rStyle w:val="InternetLink"/>
                  <w:rFonts w:ascii="Times New Roman;Times;Serif" w:hAnsi="Times New Roman;Times;Serif"/>
                  <w:b w:val="false"/>
                  <w:i w:val="false"/>
                  <w:caps w:val="false"/>
                  <w:smallCaps w:val="false"/>
                  <w:sz w:val="20"/>
                </w:rPr>
                <w:t>Form of Warrant</w:t>
              </w:r>
            </w:hyperlink>
          </w:p>
        </w:tc>
      </w:tr>
      <w:t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pPr>
            <w:hyperlink w:anchor="ex5-1.htm">
              <w:r>
                <w:rPr>
                  <w:rStyle w:val="InternetLink"/>
                  <w:rFonts w:ascii="Times New Roman;Times;Serif" w:hAnsi="Times New Roman;Times;Serif"/>
                  <w:b w:val="false"/>
                  <w:i w:val="false"/>
                  <w:caps w:val="false"/>
                  <w:smallCaps w:val="false"/>
                  <w:sz w:val="20"/>
                </w:rPr>
                <w:t>Opinion of Hunter Taubman Fischer &amp; Li LLC</w:t>
              </w:r>
            </w:hyperlink>
          </w:p>
        </w:tc>
      </w:tr>
      <w:t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pPr>
            <w:hyperlink w:anchor="ex99-1.htm">
              <w:r>
                <w:rPr>
                  <w:rStyle w:val="InternetLink"/>
                  <w:rFonts w:ascii="Times New Roman;Times;Serif" w:hAnsi="Times New Roman;Times;Serif"/>
                  <w:b w:val="false"/>
                  <w:i w:val="false"/>
                  <w:caps w:val="false"/>
                  <w:smallCaps w:val="false"/>
                  <w:sz w:val="20"/>
                </w:rPr>
                <w:t>Press Release dated November 5, 2026</w:t>
              </w:r>
            </w:hyperlink>
          </w:p>
        </w:tc>
      </w:tr>
      <w:t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pPr>
            <w:hyperlink w:anchor="ex99-2.htm">
              <w:r>
                <w:rPr>
                  <w:rStyle w:val="InternetLink"/>
                  <w:rFonts w:ascii="Times New Roman;Times;Serif" w:hAnsi="Times New Roman;Times;Serif"/>
                  <w:b w:val="false"/>
                  <w:i w:val="false"/>
                  <w:caps w:val="false"/>
                  <w:smallCaps w:val="false"/>
                  <w:sz w:val="20"/>
                </w:rPr>
                <w:t>Press Release, dated November 4, 2026</w:t>
              </w:r>
            </w:hyperlink>
          </w:p>
        </w:tc>
      </w:tr>
      <w:t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5, 2026</w:t>
      </w:r>
    </w:p>
    <w:p>
      <w:pPr>
        <w:pStyle w:val="TextBody"/>
        <w:bidi w:val="0"/>
        <w:spacing w:before="0" w:after="0"/>
        <w:ind w:left="0" w:right="0" w:hanging="0"/>
        <w:jc w:val="left"/>
        <w:rPr>
          <w:caps w:val="false"/>
          <w:smallCaps w:val="false"/>
        </w:rPr>
      </w:pPr>
      <w:r>
        <w:rPr>
          <w:caps w:val="false"/>
          <w:smallCaps w:val="false"/>
        </w:rPr>
        <w:t> </w:t>
      </w:r>
    </w:p>
    <w:tbl>
      <w:tblPr>
        <w:tblW w:w="3379" w:type="dxa"/>
        <w:jc w:val="left"/>
        <w:tblInd w:w="0" w:type="dxa"/>
        <w:tblLayout w:type="fixed"/>
        <w:tblCellMar>
          <w:top w:w="0" w:type="dxa"/>
          <w:left w:w="0" w:type="dxa"/>
          <w:bottom w:w="0" w:type="dxa"/>
          <w:right w:w="0" w:type="dxa"/>
        </w:tblCellMar>
      </w:tblPr>
      <w:tblGrid>
        <w:gridCol w:w="75"/>
        <w:gridCol w:w="464"/>
        <w:gridCol w:w="2840"/>
      </w:tblGrid>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PARABOLIC TECHNOLOGIES, INC.</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4"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6" w:name="ex1-1.htm"/>
      <w:bookmarkStart w:id="27" w:name="ksex1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4,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Capital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 27th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Parabolic Technologies,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agrees, subject to the terms and conditions in this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to issue and sell to Aegis Capital Corp. (the “</w:t>
      </w:r>
      <w:r>
        <w:rPr>
          <w:rFonts w:ascii="Times New Roman;Times;Serif" w:hAnsi="Times New Roman;Times;Serif"/>
          <w:b/>
          <w:i w:val="false"/>
          <w:caps w:val="false"/>
          <w:smallCaps w:val="false"/>
          <w:sz w:val="20"/>
          <w:u w:val="single"/>
        </w:rPr>
        <w:t>Underwriter</w:t>
      </w:r>
      <w:r>
        <w:rPr>
          <w:rFonts w:ascii="Times New Roman;Times;Serif" w:hAnsi="Times New Roman;Times;Serif"/>
          <w:b w:val="false"/>
          <w:i w:val="false"/>
          <w:caps w:val="false"/>
          <w:smallCaps w:val="false"/>
          <w:sz w:val="20"/>
        </w:rPr>
        <w:t>”) an aggregate of 4,963,235 of the Company’s units (each, a “</w:t>
      </w:r>
      <w:r>
        <w:rPr>
          <w:rFonts w:ascii="Times New Roman;Times;Serif" w:hAnsi="Times New Roman;Times;Serif"/>
          <w:b/>
          <w:i w:val="false"/>
          <w:caps w:val="false"/>
          <w:smallCaps w:val="false"/>
          <w:sz w:val="20"/>
          <w:u w:val="single"/>
        </w:rPr>
        <w:t>Closing Unit</w:t>
      </w:r>
      <w:r>
        <w:rPr>
          <w:rFonts w:ascii="Times New Roman;Times;Serif" w:hAnsi="Times New Roman;Times;Serif"/>
          <w:b w:val="false"/>
          <w:i w:val="false"/>
          <w:caps w:val="false"/>
          <w:smallCaps w:val="false"/>
          <w:sz w:val="20"/>
        </w:rPr>
        <w:t>”), with each Closing Unit consisting of either: (A) one (1) share of Class A Common Stock, $0.0001 par value per share of the Company (the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and two (2) warrants (“</w:t>
      </w:r>
      <w:r>
        <w:rPr>
          <w:rFonts w:ascii="Times New Roman;Times;Serif" w:hAnsi="Times New Roman;Times;Serif"/>
          <w:b/>
          <w:i w:val="false"/>
          <w:caps w:val="false"/>
          <w:smallCaps w:val="false"/>
          <w:sz w:val="20"/>
          <w:u w:val="single"/>
        </w:rPr>
        <w:t>Warrant</w:t>
      </w:r>
      <w:r>
        <w:rPr>
          <w:rFonts w:ascii="Times New Roman;Times;Serif" w:hAnsi="Times New Roman;Times;Serif"/>
          <w:b w:val="false"/>
          <w:i w:val="false"/>
          <w:caps w:val="false"/>
          <w:smallCaps w:val="false"/>
          <w:sz w:val="20"/>
        </w:rPr>
        <w:t>”) to purchase one (1) share of Common Stock each at a per Share exercise price of $6.80 (representing 250.0% of the per Closing Common Unit (as defined below) offering price) (each, a “</w:t>
      </w:r>
      <w:r>
        <w:rPr>
          <w:rFonts w:ascii="Times New Roman;Times;Serif" w:hAnsi="Times New Roman;Times;Serif"/>
          <w:b/>
          <w:i w:val="false"/>
          <w:caps w:val="false"/>
          <w:smallCaps w:val="false"/>
          <w:sz w:val="20"/>
          <w:u w:val="single"/>
        </w:rPr>
        <w:t>Closing Common Unit</w:t>
      </w:r>
      <w:r>
        <w:rPr>
          <w:rFonts w:ascii="Times New Roman;Times;Serif" w:hAnsi="Times New Roman;Times;Serif"/>
          <w:b w:val="false"/>
          <w:i w:val="false"/>
          <w:caps w:val="false"/>
          <w:smallCaps w:val="false"/>
          <w:sz w:val="20"/>
        </w:rPr>
        <w:t>”); or (B) one (1) pre-funded warrant (each, a “</w:t>
      </w:r>
      <w:r>
        <w:rPr>
          <w:rFonts w:ascii="Times New Roman;Times;Serif" w:hAnsi="Times New Roman;Times;Serif"/>
          <w:b/>
          <w:i w:val="false"/>
          <w:caps w:val="false"/>
          <w:smallCaps w:val="false"/>
          <w:sz w:val="20"/>
          <w:u w:val="single"/>
        </w:rPr>
        <w:t>Pre-funded Warrant</w:t>
      </w:r>
      <w:r>
        <w:rPr>
          <w:rFonts w:ascii="Times New Roman;Times;Serif" w:hAnsi="Times New Roman;Times;Serif"/>
          <w:b w:val="false"/>
          <w:i w:val="false"/>
          <w:caps w:val="false"/>
          <w:smallCaps w:val="false"/>
          <w:sz w:val="20"/>
        </w:rPr>
        <w:t>”) to purchase one (1) share of Common Stock at an exercise price of $0.00001 and two (2) Warrants (each, a “</w:t>
      </w:r>
      <w:r>
        <w:rPr>
          <w:rFonts w:ascii="Times New Roman;Times;Serif" w:hAnsi="Times New Roman;Times;Serif"/>
          <w:b/>
          <w:i w:val="false"/>
          <w:caps w:val="false"/>
          <w:smallCaps w:val="false"/>
          <w:sz w:val="20"/>
          <w:u w:val="single"/>
        </w:rPr>
        <w:t>Closing Pre-funded Unit</w:t>
      </w:r>
      <w:r>
        <w:rPr>
          <w:rFonts w:ascii="Times New Roman;Times;Serif" w:hAnsi="Times New Roman;Times;Serif"/>
          <w:b w:val="false"/>
          <w:i w:val="false"/>
          <w:caps w:val="false"/>
          <w:smallCaps w:val="false"/>
          <w:sz w:val="20"/>
        </w:rPr>
        <w:t>”). The shares of Common Stock referred to in this Section are hereinafter referred to as the “</w:t>
      </w:r>
      <w:r>
        <w:rPr>
          <w:rFonts w:ascii="Times New Roman;Times;Serif" w:hAnsi="Times New Roman;Times;Serif"/>
          <w:b/>
          <w:i w:val="false"/>
          <w:caps w:val="false"/>
          <w:smallCaps w:val="false"/>
          <w:sz w:val="20"/>
          <w:u w:val="single"/>
        </w:rPr>
        <w:t>Closing Shares</w:t>
      </w:r>
      <w:r>
        <w:rPr>
          <w:rFonts w:ascii="Times New Roman;Times;Serif" w:hAnsi="Times New Roman;Times;Serif"/>
          <w:b w:val="false"/>
          <w:i w:val="false"/>
          <w:caps w:val="false"/>
          <w:smallCaps w:val="false"/>
          <w:sz w:val="20"/>
        </w:rPr>
        <w:t>”; the warrants referred to in this paragraph are hereinafter referred to as the “</w:t>
      </w:r>
      <w:r>
        <w:rPr>
          <w:rFonts w:ascii="Times New Roman;Times;Serif" w:hAnsi="Times New Roman;Times;Serif"/>
          <w:b/>
          <w:i w:val="false"/>
          <w:caps w:val="false"/>
          <w:smallCaps w:val="false"/>
          <w:sz w:val="20"/>
          <w:u w:val="single"/>
        </w:rPr>
        <w:t>Closing Warrants</w:t>
      </w:r>
      <w:r>
        <w:rPr>
          <w:rFonts w:ascii="Times New Roman;Times;Serif" w:hAnsi="Times New Roman;Times;Serif"/>
          <w:b w:val="false"/>
          <w:i w:val="false"/>
          <w:caps w:val="false"/>
          <w:smallCaps w:val="false"/>
          <w:sz w:val="20"/>
        </w:rPr>
        <w:t>”; and the Pre-funded Warrants referred to in this Section are hereinafter referred to as the “</w:t>
      </w:r>
      <w:r>
        <w:rPr>
          <w:rFonts w:ascii="Times New Roman;Times;Serif" w:hAnsi="Times New Roman;Times;Serif"/>
          <w:b/>
          <w:i w:val="false"/>
          <w:caps w:val="false"/>
          <w:smallCaps w:val="false"/>
          <w:sz w:val="20"/>
          <w:u w:val="single"/>
        </w:rPr>
        <w:t>Closing Pre-funded Warrants</w:t>
      </w:r>
      <w:r>
        <w:rPr>
          <w:rFonts w:ascii="Times New Roman;Times;Serif" w:hAnsi="Times New Roman;Times;Serif"/>
          <w:b w:val="false"/>
          <w:i w:val="false"/>
          <w:caps w:val="false"/>
          <w:smallCaps w:val="false"/>
          <w:sz w:val="20"/>
        </w:rPr>
        <w:t>.” No Closing Common Units will be certificated, and the Closing Shares and the Closing Warrants comprising the Closing Common Units will be separated immediately upon issuance. No Closing Pre-funded Units will be certificated, and the Closing Pre-funded Warrants and the Closing Warrants comprising the Closing Pre-funded Units will be separated immediately upon issuance. At the option of the Underwriter, the Company agrees, subject to the terms and conditions herein, to issue and sell additional Option Securities (as defined in Section 4.2 hereof). The Closing Units and the Option Securities are herein referred to collectively as the “</w:t>
      </w:r>
      <w:r>
        <w:rPr>
          <w:rFonts w:ascii="Times New Roman;Times;Serif" w:hAnsi="Times New Roman;Times;Serif"/>
          <w:b/>
          <w:i w:val="false"/>
          <w:caps w:val="false"/>
          <w:smallCaps w:val="false"/>
          <w:sz w:val="20"/>
          <w:u w:val="single"/>
        </w:rPr>
        <w:t>Securities</w:t>
      </w:r>
      <w:r>
        <w:rPr>
          <w:rFonts w:ascii="Times New Roman;Times;Serif" w:hAnsi="Times New Roman;Times;Serif"/>
          <w:b w:val="false"/>
          <w:i w:val="false"/>
          <w:caps w:val="false"/>
          <w:smallCaps w:val="false"/>
          <w:sz w:val="20"/>
        </w:rPr>
        <w:t>”. The number of Closing Units and Option Securities to be purchased by the Underwriter is set forth opposite its name in Schedule 4.1.2 hereto. Aegis Capital Corp. has agreed to act as the Underwriter in connection with the offering and sale of the Securities.</w:t>
      </w:r>
    </w:p>
    <w:p>
      <w:pPr>
        <w:pStyle w:val="TextBody"/>
        <w:bidi w:val="0"/>
        <w:spacing w:before="0" w:after="0"/>
        <w:ind w:left="0" w:right="0" w:hanging="0"/>
        <w:jc w:val="both"/>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185"/>
        <w:gridCol w:w="995"/>
      </w:tblGrid>
      <w:t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has the meaning set forth in Rule 405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u w:val="single"/>
        </w:rPr>
        <w:t>Applicable Time</w:t>
      </w:r>
      <w:r>
        <w:rPr>
          <w:rFonts w:ascii="Times New Roman;Times;Serif" w:hAnsi="Times New Roman;Times;Serif"/>
          <w:b w:val="false"/>
          <w:i w:val="false"/>
          <w:caps w:val="false"/>
          <w:smallCaps w:val="false"/>
          <w:sz w:val="20"/>
        </w:rPr>
        <w:t>” means 8:00 a.m. Eastern Time on the date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u w:val="single"/>
        </w:rPr>
        <w:t>Bona Fide Electronic Road Show</w:t>
      </w:r>
      <w:r>
        <w:rPr>
          <w:rFonts w:ascii="Times New Roman;Times;Serif" w:hAnsi="Times New Roman;Times;Serif"/>
          <w:b w:val="false"/>
          <w:i w:val="false"/>
          <w:caps w:val="false"/>
          <w:smallCaps w:val="false"/>
          <w:sz w:val="20"/>
        </w:rPr>
        <w:t>” means a “bona fide electronic road show” (as defined in Rule 433(h)(5) under the Securities Act) that the Company has made available without restriction by “graphic means” (as defined in Rule 405 under the Securities Act) to any person.</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u w:val="single"/>
        </w:rPr>
        <w:t>Calendar Day</w:t>
      </w:r>
      <w:r>
        <w:rPr>
          <w:rFonts w:ascii="Times New Roman;Times;Serif" w:hAnsi="Times New Roman;Times;Serif"/>
          <w:b w:val="false"/>
          <w:i w:val="false"/>
          <w:caps w:val="false"/>
          <w:smallCaps w:val="false"/>
          <w:sz w:val="20"/>
        </w:rPr>
        <w:t>” means each and every day of the week (Sunday, Monday, Tuesday, Wednesday, Thursday, Friday and Saturday).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securities or other rights convertible into, exercisable or exchangeable for, or otherwise entitling the holder to acquire, Common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u w:val="single"/>
        </w:rPr>
        <w:t>Company Counsel</w:t>
      </w:r>
      <w:r>
        <w:rPr>
          <w:rFonts w:ascii="Times New Roman;Times;Serif" w:hAnsi="Times New Roman;Times;Serif"/>
          <w:b w:val="false"/>
          <w:i w:val="false"/>
          <w:caps w:val="false"/>
          <w:smallCaps w:val="false"/>
          <w:sz w:val="20"/>
        </w:rPr>
        <w:t>” means Hunter Taubman Fischer &amp; Li LLC, with office at 950 Third Avenue, 19th Floor, New York, NY 10022.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u w:val="single"/>
        </w:rPr>
        <w:t>Disclosure Package</w:t>
      </w:r>
      <w:r>
        <w:rPr>
          <w:rFonts w:ascii="Times New Roman;Times;Serif" w:hAnsi="Times New Roman;Times;Serif"/>
          <w:b w:val="false"/>
          <w:i w:val="false"/>
          <w:caps w:val="false"/>
          <w:smallCaps w:val="false"/>
          <w:sz w:val="20"/>
        </w:rPr>
        <w:t>” means the Pricing Disclosure Package.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u w:val="single"/>
        </w:rPr>
        <w:t>Exempt Issuance</w:t>
      </w:r>
      <w:r>
        <w:rPr>
          <w:rFonts w:ascii="Times New Roman;Times;Serif" w:hAnsi="Times New Roman;Times;Serif"/>
          <w:b w:val="false"/>
          <w:i w:val="false"/>
          <w:caps w:val="false"/>
          <w:smallCaps w:val="false"/>
          <w:sz w:val="20"/>
        </w:rPr>
        <w:t>” means (i) any conventional bank loans that are not convertible into, or exercisable or exchangeable for, shares of Common Stock or Common Stock Equivalents and do not involve any issuance of any shares of Common Stock or Common Stock Equivalents or other security of the Company in connection therewith; (ii) shares of Common Stock or options issued to employees, officers or directors of the Company pursuant to the Company’s equity incentive plans; (iii) securities issued upon the exercise or exchange of or conversion of any Securities issued hereunder and/or other securities exercisable or exchangeable for or convertible into shares of Common Stock issued and outstanding on the date of this Agreement, provided that the terms of such securities have not been amended, modified, or waived in any respect since the date of this Agreement; and (iv) securities issued pursuant to acquisitions or strategic transactions (whether by merger, consolidation, purchase of equity, purchase of assets, reorganization or otherwise)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Standstill Period,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c>
          <w:tcPr>
            <w:tcW w:w="170" w:type="dxa"/>
            <w:tcBorders/>
            <w:vAlign w:val="center"/>
          </w:tcPr>
          <w:p>
            <w:pPr>
              <w:pStyle w:val="TableContents"/>
              <w:bidi w:val="0"/>
              <w:spacing w:before="0" w:after="283"/>
              <w:jc w:val="center"/>
            </w:pPr>
            <w:r>
              <w:t>2</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u w:val="single"/>
        </w:rPr>
        <w:t>Final Prospectus</w:t>
      </w:r>
      <w:r>
        <w:rPr>
          <w:rFonts w:ascii="Times New Roman;Times;Serif" w:hAnsi="Times New Roman;Times;Serif"/>
          <w:b w:val="false"/>
          <w:i w:val="false"/>
          <w:caps w:val="false"/>
          <w:smallCaps w:val="false"/>
          <w:sz w:val="20"/>
        </w:rPr>
        <w:t>” means the prospectus in the form first filed with the Commission pursuant to and within the time limits described in Rule 424(b)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val="false"/>
          <w:caps w:val="false"/>
          <w:smallCaps w:val="false"/>
          <w:sz w:val="20"/>
          <w:u w:val="single"/>
        </w:rPr>
        <w:t>Free Writing Prospectus</w:t>
      </w:r>
      <w:r>
        <w:rPr>
          <w:rFonts w:ascii="Times New Roman;Times;Serif" w:hAnsi="Times New Roman;Times;Serif"/>
          <w:b w:val="false"/>
          <w:i w:val="false"/>
          <w:caps w:val="false"/>
          <w:smallCaps w:val="false"/>
          <w:sz w:val="20"/>
        </w:rPr>
        <w:t>” has the meaning set forth in Rule 405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val="false"/>
          <w:caps w:val="false"/>
          <w:smallCaps w:val="false"/>
          <w:sz w:val="20"/>
          <w:u w:val="single"/>
        </w:rPr>
        <w:t>Indebtedness</w:t>
      </w:r>
      <w:r>
        <w:rPr>
          <w:rFonts w:ascii="Times New Roman;Times;Serif" w:hAnsi="Times New Roman;Times;Serif"/>
          <w:b w:val="false"/>
          <w:i w:val="false"/>
          <w:caps w:val="false"/>
          <w:smallCaps w:val="false"/>
          <w:sz w:val="20"/>
        </w:rPr>
        <w:t>” means (a) any liabilities for borrowed money or amounts owed in excess of $50,000 in aggregate (other than trade accounts payable incurred in the ordinary course of business),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$50,000 in aggregate due under leases required to be capitalized in accordance with GAAP.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val="false"/>
          <w:caps w:val="false"/>
          <w:smallCaps w:val="false"/>
          <w:sz w:val="20"/>
          <w:u w:val="single"/>
        </w:rPr>
        <w:t>Investment Company Act</w:t>
      </w:r>
      <w:r>
        <w:rPr>
          <w:rFonts w:ascii="Times New Roman;Times;Serif" w:hAnsi="Times New Roman;Times;Serif"/>
          <w:b w:val="false"/>
          <w:i w:val="false"/>
          <w:caps w:val="false"/>
          <w:smallCaps w:val="false"/>
          <w:sz w:val="20"/>
        </w:rPr>
        <w:t>” means the Investment Company Act of 1940,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 “issuer free writing prospectus” (as defined in Rule 433(h)(1)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val="false"/>
          <w:caps w:val="false"/>
          <w:smallCaps w:val="false"/>
          <w:sz w:val="20"/>
          <w:u w:val="single"/>
        </w:rPr>
        <w:t>Preliminary Prospectus</w:t>
      </w:r>
      <w:r>
        <w:rPr>
          <w:rFonts w:ascii="Times New Roman;Times;Serif" w:hAnsi="Times New Roman;Times;Serif"/>
          <w:b w:val="false"/>
          <w:i w:val="false"/>
          <w:caps w:val="false"/>
          <w:smallCaps w:val="false"/>
          <w:sz w:val="20"/>
        </w:rPr>
        <w:t>” means any preliminary prospectus included in the Registration Statement prior to the time at which the Commission declared the Registration Statement effective.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val="false"/>
          <w:caps w:val="false"/>
          <w:smallCaps w:val="false"/>
          <w:sz w:val="20"/>
          <w:u w:val="single"/>
        </w:rPr>
        <w:t>Pricing Disclosure Package</w:t>
      </w:r>
      <w:r>
        <w:rPr>
          <w:rFonts w:ascii="Times New Roman;Times;Serif" w:hAnsi="Times New Roman;Times;Serif"/>
          <w:b w:val="false"/>
          <w:i w:val="false"/>
          <w:caps w:val="false"/>
          <w:smallCaps w:val="false"/>
          <w:sz w:val="20"/>
        </w:rPr>
        <w:t>” means the Preliminary Prospectus collectively with this Agreement (including documents attached hereto or incorporated by reference herein) and the documents and pricing information set forth in Schedule 1.19 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 means the Final Prospectus.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i w:val="false"/>
          <w:caps w:val="false"/>
          <w:smallCaps w:val="false"/>
          <w:sz w:val="20"/>
          <w:u w:val="single"/>
        </w:rPr>
        <w:t>Prospectus Delivery Period</w:t>
      </w:r>
      <w:r>
        <w:rPr>
          <w:rFonts w:ascii="Times New Roman;Times;Serif" w:hAnsi="Times New Roman;Times;Serif"/>
          <w:b w:val="false"/>
          <w:i w:val="false"/>
          <w:caps w:val="false"/>
          <w:smallCaps w:val="false"/>
          <w:sz w:val="20"/>
        </w:rPr>
        <w:t>” means such period of time after the first date of the public offering of the Units as in the opinion of Underwriter Counsel a prospectus relating to the Units is required by law to be delivered (or required to be delivered but for Rule 172 under the Securities Act) in connection with sales of the Units by the Underwriter or dealer.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 the registration statement on Form S-1 (File No. 333-299744), including a prospectus, registering the offer and sale of the Closing Units under the Securities Act as amended at the time the Commission declared it effective, including each of the exhibits, financial statements and schedules thereto, (b) any Rule 430A Information, and (c) any Rule 462(b) Registration Statement, including in each case any documents incorporated by reference therein.</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c>
          <w:tcPr>
            <w:tcW w:w="170" w:type="dxa"/>
            <w:tcBorders/>
            <w:vAlign w:val="center"/>
          </w:tcPr>
          <w:p>
            <w:pPr>
              <w:pStyle w:val="TableContents"/>
              <w:bidi w:val="0"/>
              <w:spacing w:before="0" w:after="283"/>
              <w:jc w:val="center"/>
            </w:pPr>
            <w:r>
              <w:t>3</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i w:val="false"/>
          <w:caps w:val="false"/>
          <w:smallCaps w:val="false"/>
          <w:sz w:val="20"/>
          <w:u w:val="single"/>
        </w:rPr>
        <w:t>Rule 430A Information</w:t>
      </w:r>
      <w:r>
        <w:rPr>
          <w:rFonts w:ascii="Times New Roman;Times;Serif" w:hAnsi="Times New Roman;Times;Serif"/>
          <w:b w:val="false"/>
          <w:i w:val="false"/>
          <w:caps w:val="false"/>
          <w:smallCaps w:val="false"/>
          <w:sz w:val="20"/>
        </w:rPr>
        <w:t>” means the information deemed, pursuant to Rule 430A under the Securities Act, to be part of the Registration Statement at the time the Commission declared the Registration Statement effective.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i w:val="false"/>
          <w:caps w:val="false"/>
          <w:smallCaps w:val="false"/>
          <w:sz w:val="20"/>
          <w:u w:val="single"/>
        </w:rPr>
        <w:t>Rule 462(b) Registration Statement</w:t>
      </w:r>
      <w:r>
        <w:rPr>
          <w:rFonts w:ascii="Times New Roman;Times;Serif" w:hAnsi="Times New Roman;Times;Serif"/>
          <w:b w:val="false"/>
          <w:i w:val="false"/>
          <w:caps w:val="false"/>
          <w:smallCaps w:val="false"/>
          <w:sz w:val="20"/>
        </w:rPr>
        <w:t>” means an abbreviated registration statement to register the offer and sale of additional Units pursuant to Rule 462(b)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i w:val="false"/>
          <w:caps w:val="false"/>
          <w:smallCaps w:val="false"/>
          <w:sz w:val="20"/>
          <w:u w:val="single"/>
        </w:rPr>
        <w:t>Share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mean a share and shares of Common Stock, respectively, except where the context refers to shares of a Subsidiary.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w:t>
      </w:r>
      <w:r>
        <w:rPr>
          <w:rFonts w:ascii="Times New Roman;Times;Serif" w:hAnsi="Times New Roman;Times;Serif"/>
          <w:b/>
          <w:i w:val="false"/>
          <w:caps w:val="false"/>
          <w:smallCaps w:val="false"/>
          <w:sz w:val="20"/>
          <w:u w:val="single"/>
        </w:rPr>
        <w:t>Standstill Period</w:t>
      </w:r>
      <w:r>
        <w:rPr>
          <w:rFonts w:ascii="Times New Roman;Times;Serif" w:hAnsi="Times New Roman;Times;Serif"/>
          <w:b w:val="false"/>
          <w:i w:val="false"/>
          <w:caps w:val="false"/>
          <w:smallCaps w:val="false"/>
          <w:sz w:val="20"/>
        </w:rPr>
        <w:t>” has the meaning set forth in Section 5.9.1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i w:val="false"/>
          <w:caps w:val="false"/>
          <w:smallCaps w:val="false"/>
          <w:sz w:val="20"/>
          <w:u w:val="single"/>
        </w:rPr>
        <w:t>Testing-the-Waters Communication</w:t>
      </w:r>
      <w:r>
        <w:rPr>
          <w:rFonts w:ascii="Times New Roman;Times;Serif" w:hAnsi="Times New Roman;Times;Serif"/>
          <w:b w:val="false"/>
          <w:i w:val="false"/>
          <w:caps w:val="false"/>
          <w:smallCaps w:val="false"/>
          <w:sz w:val="20"/>
        </w:rPr>
        <w:t>” means any oral or Written Communication with potential investors undertaken in reliance on Section 5(d) of the Securities Act and Rule 163B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means any securities exchange or quotation market on which securities of the Company are listed or quoted.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i w:val="false"/>
          <w:caps w:val="false"/>
          <w:smallCaps w:val="false"/>
          <w:sz w:val="20"/>
          <w:u w:val="single"/>
        </w:rPr>
        <w:t>Underwriter Counsel</w:t>
      </w:r>
      <w:r>
        <w:rPr>
          <w:rFonts w:ascii="Times New Roman;Times;Serif" w:hAnsi="Times New Roman;Times;Serif"/>
          <w:b w:val="false"/>
          <w:i w:val="false"/>
          <w:caps w:val="false"/>
          <w:smallCaps w:val="false"/>
          <w:sz w:val="20"/>
        </w:rPr>
        <w:t>” means Kaufman &amp; Canoles, P.C., with office at Two James Center, 14th Floor, 1021 E. Cary St., Richmond, VA 23219.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i w:val="false"/>
          <w:caps w:val="false"/>
          <w:smallCaps w:val="false"/>
          <w:sz w:val="20"/>
          <w:u w:val="single"/>
        </w:rPr>
        <w:t>Unit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Units</w:t>
      </w:r>
      <w:r>
        <w:rPr>
          <w:rFonts w:ascii="Times New Roman;Times;Serif" w:hAnsi="Times New Roman;Times;Serif"/>
          <w:b w:val="false"/>
          <w:i w:val="false"/>
          <w:caps w:val="false"/>
          <w:smallCaps w:val="false"/>
          <w:sz w:val="20"/>
        </w:rPr>
        <w:t>” mean a Closing Unit and the Closing Units,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i w:val="false"/>
          <w:caps w:val="false"/>
          <w:smallCaps w:val="false"/>
          <w:sz w:val="20"/>
          <w:u w:val="single"/>
        </w:rPr>
        <w:t>Written Communication</w:t>
      </w:r>
      <w:r>
        <w:rPr>
          <w:rFonts w:ascii="Times New Roman;Times;Serif" w:hAnsi="Times New Roman;Times;Serif"/>
          <w:b w:val="false"/>
          <w:i w:val="false"/>
          <w:caps w:val="false"/>
          <w:smallCaps w:val="false"/>
          <w:sz w:val="20"/>
        </w:rPr>
        <w:t>” has the meaning set forth in Rule 405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i w:val="false"/>
          <w:caps w:val="false"/>
          <w:smallCaps w:val="false"/>
          <w:sz w:val="20"/>
          <w:u w:val="single"/>
        </w:rPr>
        <w:t>Written Testing-the-Waters Communications</w:t>
      </w:r>
      <w:r>
        <w:rPr>
          <w:rFonts w:ascii="Times New Roman;Times;Serif" w:hAnsi="Times New Roman;Times;Serif"/>
          <w:b w:val="false"/>
          <w:i w:val="false"/>
          <w:caps w:val="false"/>
          <w:smallCaps w:val="false"/>
          <w:sz w:val="20"/>
        </w:rPr>
        <w:t>” means any Testing-the-Waters Communication that is a Written Communication.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and agrees with, the Underwriter that the following matters are true and accurate and do not contain any untrue statement of a material fact or omit to state a material fact required to be stated therein or necessary to make the statements therein not misleading. Any certificate signed by an officer of the Company and delivered to the Underwriter or to Underwriter Counsel shall be deemed to be a representation and warranty by the Company to the Underwriter as to the matters set forth therein.</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c>
          <w:tcPr>
            <w:tcW w:w="170" w:type="dxa"/>
            <w:tcBorders/>
            <w:vAlign w:val="center"/>
          </w:tcPr>
          <w:p>
            <w:pPr>
              <w:pStyle w:val="TableContents"/>
              <w:bidi w:val="0"/>
              <w:spacing w:before="0" w:after="283"/>
              <w:jc w:val="center"/>
            </w:pPr>
            <w:r>
              <w:t>4</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has prepared and filed the Registration Statement with the Commission under the Securities Act. The Commission has declared the Registration Statement effective under the Securities Act and the Company has not as of the date of this Agreement filed a post-effective amendment to the Registration Statement. The Commission has not issued any order suspending the effectiveness of the Registration Statement or any order preventing or suspending the use of the Registration Statement, the Final Prospectus, any Preliminary Prospectus, any Issuer Free Writing Prospectus or any Testing-the-Waters Communication, and no proceedings for such purpose or pursuant to Section 8A of the Securities Act have been initiated, are pending before or, to the Company’s knowledge, threatened by the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The Registration Statement, at the time it became effective, did not contain, and any post-effective amendment thereto, as of the effective date of such amendment, will not contain, any untrue statement of a material fact or omit to state a material fact required to be stated therein or necessary to make the statements therein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the Underwriter furnished to the Company in writing by the Underwriter expressly for use in the Registration Statement (including any post-effective amendment thereto), the Pricing Disclosure Package, the Final Prospectus (including any amendments or supplements thereto), any Preliminary Prospectus, any Issuer Free Writing Prospectus or any Testing-the-Waters Communication, it being understood and agreed that the only such information consists of the statements concerning the Underwriter’s offering practices, stabilization activities, discretionary accounts, other relationships and electronic distribution under the caption “Underwriting” in the Preliminary Prospectus and Final Prospectus (collectively, the “</w:t>
      </w:r>
      <w:r>
        <w:rPr>
          <w:rFonts w:ascii="Times New Roman;Times;Serif" w:hAnsi="Times New Roman;Times;Serif"/>
          <w:b/>
          <w:i w:val="false"/>
          <w:caps w:val="false"/>
          <w:smallCaps w:val="false"/>
          <w:sz w:val="20"/>
          <w:u w:val="single"/>
        </w:rPr>
        <w:t>Underwriter Information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Each of the Registration Statement and any post-effective amendment thereto, at the time it became effective and at the date hereof, complied and will comply in all material respects with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u w:val="single"/>
        </w:rPr>
        <w:t>Pricing Disclosure Package</w:t>
      </w:r>
      <w:r>
        <w:rPr>
          <w:rFonts w:ascii="Times New Roman;Times;Serif" w:hAnsi="Times New Roman;Times;Serif"/>
          <w:b w:val="false"/>
          <w:i w:val="false"/>
          <w:caps w:val="false"/>
          <w:smallCaps w:val="false"/>
          <w:sz w:val="20"/>
        </w:rPr>
        <w:t xml:space="preserve">. The Pricing Disclosure Package, as of the Applicable Time, did not, and as of the Closing Date (as defined below) and as of any Additional Closing Date (as defined below), as the case may be,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the Underwriter Information.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u w:val="single"/>
        </w:rPr>
        <w:t>Final Prospectus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 Each of the Final Prospectus and any amendments or supplements thereto, as of its date, as of the time it is filed with the Commission pursuant to Rule 424(b) under the Securities Act, as of the Closing Date and as of any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the Underwriter Information.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c>
          <w:tcPr>
            <w:tcW w:w="170" w:type="dxa"/>
            <w:tcBorders/>
            <w:vAlign w:val="center"/>
          </w:tcPr>
          <w:p>
            <w:pPr>
              <w:pStyle w:val="TableContents"/>
              <w:bidi w:val="0"/>
              <w:spacing w:before="0" w:after="283"/>
              <w:jc w:val="center"/>
            </w:pPr>
            <w:r>
              <w:t>5</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 Each of the Final Prospectus and any amendments or supplements thereto, at the time it is filed with the Commission pursuant to Rule 424(b) under the Securities Act, as of the Closing Date and as of any Additional Closing Date, as the case may be, will comply in all material respects with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u w:val="single"/>
        </w:rPr>
        <w:t>Preliminary Prospectuses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2.4.1. Each Preliminary Prospectus, when considered together with any amendments or supplements thereto, as of the time it was filed with the Commission pursuant to Rule 424(a) under the Securities Act, if any, did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the Underwriter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Each Preliminary Prospectus, when considered together with any amendments or supplements thereto, at the time it was filed with the Commission pursuant to Rule 424(a) under the Securities Act, if any, complied in all material respects with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u w:val="single"/>
        </w:rPr>
        <w:t>Issuer Free Writing Prospectuses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2.5.1. Each Issuer Free Writing Prospectus, when considered together with the Preliminary Prospectus accompanying, or delivered prior to the delivery of, such Issuer Free Writing Prospectus, did not, as of the date of such Issuer Free Writing Prospectus, and will not, as of the Closing Date and as of any Additional Closing Date, as the case may be,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the Underwriter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 Each Issuer Free Writing Prospectus, at the time of filing with the Commission, complied or will comply in all material respects with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 The Company has filed, or will file, with the Commission, within the time period specified in Rule 433(d) under the Securities Act, any Free Writing Prospectus it is required to file pursuant to Rule 433(d) under the Securities Act. The Company has made available any Bona Fide Electronic Road Show used by it in compliance with Rule 433(d)(8)(ii) under the Securities Act such that no filing of any “road show” (as defined in Rule 433(h) under the Securities Act) (“</w:t>
      </w:r>
      <w:r>
        <w:rPr>
          <w:rFonts w:ascii="Times New Roman;Times;Serif" w:hAnsi="Times New Roman;Times;Serif"/>
          <w:b/>
          <w:i w:val="false"/>
          <w:caps w:val="false"/>
          <w:smallCaps w:val="false"/>
          <w:sz w:val="20"/>
          <w:u w:val="single"/>
        </w:rPr>
        <w:t>Road Show</w:t>
      </w:r>
      <w:r>
        <w:rPr>
          <w:rFonts w:ascii="Times New Roman;Times;Serif" w:hAnsi="Times New Roman;Times;Serif"/>
          <w:b w:val="false"/>
          <w:i w:val="false"/>
          <w:caps w:val="false"/>
          <w:smallCaps w:val="false"/>
          <w:sz w:val="20"/>
        </w:rPr>
        <w:t>”) is required in connection with the offering of the Units.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Except for the Issuer Free Writing Prospectuses, if any, set forth in Schedule 2.5.4 hereto and electronic road shows, if any, each furnished to the Underwriter before first use, the Company has not used, authorized the use of, referred to or participated in the planning for use of, and will not, without the prior consent of the Underwriter, use, authorize the use of, refer to or participate in the planning for use of, any Free Writing Prospectus.</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c>
          <w:tcPr>
            <w:tcW w:w="170" w:type="dxa"/>
            <w:tcBorders/>
            <w:vAlign w:val="center"/>
          </w:tcPr>
          <w:p>
            <w:pPr>
              <w:pStyle w:val="TableContents"/>
              <w:bidi w:val="0"/>
              <w:spacing w:before="0" w:after="283"/>
              <w:jc w:val="center"/>
            </w:pPr>
            <w:r>
              <w:t>6</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u w:val="single"/>
        </w:rPr>
        <w:t>Testing-the-Waters Communications</w:t>
      </w:r>
      <w:r>
        <w:rPr>
          <w:rFonts w:ascii="Times New Roman;Times;Serif" w:hAnsi="Times New Roman;Times;Serif"/>
          <w:b w:val="false"/>
          <w:i w:val="false"/>
          <w:caps w:val="false"/>
          <w:smallCaps w:val="false"/>
          <w:sz w:val="20"/>
        </w:rPr>
        <w:t>. The Company has not (x) alone engaged in any Testing-the-Waters Communication other than Testing-the-Waters Communications with the consent of the Underwriter or any underwriter that the Company has previously identified to the Underwriter with entities that are qualified institutional buyers within the meaning of Rule 144A under the Act or institutions that are accredited investors within the meaning of Rule 501 under the Act, and (y) authorized anyone other than the Underwriters, or any underwriter that the Company has previously identified to the Underwriter, to engage in Testing-the-Waters Communications.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i w:val="false"/>
          <w:caps w:val="false"/>
          <w:smallCaps w:val="false"/>
          <w:sz w:val="20"/>
          <w:u w:val="single"/>
        </w:rPr>
        <w:t>No Other Disclosure Materials</w:t>
      </w:r>
      <w:r>
        <w:rPr>
          <w:rFonts w:ascii="Times New Roman;Times;Serif" w:hAnsi="Times New Roman;Times;Serif"/>
          <w:b w:val="false"/>
          <w:i w:val="false"/>
          <w:caps w:val="false"/>
          <w:smallCaps w:val="false"/>
          <w:sz w:val="20"/>
        </w:rPr>
        <w:t>. Other than the Registration Statement, the Pricing Disclosure Package, the Final Prospectus and the Road Show, the Company (including its agents and representatives, other than the Underwriter or any underwriter that the Company has previously identified to the Underwriter, as to which no representation or warranty is given) has not, directly or indirectly, distributed, prepared, used, authorized, approved or referred to, and will not distribute, prepare, use, authorize, approve or refer to, any offering material in connection with the offering and sale of the Units.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i w:val="false"/>
          <w:caps w:val="false"/>
          <w:smallCaps w:val="false"/>
          <w:sz w:val="20"/>
          <w:u w:val="single"/>
        </w:rPr>
        <w:t>Ineligible Issuer</w:t>
      </w:r>
      <w:r>
        <w:rPr>
          <w:rFonts w:ascii="Times New Roman;Times;Serif" w:hAnsi="Times New Roman;Times;Serif"/>
          <w:b w:val="false"/>
          <w:i w:val="false"/>
          <w:caps w:val="false"/>
          <w:smallCaps w:val="false"/>
          <w:sz w:val="20"/>
        </w:rPr>
        <w:t>. At the time of filing of the Registration Statement and any amendment thereto and at the date hereof, the Company was not and is not an “ineligible issuer” (as defined in Rule 405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i w:val="false"/>
          <w:caps w:val="false"/>
          <w:smallCaps w:val="false"/>
          <w:sz w:val="20"/>
          <w:u w:val="single"/>
        </w:rPr>
        <w:t>Smaller Reporting Company</w:t>
      </w:r>
      <w:r>
        <w:rPr>
          <w:rFonts w:ascii="Times New Roman;Times;Serif" w:hAnsi="Times New Roman;Times;Serif"/>
          <w:b w:val="false"/>
          <w:i w:val="false"/>
          <w:caps w:val="false"/>
          <w:smallCaps w:val="false"/>
          <w:sz w:val="20"/>
        </w:rPr>
        <w:t>. From the time of initial filing of the Registration Statement with the Commission (or, if earlier, the first date on which the Company engaged directly or through any person authorized to act on its behalf in any Testing-the-Waters Communication) through the date hereof, the Company has been and is a “smaller reporting company,” as defined in Rule 12b-2 under the Exchange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i w:val="false"/>
          <w:caps w:val="false"/>
          <w:smallCaps w:val="false"/>
          <w:sz w:val="20"/>
          <w:u w:val="single"/>
        </w:rPr>
        <w:t>Due Authorization</w:t>
      </w:r>
      <w:r>
        <w:rPr>
          <w:rFonts w:ascii="Times New Roman;Times;Serif" w:hAnsi="Times New Roman;Times;Serif"/>
          <w:b w:val="false"/>
          <w:i w:val="false"/>
          <w:caps w:val="false"/>
          <w:smallCaps w:val="false"/>
          <w:sz w:val="20"/>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i w:val="false"/>
          <w:caps w:val="false"/>
          <w:smallCaps w:val="false"/>
          <w:sz w:val="20"/>
          <w:u w:val="single"/>
        </w:rPr>
        <w:t>Underwriting Agreement</w:t>
      </w:r>
      <w:r>
        <w:rPr>
          <w:rFonts w:ascii="Times New Roman;Times;Serif" w:hAnsi="Times New Roman;Times;Serif"/>
          <w:b w:val="false"/>
          <w:i w:val="false"/>
          <w:caps w:val="false"/>
          <w:smallCaps w:val="false"/>
          <w:sz w:val="20"/>
        </w:rPr>
        <w:t>. This Agreement has been duly authorized, executed and delivered by the Company and, assuming the due authorization, execution and delivery by the other parties hereto, constitutes the legal, valid and binding obligation of the Company, enforceable against the Company in accordance with its terms, except as (i) the enforcement may be limited by bankruptcy, insolvency, fraudulent transfer, reorganization, moratorium or other similar laws relating to or affecting the rights and remedies of creditors generally or by general equitable principles (whether considered in a proceeding at law or in equity) relating to enforceability and (ii) rights to indemnification and contribution hereunder may be limited by applicable law and public policy considerations.</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c>
          <w:tcPr>
            <w:tcW w:w="170" w:type="dxa"/>
            <w:tcBorders/>
            <w:vAlign w:val="center"/>
          </w:tcPr>
          <w:p>
            <w:pPr>
              <w:pStyle w:val="TableContents"/>
              <w:bidi w:val="0"/>
              <w:spacing w:before="0" w:after="283"/>
              <w:jc w:val="center"/>
            </w:pPr>
            <w:r>
              <w:t>7</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i w:val="false"/>
          <w:caps w:val="false"/>
          <w:smallCaps w:val="false"/>
          <w:sz w:val="20"/>
          <w:u w:val="single"/>
        </w:rPr>
        <w:t>No Material Adverse Change</w:t>
      </w:r>
      <w:r>
        <w:rPr>
          <w:rFonts w:ascii="Times New Roman;Times;Serif" w:hAnsi="Times New Roman;Times;Serif"/>
          <w:b w:val="false"/>
          <w:i w:val="false"/>
          <w:caps w:val="false"/>
          <w:smallCaps w:val="false"/>
          <w:sz w:val="20"/>
        </w:rPr>
        <w:t>. Except as otherwise disclosed in the Registration Statement, the Pricing Disclosure Package and the Final Prospectus (in each case exclusive of any amendment or supplement thereto), since the date of the most recent financial statements included or incorporated by reference in the Registration Statement, the Pricing Disclosure Package and the Final Prospectus: (i) there has been no material adverse change, or any development that could result in a material adverse change, in or affecting the condition (financial or otherwise), earnings, business, properties, management, financial position, stockholders’ equity, or results of operations, whether or not arising from transactions in the ordinary course of business, of the Company and its subsidiaries, considered as a whole; (ii) there has been no change in the share capital (other than (A) the issuance of Shares upon the exercise or settlement (including any “net” or “cashless” exercises or settlements) of stock options, restricted stock units or warrants described as outstanding, (B) the grant of options and awards under existing equity incentive plans, or (C) the repurchase of shares of Common Stock by the Company, which were issued pursuant to the early exercise of stock options by option holders and are subject to repurchase by the Company, in each case, as described in the Registration Statement, the Pricing Disclosure Package and the Final Prospectus), or material change in the short-term debt or long-term debt of the Company or any of its subsidiaries, considered as a whole; and (iii) the Company and its subsidiaries, considered as a whole, have not incurred any material liability or obligation, indirect, direct or contingent (whether or not in the ordinary course of business); nor entered into any transaction or agreement (whether or not in the ordinary course of business) that is material to the Company and its subsidiaries, considered as a whole; and (iv) there has been no dividend or distribution of any kind declared, set aside for payment, paid or made by the Company or, except for dividends paid to the Company or other subsidiaries of the Company, any of its subsidiaries on any class of capital stock or repurchase or redemption by the Company or any of its subsidiaries of any class of capital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i w:val="false"/>
          <w:caps w:val="false"/>
          <w:smallCaps w:val="false"/>
          <w:sz w:val="20"/>
          <w:u w:val="single"/>
        </w:rPr>
        <w:t>Organization and Good Standing of the Company and its Subsidiaries</w:t>
      </w:r>
      <w:r>
        <w:rPr>
          <w:rFonts w:ascii="Times New Roman;Times;Serif" w:hAnsi="Times New Roman;Times;Serif"/>
          <w:b w:val="false"/>
          <w:i w:val="false"/>
          <w:caps w:val="false"/>
          <w:smallCaps w:val="false"/>
          <w:sz w:val="20"/>
        </w:rPr>
        <w:t>. The Company and each of its subsidiaries have been duly incorporated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(corporate and other) necessary to own, lease or hold their respective properties and to conduct the businesses in which they are engaged as described in the Registration Statement, the Pricing Disclosure Package and the Final Prospectus, except where the failure to be in good standing, to be so qualified or to have such power or authority could not, individually or in the aggregate, have a material adverse effect on the condition (financial or otherwise), earnings, business, properties, management, financial position, stockholders’ equity, or results of operations of the Company and its subsidiaries, considered as a whole, or adversely affect the performance by the Company of its obligations under this Agreement (a “</w:t>
      </w:r>
      <w:r>
        <w:rPr>
          <w:rFonts w:ascii="Times New Roman;Times;Serif" w:hAnsi="Times New Roman;Times;Serif"/>
          <w:b/>
          <w:i w:val="false"/>
          <w:caps w:val="false"/>
          <w:smallCaps w:val="false"/>
          <w:sz w:val="20"/>
          <w:u w:val="single"/>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c>
          <w:tcPr>
            <w:tcW w:w="170" w:type="dxa"/>
            <w:tcBorders/>
            <w:vAlign w:val="center"/>
          </w:tcPr>
          <w:p>
            <w:pPr>
              <w:pStyle w:val="TableContents"/>
              <w:bidi w:val="0"/>
              <w:spacing w:before="0" w:after="283"/>
              <w:jc w:val="center"/>
            </w:pPr>
            <w:r>
              <w:t>8</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is as set forth in the Registration Statement, the Pricing Disclosure Package and the Final Prospectus under the heading “Capitalization”. All of the outstanding capital stock of the Company has been duly authorized and validly issued and is fully paid and non-assessable. The Securities have been duly authorized and, when issued and paid for as contemplated herein,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 required to be taken for the authorization, issuance and sale of the Securities has been duly and validly taken. None of the outstanding shares of Common Stock of the Company were issued in violation of any preemptive rights, rights of first refusal or other similar rights to subscribe for or purchase securities of the Company. Except as disclosed in the Registration Statement, the Pricing Disclosure Package and the Final Prospectus, there are no authorized or outstanding options, warrants, preemptive rights, rights of first refusal or other rights to acquire, or instruments convertible into or exchangeable or exercisable for, any Shares of, or other equity interest in, the Company or any of its subsidiaries. All of the outstanding shares of, or other equity interest in, each of the Company’s subsidiaries (i) have been duly authorized and validly issued, (ii) are fully paid and non-assessable and (iii) are owned by the Company, directly or through the Company’s subsidiaries, free and clear of any security interest, mortgage, pledge, lien, encumbrance, charge, claim or restriction on voting or transfer (collectively, “</w:t>
      </w:r>
      <w:r>
        <w:rPr>
          <w:rFonts w:ascii="Times New Roman;Times;Serif" w:hAnsi="Times New Roman;Times;Serif"/>
          <w:b/>
          <w:i w:val="false"/>
          <w:caps w:val="false"/>
          <w:smallCaps w:val="false"/>
          <w:sz w:val="20"/>
          <w:u w:val="single"/>
        </w:rPr>
        <w:t>Liens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i w:val="false"/>
          <w:caps w:val="false"/>
          <w:smallCaps w:val="false"/>
          <w:sz w:val="20"/>
          <w:u w:val="single"/>
        </w:rPr>
        <w:t>Common Stock Incentive Plans</w:t>
      </w:r>
      <w:r>
        <w:rPr>
          <w:rFonts w:ascii="Times New Roman;Times;Serif" w:hAnsi="Times New Roman;Times;Serif"/>
          <w:b w:val="false"/>
          <w:i w:val="false"/>
          <w:caps w:val="false"/>
          <w:smallCaps w:val="false"/>
          <w:sz w:val="20"/>
        </w:rPr>
        <w:t>. With respect to the Common Stock options (the “</w:t>
      </w:r>
      <w:r>
        <w:rPr>
          <w:rFonts w:ascii="Times New Roman;Times;Serif" w:hAnsi="Times New Roman;Times;Serif"/>
          <w:b/>
          <w:i w:val="false"/>
          <w:caps w:val="false"/>
          <w:smallCaps w:val="false"/>
          <w:sz w:val="20"/>
          <w:u w:val="single"/>
        </w:rPr>
        <w:t>Stock Options</w:t>
      </w:r>
      <w:r>
        <w:rPr>
          <w:rFonts w:ascii="Times New Roman;Times;Serif" w:hAnsi="Times New Roman;Times;Serif"/>
          <w:b w:val="false"/>
          <w:i w:val="false"/>
          <w:caps w:val="false"/>
          <w:smallCaps w:val="false"/>
          <w:sz w:val="20"/>
        </w:rPr>
        <w:t>”) granted pursuant to the Common Stock-based compensation plans of the Company and its subsidiaries (the “</w:t>
      </w:r>
      <w:r>
        <w:rPr>
          <w:rFonts w:ascii="Times New Roman;Times;Serif" w:hAnsi="Times New Roman;Times;Serif"/>
          <w:b/>
          <w:i w:val="false"/>
          <w:caps w:val="false"/>
          <w:smallCaps w:val="false"/>
          <w:sz w:val="20"/>
          <w:u w:val="single"/>
        </w:rPr>
        <w:t>Company Common Stock Incentive Plans</w:t>
      </w:r>
      <w:r>
        <w:rPr>
          <w:rFonts w:ascii="Times New Roman;Times;Serif" w:hAnsi="Times New Roman;Times;Serif"/>
          <w:b w:val="false"/>
          <w:i w:val="false"/>
          <w:caps w:val="false"/>
          <w:smallCaps w:val="false"/>
          <w:sz w:val="20"/>
        </w:rPr>
        <w:t>”), (i) each Stock Option intended to qualify as an “incentive stock option” under Section 422 of the Internal Revenue Code of 1986, as amended (the “</w:t>
      </w:r>
      <w:r>
        <w:rPr>
          <w:rFonts w:ascii="Times New Roman;Times;Serif" w:hAnsi="Times New Roman;Times;Serif"/>
          <w:b/>
          <w:i w:val="false"/>
          <w:caps w:val="false"/>
          <w:smallCaps w:val="false"/>
          <w:sz w:val="20"/>
          <w:u w:val="single"/>
        </w:rPr>
        <w:t>Code</w:t>
      </w:r>
      <w:r>
        <w:rPr>
          <w:rFonts w:ascii="Times New Roman;Times;Serif" w:hAnsi="Times New Roman;Times;Serif"/>
          <w:b w:val="false"/>
          <w:i w:val="false"/>
          <w:caps w:val="false"/>
          <w:smallCaps w:val="false"/>
          <w:sz w:val="20"/>
        </w:rPr>
        <w:t>”), so qualifies, (ii) each grant of a Stock Option was duly authorized by all necessary corporate action, including, as applicable, approval by the board of directors of the Company (or a duly constituted and authorized committee thereof) and any required stockholders approval by the necessary number of votes or written consents, and the award agreement governing such grant (if any), to the Company’s knowledge, was duly executed and delivered by each party thereto, (iii) each such grant was made in all material respects in accordance with the terms of the Company Common Stock Incentive Plans, and (iv) each such grant was properly accounted for in accordance with United States generally accepted accounting principles applied on a consistent basis during the periods involved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in the financial statements (including the related notes)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i w:val="false"/>
          <w:caps w:val="false"/>
          <w:smallCaps w:val="false"/>
          <w:sz w:val="20"/>
          <w:u w:val="single"/>
        </w:rPr>
        <w:t>No Violation or Default</w:t>
      </w:r>
      <w:r>
        <w:rPr>
          <w:rFonts w:ascii="Times New Roman;Times;Serif" w:hAnsi="Times New Roman;Times;Serif"/>
          <w:b w:val="false"/>
          <w:i w:val="false"/>
          <w:caps w:val="false"/>
          <w:smallCaps w:val="false"/>
          <w:sz w:val="20"/>
        </w:rPr>
        <w:t>. Neither the Company nor any of its subsidiaries is: (i) in violation of its charter, by-laws or similar organizational documents; (ii) in default, and no event has occurred that, with notice or lapse of time or both, would constitute such a default, in the due performance or observance of any term, covenant, condition or other obligation contained in any indenture, mortgage, deed of trust, loan agreement, contract, undertaking or other agreement or instrument to which the Company or any of its subsidiaries is a party or by which the Company or any of its subsidiaries is bound or to which any property, right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or any of their respective properties or assets, except, in the case of clauses (ii) and (iii) above, for any such default or violation that would not, individually or in the aggregate, have a Material Adverse Effect.</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c>
          <w:tcPr>
            <w:tcW w:w="170" w:type="dxa"/>
            <w:tcBorders/>
            <w:vAlign w:val="center"/>
          </w:tcPr>
          <w:p>
            <w:pPr>
              <w:pStyle w:val="TableContents"/>
              <w:bidi w:val="0"/>
              <w:spacing w:before="0" w:after="283"/>
              <w:jc w:val="center"/>
            </w:pPr>
            <w:r>
              <w:t>9</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2.17. </w:t>
      </w:r>
      <w:r>
        <w:rPr>
          <w:rFonts w:ascii="Times New Roman;Times;Serif" w:hAnsi="Times New Roman;Times;Serif"/>
          <w:b/>
          <w:i w:val="false"/>
          <w:caps w:val="false"/>
          <w:smallCaps w:val="false"/>
          <w:sz w:val="20"/>
          <w:u w:val="single"/>
        </w:rPr>
        <w:t>No Conflicts</w:t>
      </w:r>
      <w:r>
        <w:rPr>
          <w:rFonts w:ascii="Times New Roman;Times;Serif" w:hAnsi="Times New Roman;Times;Serif"/>
          <w:b w:val="false"/>
          <w:i w:val="false"/>
          <w:caps w:val="false"/>
          <w:smallCaps w:val="false"/>
          <w:sz w:val="20"/>
        </w:rPr>
        <w:t>. None of (i) the execution, delivery and performance of this Agreement by the Company, (ii) the issuance, sale and delivery of the Closing Units or the Option Securities, (iii) the application of the proceeds of the offering as described under “Use of Proceeds” in the Registration Statement, the Pricing Disclosure Package and the Final Prospectus, or (iv) the consummation of the transactions contemplated herein will: (x) result in any violation of the terms or provisions of the charter, by-laws or similar organizational documents of the Company or any of its subsidiaries; (y) conflict with, result in a breach or violation of, or require the approval of stockholders, members or partners or any approval or consent of any persons under, any of the terms or provisions of,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note agreement, contract, undertaking or other agreement, obligation, condition, covenant or instrument to which the Company or any of its subsidiaries is a party or by which the Company or any of its subsidiaries is bound or to which any property, right or asset of the Company or any of its subsidiaries is subject; or (z) result in the violation of any law, statute, judgment, order, rule, decree or regulation applicable to the Company or any of its subsidiaries of any court, arbitrator, governmental or regulatory authority, agency or body having jurisdiction over the Company or any of its subsidiaries or any of their respective properties or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2.18. </w:t>
      </w:r>
      <w:r>
        <w:rPr>
          <w:rFonts w:ascii="Times New Roman;Times;Serif" w:hAnsi="Times New Roman;Times;Serif"/>
          <w:b/>
          <w:i w:val="false"/>
          <w:caps w:val="false"/>
          <w:smallCaps w:val="false"/>
          <w:sz w:val="20"/>
          <w:u w:val="single"/>
        </w:rPr>
        <w:t>No Consents Required</w:t>
      </w:r>
      <w:r>
        <w:rPr>
          <w:rFonts w:ascii="Times New Roman;Times;Serif" w:hAnsi="Times New Roman;Times;Serif"/>
          <w:b w:val="false"/>
          <w:i w:val="false"/>
          <w:caps w:val="false"/>
          <w:smallCaps w:val="false"/>
          <w:sz w:val="20"/>
        </w:rPr>
        <w:t>. No consent, approval, authorization, order, filing, registration, license or qualification of or with any court, arbitrator, or governmental or regulatory authority, agency, or body is required for (i) the execution, delivery and performance by the Company of this Agreement; (ii) the issuance, sale and delivery of the Securities ; or (iii) the consummation of the transactions contemplated herein, except for such consents, approvals, authorizations, orders, filings, registrations or qualifications as (x) have already been obtained or made and are still in full force and effect, (y) may be required by FINRA and the Nasdaq Capital Market, and (z) may be required under applicable state securities laws in connection with the purchase, distribution and resale of the Securities by the Underwriter.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2.19. </w:t>
      </w:r>
      <w:r>
        <w:rPr>
          <w:rFonts w:ascii="Times New Roman;Times;Serif" w:hAnsi="Times New Roman;Times;Serif"/>
          <w:b/>
          <w:i w:val="false"/>
          <w:caps w:val="false"/>
          <w:smallCaps w:val="false"/>
          <w:sz w:val="20"/>
          <w:u w:val="single"/>
        </w:rPr>
        <w:t>Independent Accountants</w:t>
      </w:r>
      <w:r>
        <w:rPr>
          <w:rFonts w:ascii="Times New Roman;Times;Serif" w:hAnsi="Times New Roman;Times;Serif"/>
          <w:b w:val="false"/>
          <w:i w:val="false"/>
          <w:caps w:val="false"/>
          <w:smallCaps w:val="false"/>
          <w:sz w:val="20"/>
        </w:rPr>
        <w:t>. Bush &amp; Associates CPA LLC, with offices at 9555 South Eastern Avenue, Suite 280, Las Vegas, NV 89123, which expressed its opinion with respect to the financial statements (which term as used in this Agreement includes the related notes thereto) and supporting schedules included in the Registration Statement, the Pricing Disclosure Package and the Final Prospectus, is an independent registered public accounting firm with respect to the Company and its subsidiaries within the meaning of the rules and regulations of the Commission and the Public Company Accounting Oversight Board and as required by the Securities Act.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10</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 </w:t>
      </w:r>
      <w:r>
        <w:rPr>
          <w:rFonts w:ascii="Times New Roman;Times;Serif" w:hAnsi="Times New Roman;Times;Serif"/>
          <w:b/>
          <w:i w:val="false"/>
          <w:caps w:val="false"/>
          <w:smallCaps w:val="false"/>
          <w:sz w:val="20"/>
          <w:u w:val="single"/>
        </w:rPr>
        <w:t>Financial Statements and Other Financial Data</w:t>
      </w:r>
      <w:r>
        <w:rPr>
          <w:rFonts w:ascii="Times New Roman;Times;Serif" w:hAnsi="Times New Roman;Times;Serif"/>
          <w:b w:val="false"/>
          <w:i w:val="false"/>
          <w:caps w:val="false"/>
          <w:smallCaps w:val="false"/>
          <w:sz w:val="20"/>
        </w:rPr>
        <w:t>. The financial statements (including the related notes thereto), together with the supporting schedules, included in the Registration Statement, the Pricing Disclosure Package and the Final Prospectus comply in all material respects with the applicable requirements of the Securities Act and present fairly the consolidated financial position of the entities to which they relate as of and at the dates indicated and the results of their operations and cash flows for the periods specified. Such financial statements, notes and schedules have been prepared in conformity with GAAP applied on a consistent basis throughout the periods involved, except as may be expressly stated in the notes thereto and except, in the case of unaudited interim financial statements, subject to normal year end audit adjustments and the exclusion of certain footnotes as permitted by the applicable rules of the Commission. The financial data set forth in the Registration Statement, the Pricing Disclosure Package and the Final Prospectus under the captions “Capitalization” present fairly the information set forth therein on a basis consistent with that of the audited financial statements included in the Registration Statement, the Pricing Disclosure Package and the Final Prospectus.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The statistical and market-related data included in the Registration Statement, the Pricing Disclosure Package and the Final Prospectus are based on or derived from sources that the Company reasonably and in good faith believes to be accurate and reliable in all material respects.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included in the Registration Statement, the Pricing Disclosure Package or the Final Prospectus has been made or reaffirmed without a reasonable basis or has been disclosed other than in good faith.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i w:val="false"/>
          <w:caps w:val="false"/>
          <w:smallCaps w:val="false"/>
          <w:sz w:val="20"/>
          <w:u w:val="single"/>
        </w:rPr>
        <w:t>Legal Proceedings</w:t>
      </w:r>
      <w:r>
        <w:rPr>
          <w:rFonts w:ascii="Times New Roman;Times;Serif" w:hAnsi="Times New Roman;Times;Serif"/>
          <w:b w:val="false"/>
          <w:i w:val="false"/>
          <w:caps w:val="false"/>
          <w:smallCaps w:val="false"/>
          <w:sz w:val="20"/>
        </w:rPr>
        <w:t>. Except as disclosed in the Registration Statement, the Pricing Disclosure Package and the Final Prospectus, (i) there are no legal, governmental or regulatory investigations, actions, demands, claims, suits, arbitrations, inquiries or proceedings (collectively, “</w:t>
      </w:r>
      <w:r>
        <w:rPr>
          <w:rFonts w:ascii="Times New Roman;Times;Serif" w:hAnsi="Times New Roman;Times;Serif"/>
          <w:b/>
          <w:i w:val="false"/>
          <w:caps w:val="false"/>
          <w:smallCaps w:val="false"/>
          <w:sz w:val="20"/>
          <w:u w:val="single"/>
        </w:rPr>
        <w:t>Actions</w:t>
      </w:r>
      <w:r>
        <w:rPr>
          <w:rFonts w:ascii="Times New Roman;Times;Serif" w:hAnsi="Times New Roman;Times;Serif"/>
          <w:b w:val="false"/>
          <w:i w:val="false"/>
          <w:caps w:val="false"/>
          <w:smallCaps w:val="false"/>
          <w:sz w:val="20"/>
        </w:rPr>
        <w:t>”) pending to which the Company or any of its subsidiaries is or may be a party or to which any property, right or asset of the Company or any of its subsidiaries is or may be the subject that, individually or in the aggregate, if determined adversely to the Company or any of its subsidiaries, could have a Material Adverse Effect; and (ii) to the knowledge of the Company, no such Actions are threatened or contemplated by any governmental or regulatory authority or by others.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i w:val="false"/>
          <w:caps w:val="false"/>
          <w:smallCaps w:val="false"/>
          <w:sz w:val="20"/>
          <w:u w:val="single"/>
        </w:rPr>
        <w:t>Labor Disputes</w:t>
      </w:r>
      <w:r>
        <w:rPr>
          <w:rFonts w:ascii="Times New Roman;Times;Serif" w:hAnsi="Times New Roman;Times;Serif"/>
          <w:b w:val="false"/>
          <w:i w:val="false"/>
          <w:caps w:val="false"/>
          <w:smallCaps w:val="false"/>
          <w:sz w:val="20"/>
        </w:rPr>
        <w:t>. No labor disturbance by or dispute with the employees of the Company or any of its subsidiaries exists or, to the knowledge of the Company, is threatened or contemplated that could, individually or in the aggregate, have a Material Adverse Effect.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11</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 </w:t>
      </w:r>
      <w:r>
        <w:rPr>
          <w:rFonts w:ascii="Times New Roman;Times;Serif" w:hAnsi="Times New Roman;Times;Serif"/>
          <w:b/>
          <w:i w:val="false"/>
          <w:caps w:val="false"/>
          <w:smallCaps w:val="false"/>
          <w:sz w:val="20"/>
          <w:u w:val="single"/>
        </w:rPr>
        <w:t>Intellectual Property Rights</w:t>
      </w:r>
      <w:r>
        <w:rPr>
          <w:rFonts w:ascii="Times New Roman;Times;Serif" w:hAnsi="Times New Roman;Times;Serif"/>
          <w:b w:val="false"/>
          <w:i w:val="false"/>
          <w:caps w:val="false"/>
          <w:smallCaps w:val="false"/>
          <w:sz w:val="20"/>
        </w:rPr>
        <w:t>. (i) The Company and its subsidiaries own or have the right to use all patents, patent applications, trademarks, service marks, trade names, and other source indicators and registrations and applications for registration thereof, domain name registrations, copyrights and registrations and applications for registration thereof, technology and know-how, trade secrets, and all other intellectual property and related proprietary rights (collectively, “</w:t>
      </w:r>
      <w:r>
        <w:rPr>
          <w:rFonts w:ascii="Times New Roman;Times;Serif" w:hAnsi="Times New Roman;Times;Serif"/>
          <w:b/>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necessary to conduct their respective businesses; (ii) other than as disclosed in the Prospectus, neither the Company nor any of its subsidiaries has received any notice of infringement, misappropriation or other conflict with (and neither the Company nor any of its subsidiaries is otherwise aware of any infringement, misappropriation or other conflict with) the Intellectual Property Rights of any other person, except for such infringement, misappropriation or other conflict as could not have a Material Adverse Effect; and (iii) to the knowledge of the Company, the Intellectual Property Rights of the Company and its subsidiaries are not being infringed, misappropriated or otherwise violated by any person.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2.26. </w:t>
      </w:r>
      <w:r>
        <w:rPr>
          <w:rFonts w:ascii="Times New Roman;Times;Serif" w:hAnsi="Times New Roman;Times;Serif"/>
          <w:b/>
          <w:i w:val="false"/>
          <w:caps w:val="false"/>
          <w:smallCaps w:val="false"/>
          <w:sz w:val="20"/>
          <w:u w:val="single"/>
        </w:rPr>
        <w:t>Licenses and Permits</w:t>
      </w:r>
      <w:r>
        <w:rPr>
          <w:rFonts w:ascii="Times New Roman;Times;Serif" w:hAnsi="Times New Roman;Times;Serif"/>
          <w:b w:val="false"/>
          <w:i w:val="false"/>
          <w:caps w:val="false"/>
          <w:smallCaps w:val="false"/>
          <w:sz w:val="20"/>
        </w:rPr>
        <w:t>. (i) The Company and its subsidiaries possess such valid and current certificates, authorizations, approvals, licenses and permits (collectively, “</w:t>
      </w:r>
      <w:r>
        <w:rPr>
          <w:rFonts w:ascii="Times New Roman;Times;Serif" w:hAnsi="Times New Roman;Times;Serif"/>
          <w:b/>
          <w:i w:val="false"/>
          <w:caps w:val="false"/>
          <w:smallCaps w:val="false"/>
          <w:sz w:val="20"/>
          <w:u w:val="single"/>
        </w:rPr>
        <w:t>Authorizations</w:t>
      </w:r>
      <w:r>
        <w:rPr>
          <w:rFonts w:ascii="Times New Roman;Times;Serif" w:hAnsi="Times New Roman;Times;Serif"/>
          <w:b w:val="false"/>
          <w:i w:val="false"/>
          <w:caps w:val="false"/>
          <w:smallCaps w:val="false"/>
          <w:sz w:val="20"/>
        </w:rPr>
        <w:t>”) issued by, and have made all declarations, amendments, supplements and filings with, the appropriate state, federal or foreign regulatory agencies or bodies necessary to own, lease and operate their respective properties and to conduct their respective businesses as set forth in the Registration Statement, the Pricing Disclosure Package and the Final Prospectus; (ii) all such Authorizations are valid and in full force and effect and the Company and its subsidiaries are in compliance with the terms and conditions of all such Authorizations; and (iii) neither the Company nor any of its subsidiaries has received notice of any revocation, termination or modification of, or non-compliance with, any such Authorization or has any reason to believe that any such Authorization will not be renewed in the ordinary course, except where, in the case of clauses (i), (ii) and (iii), the failure to possess, make or obtain such Authorizations (by possession, declaration or filing) could not, individually or in the aggregate,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2.27. </w:t>
      </w:r>
      <w:r>
        <w:rPr>
          <w:rFonts w:ascii="Times New Roman;Times;Serif" w:hAnsi="Times New Roman;Times;Serif"/>
          <w:b/>
          <w:i w:val="false"/>
          <w:caps w:val="false"/>
          <w:smallCaps w:val="false"/>
          <w:sz w:val="20"/>
          <w:u w:val="single"/>
        </w:rPr>
        <w:t>Title to Property</w:t>
      </w:r>
      <w:r>
        <w:rPr>
          <w:rFonts w:ascii="Times New Roman;Times;Serif" w:hAnsi="Times New Roman;Times;Serif"/>
          <w:b w:val="false"/>
          <w:i w:val="false"/>
          <w:caps w:val="false"/>
          <w:smallCaps w:val="false"/>
          <w:sz w:val="20"/>
        </w:rPr>
        <w:t>. The Company and its subsidiaries have good and marketable title to, or have valid and enforceable rights to lease or otherwise use, all items of real property and personal property (other than with respect to Intellectual Property Rights, which is addressed exclusively in Section 2.25) that are material to the respective businesses of the Company and its subsidiaries, in each case, free and clear of all liens, encumbrances, claims, and defects and imperfections of title, except such liens, encumbrances, claims, defects and imperfections as (i) are disclosed in the Registration Statement, the Pricing Disclosure Package and the Final Prospectus, or (ii) do not materially affect the value of such property and do not materially interfere with the use made or proposed to be made of such property by the Company and its subsidiaries. All items of real and personal property held under lease by the Company and its subsidiaries are held under valid, subsisting and enforceable leases, with such exceptions as do not materially interfere with the use made or proposed to be made of such property by the Company and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2.28.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The Company and each of its subsidiaries have filed all federal, state, local and foreign tax returns required to be filed through the date hereof or have timely requested extensions thereof and have paid all taxes required to be paid thereon (except as currently being contested in good faith and for which reserves required by GAAP have been created in the financial statements of the Company). The charges, accruals and reserves in respect of any income and other tax liability in the financial statements of the Company referred to in Section 2.20 are adequate, in accordance with GAAP principles, to meet any assessments for any taxes of the Company accruing through the end of the last period specified in such financial statements.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12</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2.29. </w:t>
      </w:r>
      <w:r>
        <w:rPr>
          <w:rFonts w:ascii="Times New Roman;Times;Serif" w:hAnsi="Times New Roman;Times;Serif"/>
          <w:b/>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Closing Date, after giving effect to the receipt by the Company of the proceeds from the sale of the Closing Units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after the Closing Date. The Registration Statement sets forth as of the date hereof all outstanding secured and unsecured Indebtedness of the Company or any Subsidiary, or for which the Company or any Subsidiary has commitments. Neither the Company nor any Subsidiary is in default with respect to any Indebtedness.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2.30. </w:t>
      </w:r>
      <w:r>
        <w:rPr>
          <w:rFonts w:ascii="Times New Roman;Times;Serif" w:hAnsi="Times New Roman;Times;Serif"/>
          <w:b/>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Company nor any of its subsidiaries is or, after giving effect to the offer and sale of the Securities and the application of the proceeds therefrom as described under “Use of Proceeds” in the Registration Statement, the Pricing Disclosure Package and the Final Prospectus, will be required to register as an “investment company” (as defined in the Investment Company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The Company and its subsidiaries are insured by recognized, financially sound institutions in such amounts, with such deductibles and covering such losses and risks as the Company reasonably believes to be adequate for the conduct of their respective businesses and the value of their respective properties and as is prudent and customary for companies engaged in similar businesses in similar industries. All insurance policies and fidelity or surety bonds insuring the Company and its subsidiaries or their respective businesses, assets, employees, officers and directors are in full force and effect; the Company and its subsidiaries are in compliance with the terms of such policies in all material respects; neither the Company nor any of its subsidiaries has received notice from any insurer or agent of such insurer that capital improvements or other expenditures are required to be made in order to continue such insurance; and neither the Company nor any of its subsidiaries has been refused any insurance coverage sought or applied for. There are no claims by the Company or any of its subsidiaries under any such policy as to which any insurer is denying liability or defending under a reservation of rights clause;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could not have a Material Adverse Effect.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13</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w:t>
      </w:r>
      <w:r>
        <w:rPr>
          <w:rFonts w:ascii="Times New Roman;Times;Serif" w:hAnsi="Times New Roman;Times;Serif"/>
          <w:b/>
          <w:i w:val="false"/>
          <w:caps w:val="false"/>
          <w:smallCaps w:val="false"/>
          <w:sz w:val="20"/>
          <w:u w:val="single"/>
        </w:rPr>
        <w:t>No Stabilization or Manipulation</w:t>
      </w:r>
      <w:r>
        <w:rPr>
          <w:rFonts w:ascii="Times New Roman;Times;Serif" w:hAnsi="Times New Roman;Times;Serif"/>
          <w:b w:val="false"/>
          <w:i w:val="false"/>
          <w:caps w:val="false"/>
          <w:smallCaps w:val="false"/>
          <w:sz w:val="20"/>
        </w:rPr>
        <w:t>. None of the Company, nor its Affiliates, or, to the knowledge of the Company, any person acting on its or any of their behalf (other than the Underwriter, as to which no representation or warranty is given) has taken, directly or indirectly, any action designed to or that has constituted or that could reasonably be expected to cause or result in the stabilization or manipulation of the price of any securities of the Company. The Company acknowledges that the Underwriter may engage in passive market making transactions in the Common Stock on the Nasdaq Capital Market (the “</w:t>
      </w:r>
      <w:r>
        <w:rPr>
          <w:rFonts w:ascii="Times New Roman;Times;Serif" w:hAnsi="Times New Roman;Times;Serif"/>
          <w:b/>
          <w:i w:val="false"/>
          <w:caps w:val="false"/>
          <w:smallCaps w:val="false"/>
          <w:sz w:val="20"/>
          <w:u w:val="single"/>
        </w:rPr>
        <w:t>Exchange</w:t>
      </w:r>
      <w:r>
        <w:rPr>
          <w:rFonts w:ascii="Times New Roman;Times;Serif" w:hAnsi="Times New Roman;Times;Serif"/>
          <w:b w:val="false"/>
          <w:i w:val="false"/>
          <w:caps w:val="false"/>
          <w:smallCaps w:val="false"/>
          <w:sz w:val="20"/>
        </w:rPr>
        <w:t>”) in accordance with Regulation M under the Exchange Act (“</w:t>
      </w:r>
      <w:r>
        <w:rPr>
          <w:rFonts w:ascii="Times New Roman;Times;Serif" w:hAnsi="Times New Roman;Times;Serif"/>
          <w:b/>
          <w:i w:val="false"/>
          <w:caps w:val="false"/>
          <w:smallCaps w:val="false"/>
          <w:sz w:val="20"/>
          <w:u w:val="single"/>
        </w:rPr>
        <w:t>Regulation M</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2.33. </w:t>
      </w:r>
      <w:r>
        <w:rPr>
          <w:rFonts w:ascii="Times New Roman;Times;Serif" w:hAnsi="Times New Roman;Times;Serif"/>
          <w:b/>
          <w:i w:val="false"/>
          <w:caps w:val="false"/>
          <w:smallCaps w:val="false"/>
          <w:sz w:val="20"/>
          <w:u w:val="single"/>
        </w:rPr>
        <w:t>Compliance with the Sarbanes-Oxley Act</w:t>
      </w:r>
      <w:r>
        <w:rPr>
          <w:rFonts w:ascii="Times New Roman;Times;Serif" w:hAnsi="Times New Roman;Times;Serif"/>
          <w:b w:val="false"/>
          <w:i w:val="false"/>
          <w:caps w:val="false"/>
          <w:smallCaps w:val="false"/>
          <w:sz w:val="20"/>
        </w:rPr>
        <w:t>. The Company and, to the knowledge of the Company, its officers and directors, in their capacities as such, are and have been in compliance with all applicable provisions of the Sarbanes-Oxley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2.34. </w:t>
      </w:r>
      <w:r>
        <w:rPr>
          <w:rFonts w:ascii="Times New Roman;Times;Serif" w:hAnsi="Times New Roman;Times;Serif"/>
          <w:b/>
          <w:i w:val="false"/>
          <w:caps w:val="false"/>
          <w:smallCaps w:val="false"/>
          <w:sz w:val="20"/>
          <w:u w:val="single"/>
        </w:rPr>
        <w:t>Accounting Controls</w:t>
      </w:r>
      <w:r>
        <w:rPr>
          <w:rFonts w:ascii="Times New Roman;Times;Serif" w:hAnsi="Times New Roman;Times;Serif"/>
          <w:b w:val="false"/>
          <w:i w:val="false"/>
          <w:caps w:val="false"/>
          <w:smallCaps w:val="false"/>
          <w:sz w:val="20"/>
        </w:rPr>
        <w:t>. The Company and its subsidiaries maintain systems of “internal control over financial reporting” (as defined in Rule 13a-15(f) of the Exchange Act) that comply with the requirements of the Exchange Act and have been designed by, or under the supervision of, their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Other than as disclosed in the Registration Statement, the Company maintains a system of internal control over financial reporting and the Company is not aware of any other material weaknesses in its internal control over financial reporting (whether or not remediated). Other than as disclosed in the Registration Statement, since the date of the most recent balance sheet included in the Registration Statement, the Pricing Disclosure Package and the Final Prospectus, (x) the Company’s auditors and the board of directors of the Company have not been advised of (A) any new significant deficiencies or material weaknesses in the design or operation of the internal control over financial reporting of the Company and its subsidiaries which could adversely affect the Company’s ability to record, process, summarize, and report financial data; or (B) any fraud, whether or not material, that involves management or other employees who have a role in the internal control over financial reporting of the Company or its subsidiaries; and (y) there have been no significant changes in the internal control over financial reporting of the Company or its subsidiaries or in other factors that could significantly affect, such internal control over financial reporting, including any corrective actions with regard to significant deficiencies or material weaknesses, since the respective dates as of which information is given in the Registration Statement, the Pricing Disclosure Package and the Final Prospectus.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14</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2.35. </w:t>
      </w:r>
      <w:r>
        <w:rPr>
          <w:rFonts w:ascii="Times New Roman;Times;Serif" w:hAnsi="Times New Roman;Times;Serif"/>
          <w:b/>
          <w:i w:val="false"/>
          <w:caps w:val="false"/>
          <w:smallCaps w:val="false"/>
          <w:sz w:val="20"/>
          <w:u w:val="single"/>
        </w:rPr>
        <w:t>Disclosure Controls and Procedures</w:t>
      </w:r>
      <w:r>
        <w:rPr>
          <w:rFonts w:ascii="Times New Roman;Times;Serif" w:hAnsi="Times New Roman;Times;Serif"/>
          <w:b w:val="false"/>
          <w:i w:val="false"/>
          <w:caps w:val="false"/>
          <w:smallCaps w:val="false"/>
          <w:sz w:val="20"/>
        </w:rPr>
        <w:t>. The Company and its subsidiaries have established and maintain disclosure controls and procedures (as such term is defined in Rule 13a-15(e) under the Exchange Act) that are designed to comply with the requirements of the Exchange Act; such disclosure controls and procedures are designed to ensure that information required to be disclosed by the Company and its subsidiaries in the reports they file or submit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such disclosure controls and procedures are effective to perform the functions for which they were established.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2.36. </w:t>
      </w:r>
      <w:r>
        <w:rPr>
          <w:rFonts w:ascii="Times New Roman;Times;Serif" w:hAnsi="Times New Roman;Times;Serif"/>
          <w:b/>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 The Company and each of its subsidiaries (i) are, and at all times prior hereto were, in compliance with all Environmental Laws (as defined below)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and, except as described in the Registration Statement, the Pricing Disclosure Package and the Final Prospectus, (x) there are no proceedings that are pending, or known to be contemplated, against the Company or any of its subsidiaries under Environmental Laws, other than such proceedings regarding which would not, individually or in the aggregate, have a Material Adverse Effect; (y) to the knowledge of the Company, none of the Company or any of its subsidiaries is aware of any issues regarding compliance with Environmental Laws, including any pending or proposed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any of its subsidiaries anticipates material capital expenditures relating to Environmental Laws. As used herein, the term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means any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the use, handling, storage, manufacturing, transportation, treatment, discharge, disposal or release of hazardous or toxic substances or wastes, pollutants or contaminants.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15</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2.37.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Each “employee benefit plan” (within the meaning of Section 3(3) of the Employee Retirement Security Act of 1974, as amended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for which the Company or any member of its “Controlled Group” (defined as any organization which is a member of a controlled group of corporations within the meaning of Section 414 of the Code) would have any liability (each, a “</w:t>
      </w:r>
      <w:r>
        <w:rPr>
          <w:rFonts w:ascii="Times New Roman;Times;Serif" w:hAnsi="Times New Roman;Times;Serif"/>
          <w:b/>
          <w:i w:val="false"/>
          <w:caps w:val="false"/>
          <w:smallCaps w:val="false"/>
          <w:sz w:val="20"/>
          <w:u w:val="single"/>
        </w:rPr>
        <w:t>Plan</w:t>
      </w:r>
      <w:r>
        <w:rPr>
          <w:rFonts w:ascii="Times New Roman;Times;Serif" w:hAnsi="Times New Roman;Times;Serif"/>
          <w:b w:val="false"/>
          <w:i w:val="false"/>
          <w:caps w:val="false"/>
          <w:smallCaps w:val="false"/>
          <w:sz w:val="20"/>
        </w:rPr>
        <w:t>”) complies in form with the requirements of all applicable statutes, rules and regulations including ERISA and the Code, and has been maintained and administered in substantial compliance with its terms and with the requirements of all applicable statutes, rules and regulations including ERISA and the Code; (ii) with respect to each Plan subject to Title IV of ERISA or Section 302 of ERISA or Section 412 and 430 of the Code (A) no “reportable event” (within the meaning of Section 4043(c) of ERISA) has occurred or is reasonably expected to occur, (B) no failure to satisfy the minimum funding standard (within the meaning of Section 302 of ERISA or Section 412 and 430 of the Code), whether or not waived, has occurred or is reasonably expected to occur, (C) the fair market value of the assets under each Plan (excluding for these purposes accrued but unpaid contributions)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(iii) each Plan that is intended to be qualified under Section 401(a) of the Code is so qualified and nothing has occurred, whether by action or by failure to act, which would cause the loss of such qualification; and (iv) no prohibited transaction, within the meaning of Section 406 of ERISA or Section 4975 of the Code, has occurred with respect to any Plan excluding transactions to which a statutory or administrative prohibited transaction exemption applies.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2.38. </w:t>
      </w:r>
      <w:r>
        <w:rPr>
          <w:rFonts w:ascii="Times New Roman;Times;Serif" w:hAnsi="Times New Roman;Times;Serif"/>
          <w:b/>
          <w:i w:val="false"/>
          <w:caps w:val="false"/>
          <w:smallCaps w:val="false"/>
          <w:sz w:val="20"/>
          <w:u w:val="single"/>
        </w:rPr>
        <w:t>Related Party Transactions</w:t>
      </w:r>
      <w:r>
        <w:rPr>
          <w:rFonts w:ascii="Times New Roman;Times;Serif" w:hAnsi="Times New Roman;Times;Serif"/>
          <w:b w:val="false"/>
          <w:i w:val="false"/>
          <w:caps w:val="false"/>
          <w:smallCaps w:val="false"/>
          <w:sz w:val="20"/>
        </w:rPr>
        <w:t>. Except as disclosed in the Registration Statement, the Pricing Disclosure Package and the Final Prospectus, no relationship, direct or indirect, exists between or among the Company or any of its subsidiaries, on the one hand, and the directors, officers, stockholders, other Affiliates, customers or suppliers of the Company or any of its subsidiaries, on the other hand, that would be required by the Securities Act to be described in the Registration Statement, the Pricing Disclosure Package and the Final Prospectus.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2.39. </w:t>
      </w:r>
      <w:r>
        <w:rPr>
          <w:rFonts w:ascii="Times New Roman;Times;Serif" w:hAnsi="Times New Roman;Times;Serif"/>
          <w:b/>
          <w:i w:val="false"/>
          <w:caps w:val="false"/>
          <w:smallCaps w:val="false"/>
          <w:sz w:val="20"/>
          <w:u w:val="single"/>
        </w:rPr>
        <w:t>No Unlawful Contributions or Other Payments</w:t>
      </w:r>
      <w:r>
        <w:rPr>
          <w:rFonts w:ascii="Times New Roman;Times;Serif" w:hAnsi="Times New Roman;Times;Serif"/>
          <w:b w:val="false"/>
          <w:i w:val="false"/>
          <w:caps w:val="false"/>
          <w:smallCaps w:val="false"/>
          <w:sz w:val="20"/>
        </w:rPr>
        <w:t>. Neither the Company nor any of its subsidiaries, nor any director, officer of the Company, nor, to the knowledge of the Company, any agent, employee, Affiliate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or regulatory official or employee; (iii) made any bribe, rebate, payoff, influence payment, kickback or other unlawful payment; or (iv) violated or is in violation of any provision of (y) the Foreign Corrupt Practices Act of 1977, as amended, and the rules and regulations thereunder (the “</w:t>
      </w:r>
      <w:r>
        <w:rPr>
          <w:rFonts w:ascii="Times New Roman;Times;Serif" w:hAnsi="Times New Roman;Times;Serif"/>
          <w:b/>
          <w:i w:val="false"/>
          <w:caps w:val="false"/>
          <w:smallCaps w:val="false"/>
          <w:sz w:val="20"/>
          <w:u w:val="single"/>
        </w:rPr>
        <w:t>FCPA</w:t>
      </w:r>
      <w:r>
        <w:rPr>
          <w:rFonts w:ascii="Times New Roman;Times;Serif" w:hAnsi="Times New Roman;Times;Serif"/>
          <w:b w:val="false"/>
          <w:i w:val="false"/>
          <w:caps w:val="false"/>
          <w:smallCaps w:val="false"/>
          <w:sz w:val="20"/>
        </w:rPr>
        <w:t>”), or (z) any non-U.S. anti-bribery or anti-corruption statute or regulation. The Company and its subsidiaries have instituted and maintain and enforce policies and procedures designed to promote and ensure compliance with all applicable anti-bribery and anti-corruption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2.40. </w:t>
      </w:r>
      <w:r>
        <w:rPr>
          <w:rFonts w:ascii="Times New Roman;Times;Serif" w:hAnsi="Times New Roman;Times;Serif"/>
          <w:b/>
          <w:i w:val="false"/>
          <w:caps w:val="false"/>
          <w:smallCaps w:val="false"/>
          <w:sz w:val="20"/>
          <w:u w:val="single"/>
        </w:rPr>
        <w:t>Compliance with Anti-Money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all applicable financial recordkeeping and reporting requirements, including those of the Currency and Foreign Transactions Reporting Act of 1970, as amended, the applicable anti-money laundering statutes of all jurisdictions where the Company or any of its subsidiaries conduct business,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u w:val="single"/>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16</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2.41. </w:t>
      </w:r>
      <w:r>
        <w:rPr>
          <w:rFonts w:ascii="Times New Roman;Times;Serif" w:hAnsi="Times New Roman;Times;Serif"/>
          <w:b/>
          <w:i w:val="false"/>
          <w:caps w:val="false"/>
          <w:smallCaps w:val="false"/>
          <w:sz w:val="20"/>
          <w:u w:val="single"/>
        </w:rPr>
        <w:t>Compliance with OFAC</w:t>
      </w:r>
      <w:r>
        <w:rPr>
          <w:rFonts w:ascii="Times New Roman;Times;Serif" w:hAnsi="Times New Roman;Times;Serif"/>
          <w:b w:val="false"/>
          <w:i w:val="false"/>
          <w:caps w:val="false"/>
          <w:smallCaps w:val="false"/>
          <w:sz w:val="20"/>
        </w:rPr>
        <w:t>. Neither the Company nor any of its subsidiaries nor any director, officer of the Company, nor, to the knowledge of the Company, any agent, employee or Affiliate of the Company or any of its subsidiaries is an individual or entity (an “</w:t>
      </w:r>
      <w:r>
        <w:rPr>
          <w:rFonts w:ascii="Times New Roman;Times;Serif" w:hAnsi="Times New Roman;Times;Serif"/>
          <w:b/>
          <w:i w:val="false"/>
          <w:caps w:val="false"/>
          <w:smallCaps w:val="false"/>
          <w:sz w:val="20"/>
          <w:u w:val="single"/>
        </w:rPr>
        <w:t>OFAC Person</w:t>
      </w:r>
      <w:r>
        <w:rPr>
          <w:rFonts w:ascii="Times New Roman;Times;Serif" w:hAnsi="Times New Roman;Times;Serif"/>
          <w:b w:val="false"/>
          <w:i w:val="false"/>
          <w:caps w:val="false"/>
          <w:smallCaps w:val="false"/>
          <w:sz w:val="20"/>
        </w:rPr>
        <w:t>”), or is owned or controlled by an OFAC Person, that is currently the subject or target of any sanctions administered or enforced by the U.S. government (including, without limitation, the Office of Foreign Assets Control of the U.S. Treasury Department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Times;Serif" w:hAnsi="Times New Roman;Times;Serif"/>
          <w:b/>
          <w:i w:val="false"/>
          <w:caps w:val="false"/>
          <w:smallCaps w:val="false"/>
          <w:sz w:val="20"/>
          <w:u w:val="single"/>
        </w:rPr>
        <w:t>Sanctions</w:t>
      </w:r>
      <w:r>
        <w:rPr>
          <w:rFonts w:ascii="Times New Roman;Times;Serif" w:hAnsi="Times New Roman;Times;Serif"/>
          <w:b w:val="false"/>
          <w:i w:val="false"/>
          <w:caps w:val="false"/>
          <w:smallCaps w:val="false"/>
          <w:sz w:val="20"/>
        </w:rPr>
        <w:t>”), nor is the Company or any of its subsidiaries located, organized or resident in a country or territory that is the subject or the target of Sanctions, including, without limitation, Crimea, Cuba, Iran, North Korea, Sudan and Syria (each, a “</w:t>
      </w:r>
      <w:r>
        <w:rPr>
          <w:rFonts w:ascii="Times New Roman;Times;Serif" w:hAnsi="Times New Roman;Times;Serif"/>
          <w:b/>
          <w:i w:val="false"/>
          <w:caps w:val="false"/>
          <w:smallCaps w:val="false"/>
          <w:sz w:val="20"/>
          <w:u w:val="single"/>
        </w:rPr>
        <w:t>Sanctioned Country</w:t>
      </w:r>
      <w:r>
        <w:rPr>
          <w:rFonts w:ascii="Times New Roman;Times;Serif" w:hAnsi="Times New Roman;Times;Serif"/>
          <w:b w:val="false"/>
          <w:i w:val="false"/>
          <w:caps w:val="false"/>
          <w:smallCaps w:val="false"/>
          <w:sz w:val="20"/>
        </w:rPr>
        <w:t>”); and the Company will not directly or indirectly use the proceeds of the offering, or lend, contribute or otherwise make available such proceeds to any subsidiary, joint venture partner or other OFAC Person (i) to fund or facilitate any activities of or business with any OFAC Person that, at the time of such funding or facilitation, is the subject or the target of Sanctions, (ii) to fund or facilitate any activities or business in any Sanctioned Country or (iii) in any other manner that will result in a violation by any OFAC Person (including any OFAC Person participating in the transaction, whether as underwriter, advisor, investor or otherwise) of Sanctions. Since the Company’s inception, the Company and its subsidiaries have not knowingly engaged in and are not now knowingly engaged in any dealings or transactions with any OFAC Person that at the time of the dealing or transaction is or was the subject or the target of Sanctions or with any Sanctioned Country.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2.42. </w:t>
      </w:r>
      <w:r>
        <w:rPr>
          <w:rFonts w:ascii="Times New Roman;Times;Serif" w:hAnsi="Times New Roman;Times;Serif"/>
          <w:b/>
          <w:i w:val="false"/>
          <w:caps w:val="false"/>
          <w:smallCaps w:val="false"/>
          <w:sz w:val="20"/>
          <w:u w:val="single"/>
        </w:rPr>
        <w:t>No Registration Rights</w:t>
      </w:r>
      <w:r>
        <w:rPr>
          <w:rFonts w:ascii="Times New Roman;Times;Serif" w:hAnsi="Times New Roman;Times;Serif"/>
          <w:b w:val="false"/>
          <w:i w:val="false"/>
          <w:caps w:val="false"/>
          <w:smallCaps w:val="false"/>
          <w:sz w:val="20"/>
        </w:rPr>
        <w:t>. Except as described in the Registration Statement, the Pricing Disclosure Package and the Final Prospectus, there are no contracts, agreements or understandings between the Company or any of its subsidiaries, on the one hand, and any person, on the other hand, granting such person any rights to require the Company or any of its subsidiaries to file a registration statement under the Securities Act with respect to any securities of the Company or any of its subsidiaries owned or to be owned by such person or to require the Company or any of its subsidiaries to include such securities in any securities to be registered pursuant to any registration statement to be filed by the Company or any of its subsidiaries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2.43. </w:t>
      </w:r>
      <w:r>
        <w:rPr>
          <w:rFonts w:ascii="Times New Roman;Times;Serif" w:hAnsi="Times New Roman;Times;Serif"/>
          <w:b/>
          <w:i w:val="false"/>
          <w:caps w:val="false"/>
          <w:smallCaps w:val="false"/>
          <w:sz w:val="20"/>
          <w:u w:val="single"/>
        </w:rPr>
        <w:t>Subsidiaries</w:t>
      </w:r>
      <w:r>
        <w:rPr>
          <w:rFonts w:ascii="Times New Roman;Times;Serif" w:hAnsi="Times New Roman;Times;Serif"/>
          <w:b w:val="false"/>
          <w:i w:val="false"/>
          <w:caps w:val="false"/>
          <w:smallCaps w:val="false"/>
          <w:sz w:val="20"/>
        </w:rPr>
        <w:t>. The subsidiaries of the Company shall be referred to hereinafter each as a “</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and collectively as “</w:t>
      </w:r>
      <w:r>
        <w:rPr>
          <w:rFonts w:ascii="Times New Roman;Times;Serif" w:hAnsi="Times New Roman;Times;Serif"/>
          <w:b/>
          <w:i w:val="false"/>
          <w:caps w:val="false"/>
          <w:smallCaps w:val="false"/>
          <w:sz w:val="20"/>
          <w:u w:val="single"/>
        </w:rPr>
        <w:t>Subsidiaries</w:t>
      </w:r>
      <w:r>
        <w:rPr>
          <w:rFonts w:ascii="Times New Roman;Times;Serif" w:hAnsi="Times New Roman;Times;Serif"/>
          <w:b w:val="false"/>
          <w:i w:val="false"/>
          <w:caps w:val="false"/>
          <w:smallCaps w:val="false"/>
          <w:sz w:val="20"/>
        </w:rPr>
        <w:t>.” The description of the corporate structure of the Company and each of the agreements among the Subsidiaries as set forth in the Registration Statement, the Pricing Disclosure Package and the Final Prospectus under the caption “Corporate History and Structure” filed as Exhibit 21.1 to the Registration Statement is true and accurate in all material respects and nothing has been omitted from such description which would make it misleading. The Subsidiaries of the Company listed in Schedule 2.43 hereto are the only “significant subsidiaries” (as defined under Rule 1.02(w) of Regulation S-X under the Securities Act) of the Company (the “</w:t>
      </w:r>
      <w:r>
        <w:rPr>
          <w:rFonts w:ascii="Times New Roman;Times;Serif" w:hAnsi="Times New Roman;Times;Serif"/>
          <w:b/>
          <w:i w:val="false"/>
          <w:caps w:val="false"/>
          <w:smallCaps w:val="false"/>
          <w:sz w:val="20"/>
          <w:u w:val="single"/>
        </w:rPr>
        <w:t>Significant Subsidiaries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17</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2.44. </w:t>
      </w:r>
      <w:r>
        <w:rPr>
          <w:rFonts w:ascii="Times New Roman;Times;Serif" w:hAnsi="Times New Roman;Times;Serif"/>
          <w:b/>
          <w:i w:val="false"/>
          <w:caps w:val="false"/>
          <w:smallCaps w:val="false"/>
          <w:sz w:val="20"/>
          <w:u w:val="single"/>
        </w:rPr>
        <w:t>No Restrictions on Subsidiaries</w:t>
      </w:r>
      <w:r>
        <w:rPr>
          <w:rFonts w:ascii="Times New Roman;Times;Serif" w:hAnsi="Times New Roman;Times;Serif"/>
          <w:b w:val="false"/>
          <w:i w:val="false"/>
          <w:caps w:val="false"/>
          <w:smallCaps w:val="false"/>
          <w:sz w:val="20"/>
        </w:rPr>
        <w:t>. Except as disclosed in the Registration Statement, the Pricing Disclosure Package and the Final Prospectus, no Subsidiary of the Company is currently prohibited, directly or indirectly, from paying any dividends to the Company, from making any other distribution on such Subsidiary’s share capital or similar ownership interest, from repaying to the Company any loans or advances to such Subsidiary from the Company or from transferring any of such Subsidiary’s properties or assets to the Company or any other Subsidiary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2.45. </w:t>
      </w:r>
      <w:r>
        <w:rPr>
          <w:rFonts w:ascii="Times New Roman;Times;Serif" w:hAnsi="Times New Roman;Times;Serif"/>
          <w:b/>
          <w:i w:val="false"/>
          <w:caps w:val="false"/>
          <w:smallCaps w:val="false"/>
          <w:sz w:val="20"/>
          <w:u w:val="single"/>
        </w:rPr>
        <w:t>Exchange Listing</w:t>
      </w:r>
      <w:r>
        <w:rPr>
          <w:rFonts w:ascii="Times New Roman;Times;Serif" w:hAnsi="Times New Roman;Times;Serif"/>
          <w:b w:val="false"/>
          <w:i w:val="false"/>
          <w:caps w:val="false"/>
          <w:smallCaps w:val="false"/>
          <w:sz w:val="20"/>
        </w:rPr>
        <w:t>. The Common Stock is listed on the Exchange, and the Company has taken no action designed to, or likely to have the effect of, delisting the Common Stock from the Exchange, nor has the Company received any notification that the Exchange is contemplating terminating such listing, except as described in the Registration Statement, the Disclosure Package and the Prospectus.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2.46. </w:t>
      </w:r>
      <w:r>
        <w:rPr>
          <w:rFonts w:ascii="Times New Roman;Times;Serif" w:hAnsi="Times New Roman;Times;Serif"/>
          <w:b/>
          <w:i w:val="false"/>
          <w:caps w:val="false"/>
          <w:smallCaps w:val="false"/>
          <w:sz w:val="20"/>
          <w:u w:val="single"/>
        </w:rPr>
        <w:t>Exchange Act Registration</w:t>
      </w:r>
      <w:r>
        <w:rPr>
          <w:rFonts w:ascii="Times New Roman;Times;Serif" w:hAnsi="Times New Roman;Times;Serif"/>
          <w:b w:val="false"/>
          <w:i w:val="false"/>
          <w:caps w:val="false"/>
          <w:smallCaps w:val="false"/>
          <w:sz w:val="20"/>
        </w:rPr>
        <w:t>. The Common Stock is registered pursuant to Section 12(b) under the Exchange Act. The Company has taken no action designed to, or likely to have the effect of, terminating the registration of the Common Stock under the Exchange Act, nor has the Company received any notification that the Commission is contemplating terminating such registration.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2.47. </w:t>
      </w:r>
      <w:r>
        <w:rPr>
          <w:rFonts w:ascii="Times New Roman;Times;Serif" w:hAnsi="Times New Roman;Times;Serif"/>
          <w:b/>
          <w:i w:val="false"/>
          <w:caps w:val="false"/>
          <w:smallCaps w:val="false"/>
          <w:sz w:val="20"/>
          <w:u w:val="single"/>
        </w:rPr>
        <w:t>Prior Securities Transactions</w:t>
      </w:r>
      <w:r>
        <w:rPr>
          <w:rFonts w:ascii="Times New Roman;Times;Serif" w:hAnsi="Times New Roman;Times;Serif"/>
          <w:b w:val="false"/>
          <w:i w:val="false"/>
          <w:caps w:val="false"/>
          <w:smallCaps w:val="false"/>
          <w:sz w:val="20"/>
        </w:rPr>
        <w:t>. No securities of the Company have been sold by the Company or by or on behalf of, or for the benefit of, any person or persons controlling, controlled by or under common control with the Company, except as disclosed in the Registration Statement, the Disclosure Package and the Prospectus.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2.48. </w:t>
      </w:r>
      <w:r>
        <w:rPr>
          <w:rFonts w:ascii="Times New Roman;Times;Serif" w:hAnsi="Times New Roman;Times;Serif"/>
          <w:b/>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as a result of the Underwriter and the Company fulfilling their obligations or exercising their rights hereunder (including documents incorporated herein by reference or attached 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2.49. </w:t>
      </w:r>
      <w:r>
        <w:rPr>
          <w:rFonts w:ascii="Times New Roman;Times;Serif" w:hAnsi="Times New Roman;Times;Serif"/>
          <w:b/>
          <w:i w:val="false"/>
          <w:caps w:val="false"/>
          <w:smallCaps w:val="false"/>
          <w:sz w:val="20"/>
          <w:u w:val="single"/>
        </w:rPr>
        <w:t>D&amp;O Questionnaires</w:t>
      </w:r>
      <w:r>
        <w:rPr>
          <w:rFonts w:ascii="Times New Roman;Times;Serif" w:hAnsi="Times New Roman;Times;Serif"/>
          <w:b w:val="false"/>
          <w:i w:val="false"/>
          <w:caps w:val="false"/>
          <w:smallCaps w:val="false"/>
          <w:sz w:val="20"/>
        </w:rPr>
        <w:t>. To the Company’s knowledge, all information contained in the questionnaires (the “</w:t>
      </w:r>
      <w:r>
        <w:rPr>
          <w:rFonts w:ascii="Times New Roman;Times;Serif" w:hAnsi="Times New Roman;Times;Serif"/>
          <w:b/>
          <w:i w:val="false"/>
          <w:caps w:val="false"/>
          <w:smallCaps w:val="false"/>
          <w:sz w:val="20"/>
          <w:u w:val="single"/>
        </w:rPr>
        <w:t>Questionnaires</w:t>
      </w:r>
      <w:r>
        <w:rPr>
          <w:rFonts w:ascii="Times New Roman;Times;Serif" w:hAnsi="Times New Roman;Times;Serif"/>
          <w:b w:val="false"/>
          <w:i w:val="false"/>
          <w:caps w:val="false"/>
          <w:smallCaps w:val="false"/>
          <w:sz w:val="20"/>
        </w:rPr>
        <w:t>”) completed by each of the Company’s directors, officers and beneficial holders of 5% or more of the Company’s Common Stock immediately prior to the Offering as supplemented by all information concerning the Company’s directors, officers and principal stockholders as described in the Registration Statement, the Disclosure Package and the Prospectus, provided to the Underwriter is true and correct in all material respects and the Company has not become aware of any information which would cause the information disclosed in the Questionnaires to become inaccurate and incorrect in any material respect.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18</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2.50. </w:t>
      </w:r>
      <w:r>
        <w:rPr>
          <w:rFonts w:ascii="Times New Roman;Times;Serif" w:hAnsi="Times New Roman;Times;Serif"/>
          <w:b/>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Closing Units to be integrated with prior offerings by the Company for purposes of any applicable stockholder approval provisions of any Trading Market on which any of the securities of the Company are listed or designated.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2.51. </w:t>
      </w:r>
      <w:r>
        <w:rPr>
          <w:rFonts w:ascii="Times New Roman;Times;Serif" w:hAnsi="Times New Roman;Times;Serif"/>
          <w:b/>
          <w:i w:val="false"/>
          <w:caps w:val="false"/>
          <w:smallCaps w:val="false"/>
          <w:sz w:val="20"/>
          <w:u w:val="single"/>
        </w:rPr>
        <w:t>Litigation; Governmental Proceedings</w:t>
      </w:r>
      <w:r>
        <w:rPr>
          <w:rFonts w:ascii="Times New Roman;Times;Serif" w:hAnsi="Times New Roman;Times;Serif"/>
          <w:b w:val="false"/>
          <w:i w:val="false"/>
          <w:caps w:val="false"/>
          <w:smallCaps w:val="false"/>
          <w:sz w:val="20"/>
        </w:rPr>
        <w:t>. There is no material action, suit, proceeding, inquiry, arbitration, investigation, litigation or governmental proceeding pending or, to the Company’s knowledge, threatened against, or involving the Company, any of its Subsidiaries or, to the Company’s knowledge, any executive officer or director which has not been disclosed in the Registration Statement, the Disclosure Package and the Prospectus which is required to be disclosed.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2.52. </w:t>
      </w:r>
      <w:r>
        <w:rPr>
          <w:rFonts w:ascii="Times New Roman;Times;Serif" w:hAnsi="Times New Roman;Times;Serif"/>
          <w:b/>
          <w:i w:val="false"/>
          <w:caps w:val="false"/>
          <w:smallCaps w:val="false"/>
          <w:sz w:val="20"/>
          <w:u w:val="single"/>
        </w:rPr>
        <w:t>FINRA Matters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2.52.1. </w:t>
      </w:r>
      <w:r>
        <w:rPr>
          <w:rFonts w:ascii="Times New Roman;Times;Serif" w:hAnsi="Times New Roman;Times;Serif"/>
          <w:b/>
          <w:i w:val="false"/>
          <w:caps w:val="false"/>
          <w:smallCaps w:val="false"/>
          <w:sz w:val="20"/>
          <w:u w:val="single"/>
        </w:rPr>
        <w:t>No Broker’s Fees</w:t>
      </w:r>
      <w:r>
        <w:rPr>
          <w:rFonts w:ascii="Times New Roman;Times;Serif" w:hAnsi="Times New Roman;Times;Serif"/>
          <w:b w:val="false"/>
          <w:i w:val="false"/>
          <w:caps w:val="false"/>
          <w:smallCaps w:val="false"/>
          <w:sz w:val="20"/>
        </w:rPr>
        <w:t>. Except as disclosed in the Registration Statement, the Pricing Disclosure Package and the Final Prospectus, neither the Company nor any of its subsidiaries is a party to any contract, agreement or understanding with any person (other than this Agreement) that would give rise to a valid claim against any of them or the Underwriter for a brokerage commission, finder’s fee or like payment in connection with the offering and sale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2.52.2. </w:t>
      </w:r>
      <w:r>
        <w:rPr>
          <w:rFonts w:ascii="Times New Roman;Times;Serif" w:hAnsi="Times New Roman;Times;Serif"/>
          <w:b/>
          <w:i w:val="false"/>
          <w:caps w:val="false"/>
          <w:smallCaps w:val="false"/>
          <w:sz w:val="20"/>
          <w:u w:val="single"/>
        </w:rPr>
        <w:t>Payments Within Six (6) Months</w:t>
      </w:r>
      <w:r>
        <w:rPr>
          <w:rFonts w:ascii="Times New Roman;Times;Serif" w:hAnsi="Times New Roman;Times;Serif"/>
          <w:b w:val="false"/>
          <w:i w:val="false"/>
          <w:caps w:val="false"/>
          <w:smallCaps w:val="false"/>
          <w:sz w:val="20"/>
        </w:rPr>
        <w:t>. Except as described in the Registration Statement, the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six (6) months prior to the initial filing of the Registration Statement, other than the payment to the Underwriter as provided hereunder in connection with the Offering.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2.52.3.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 None of the net proceeds of the Offering will be paid by the Company to any participating FINRA member or its affiliates, except as specifically authorized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2.52.4. </w:t>
      </w:r>
      <w:r>
        <w:rPr>
          <w:rFonts w:ascii="Times New Roman;Times;Serif" w:hAnsi="Times New Roman;Times;Serif"/>
          <w:b/>
          <w:i w:val="false"/>
          <w:caps w:val="false"/>
          <w:smallCaps w:val="false"/>
          <w:sz w:val="20"/>
          <w:u w:val="single"/>
        </w:rPr>
        <w:t>FINRA Affiliation</w:t>
      </w:r>
      <w:r>
        <w:rPr>
          <w:rFonts w:ascii="Times New Roman;Times;Serif" w:hAnsi="Times New Roman;Times;Serif"/>
          <w:b w:val="false"/>
          <w:i w:val="false"/>
          <w:caps w:val="false"/>
          <w:smallCaps w:val="false"/>
          <w:sz w:val="20"/>
        </w:rPr>
        <w:t>. There is no (i) officer or director of the Company, (ii) to the Company’s knowledge, any beneficial owner of 10% or more of any class of the Company’s securities or (iii) to the Company’s knowledge, any beneficial owner of the Company’s unregistered equity securities which were acquired during the 180-Calendar Day period immediately preceding the filing of the Registration Statement that is an affiliate or associated person of a FINRA member participating in the Offering (as determined in accordance with the rules and regulations of FINRA).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2.52.5. </w:t>
      </w:r>
      <w:r>
        <w:rPr>
          <w:rFonts w:ascii="Times New Roman;Times;Serif" w:hAnsi="Times New Roman;Times;Serif"/>
          <w:b/>
          <w:i w:val="false"/>
          <w:caps w:val="false"/>
          <w:smallCaps w:val="false"/>
          <w:sz w:val="20"/>
          <w:u w:val="single"/>
        </w:rPr>
        <w:t>Information</w:t>
      </w:r>
      <w:r>
        <w:rPr>
          <w:rFonts w:ascii="Times New Roman;Times;Serif" w:hAnsi="Times New Roman;Times;Serif"/>
          <w:b w:val="false"/>
          <w:i w:val="false"/>
          <w:caps w:val="false"/>
          <w:smallCaps w:val="false"/>
          <w:sz w:val="20"/>
        </w:rPr>
        <w:t>. All information provided by the Company in its FINRA questionnaire to Underwriter Counsel specifically for use by Underwriter Counsel in connection with its Public Offering System filings (and related disclosure) with FINRA is true, correct and complete in all material respects.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19</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Representations and Warranties of the Underwriter</w:t>
            </w:r>
            <w:r>
              <w:rPr>
                <w:rFonts w:ascii="Times New Roman;Times;Serif" w:hAnsi="Times New Roman;Times;Serif"/>
                <w:b w:val="false"/>
                <w:i w:val="false"/>
                <w:caps w:val="false"/>
                <w:smallCaps w:val="false"/>
                <w:sz w:val="20"/>
              </w:rPr>
              <w:t>. The Underwriter represents and warrants to, and agrees with, the Company: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u w:val="single"/>
        </w:rPr>
        <w:t>No Testing-the-Waters Communications</w:t>
      </w:r>
      <w:r>
        <w:rPr>
          <w:rFonts w:ascii="Times New Roman;Times;Serif" w:hAnsi="Times New Roman;Times;Serif"/>
          <w:b w:val="false"/>
          <w:i w:val="false"/>
          <w:caps w:val="false"/>
          <w:smallCaps w:val="false"/>
          <w:sz w:val="20"/>
        </w:rPr>
        <w:t>. The Underwriter has not (i) alone engaged in any Testing-the-Waters Communication and (ii) authorized anyone to engage in Testing-the-Waters Communications. The Underwriter has not distributed, or authorized anyone else to distribute, any Written Testing-the-Waters Communications.</w:t>
      </w:r>
    </w:p>
    <w:p>
      <w:pPr>
        <w:pStyle w:val="TextBody"/>
        <w:bidi w:val="0"/>
        <w:spacing w:before="0" w:after="0"/>
        <w:ind w:left="72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85"/>
        <w:gridCol w:w="1820"/>
      </w:tblGrid>
      <w:t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Purchase and Resale</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u w:val="single"/>
        </w:rPr>
        <w:t>Agreements to Sell and Purchase</w:t>
      </w:r>
      <w:r>
        <w:rPr>
          <w:rFonts w:ascii="Times New Roman;Times;Serif" w:hAnsi="Times New Roman;Times;Serif"/>
          <w:b w:val="false"/>
          <w:i w:val="false"/>
          <w:caps w:val="false"/>
          <w:smallCaps w:val="false"/>
          <w:sz w:val="20"/>
        </w:rPr>
        <w:t>. On the basis of the representations, warranties and covenants herein and subject to the conditions herein and any adjustments made in accordance with Section 4.3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The Company agrees to issue and sell the Closing Units to the Underwriter.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The Underwriter agrees to purchase from the Company the number of Closing Units set forth opposite the Underwriter’s name in Schedule 4.1.2 hereto, subject to such adjustments as the Underwriter in its sole discretion shall make to eliminate any sales or purchases of fractional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The Closing Units are to be offered initially to the public at the offering price set forth on the cover page of the Final Prospectus (the “</w:t>
      </w:r>
      <w:r>
        <w:rPr>
          <w:rFonts w:ascii="Times New Roman;Times;Serif" w:hAnsi="Times New Roman;Times;Serif"/>
          <w:b/>
          <w:i w:val="false"/>
          <w:caps w:val="false"/>
          <w:smallCaps w:val="false"/>
          <w:sz w:val="20"/>
          <w:u w:val="single"/>
        </w:rPr>
        <w:t>Public Offering Price</w:t>
      </w:r>
      <w:r>
        <w:rPr>
          <w:rFonts w:ascii="Times New Roman;Times;Serif" w:hAnsi="Times New Roman;Times;Serif"/>
          <w:b w:val="false"/>
          <w:i w:val="false"/>
          <w:caps w:val="false"/>
          <w:smallCaps w:val="false"/>
          <w:sz w:val="20"/>
        </w:rPr>
        <w:t>”). The purchase price per Closing Unit to be paid by the Underwriter to the Company shall be $2.5024 per Unit (the “</w:t>
      </w:r>
      <w:r>
        <w:rPr>
          <w:rFonts w:ascii="Times New Roman;Times;Serif" w:hAnsi="Times New Roman;Times;Serif"/>
          <w:b/>
          <w:i w:val="false"/>
          <w:caps w:val="false"/>
          <w:smallCaps w:val="false"/>
          <w:sz w:val="20"/>
          <w:u w:val="single"/>
        </w:rPr>
        <w:t>Purchase Price</w:t>
      </w:r>
      <w:r>
        <w:rPr>
          <w:rFonts w:ascii="Times New Roman;Times;Serif" w:hAnsi="Times New Roman;Times;Serif"/>
          <w:b w:val="false"/>
          <w:i w:val="false"/>
          <w:caps w:val="false"/>
          <w:smallCaps w:val="false"/>
          <w:sz w:val="20"/>
        </w:rPr>
        <w:t>”), which represents the Public Offering Price less an underwriting discount of 8.0%.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Payment for the Closing Units (the “</w:t>
      </w:r>
      <w:r>
        <w:rPr>
          <w:rFonts w:ascii="Times New Roman;Times;Serif" w:hAnsi="Times New Roman;Times;Serif"/>
          <w:b/>
          <w:i w:val="false"/>
          <w:caps w:val="false"/>
          <w:smallCaps w:val="false"/>
          <w:sz w:val="20"/>
          <w:u w:val="single"/>
        </w:rPr>
        <w:t>Closing Units Payment</w:t>
      </w:r>
      <w:r>
        <w:rPr>
          <w:rFonts w:ascii="Times New Roman;Times;Serif" w:hAnsi="Times New Roman;Times;Serif"/>
          <w:b w:val="false"/>
          <w:i w:val="false"/>
          <w:caps w:val="false"/>
          <w:smallCaps w:val="false"/>
          <w:sz w:val="20"/>
        </w:rPr>
        <w:t>”) shall be made by wire transfer in immediately available funds to the accounts specified by the Company to the Underwriter at the offices of Underwriter Counsel at 10:00 a.m., ET, on November 5, 2026 or at such other place on the same or such other date and time, not later than the fifth (5th) Business Day thereafter, as the Underwriter and the Company may agree upon in writing (the “</w:t>
      </w:r>
      <w:r>
        <w:rPr>
          <w:rFonts w:ascii="Times New Roman;Times;Serif" w:hAnsi="Times New Roman;Times;Serif"/>
          <w:b/>
          <w:i w:val="false"/>
          <w:caps w:val="false"/>
          <w:smallCaps w:val="false"/>
          <w:sz w:val="20"/>
          <w:u w:val="single"/>
        </w:rPr>
        <w:t>Closing Date</w:t>
      </w:r>
      <w:r>
        <w:rPr>
          <w:rFonts w:ascii="Times New Roman;Times;Serif" w:hAnsi="Times New Roman;Times;Serif"/>
          <w:b w:val="false"/>
          <w:i w:val="false"/>
          <w:caps w:val="false"/>
          <w:smallCaps w:val="false"/>
          <w:sz w:val="20"/>
        </w:rPr>
        <w:t>”). The Closing Units Payment shall be made against delivery of the Closing Units to be purchased on the Closing Date to the Underwriter with any transfer taxes, stamp duties and other similar taxes payable in connection with the sale of the Closing Units duly paid by the Company.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20</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u w:val="single"/>
        </w:rPr>
        <w:t>Over-Allotment Option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On the basis of the representations, warranties and covenants herein and subject to the conditions herein, the Underwriter is hereby granted an option (the “</w:t>
      </w:r>
      <w:r>
        <w:rPr>
          <w:rFonts w:ascii="Times New Roman;Times;Serif" w:hAnsi="Times New Roman;Times;Serif"/>
          <w:b/>
          <w:i w:val="false"/>
          <w:caps w:val="false"/>
          <w:smallCaps w:val="false"/>
          <w:sz w:val="20"/>
          <w:u w:val="single"/>
        </w:rPr>
        <w:t>Over-Allotment Option</w:t>
      </w:r>
      <w:r>
        <w:rPr>
          <w:rFonts w:ascii="Times New Roman;Times;Serif" w:hAnsi="Times New Roman;Times;Serif"/>
          <w:b w:val="false"/>
          <w:i w:val="false"/>
          <w:caps w:val="false"/>
          <w:smallCaps w:val="false"/>
          <w:sz w:val="20"/>
        </w:rPr>
        <w:t>”) to purchase, solely for the purpose of covering over-allotments, in the aggregate, up to 744,485 additional shares of Common Stock, representing 15.0% of the Closing Units and/or Pre-funded Warrants sold in the offering from the Company (the “</w:t>
      </w:r>
      <w:r>
        <w:rPr>
          <w:rFonts w:ascii="Times New Roman;Times;Serif" w:hAnsi="Times New Roman;Times;Serif"/>
          <w:b/>
          <w:i w:val="false"/>
          <w:caps w:val="false"/>
          <w:smallCaps w:val="false"/>
          <w:sz w:val="20"/>
          <w:u w:val="single"/>
        </w:rPr>
        <w:t>Option Shares</w:t>
      </w:r>
      <w:r>
        <w:rPr>
          <w:rFonts w:ascii="Times New Roman;Times;Serif" w:hAnsi="Times New Roman;Times;Serif"/>
          <w:b w:val="false"/>
          <w:i w:val="false"/>
          <w:caps w:val="false"/>
          <w:smallCaps w:val="false"/>
          <w:sz w:val="20"/>
        </w:rPr>
        <w:t>”) and/or up to 1,488,970 Warrants to purchase an aggregate of an additional 1,488,970 shares of Common Stock, representing 30.0% of the Closing Units sold in the offering from the Company (the “</w:t>
      </w:r>
      <w:r>
        <w:rPr>
          <w:rFonts w:ascii="Times New Roman;Times;Serif" w:hAnsi="Times New Roman;Times;Serif"/>
          <w:b/>
          <w:i w:val="false"/>
          <w:caps w:val="false"/>
          <w:smallCaps w:val="false"/>
          <w:sz w:val="20"/>
          <w:u w:val="single"/>
        </w:rPr>
        <w:t>Option Warrants</w:t>
      </w:r>
      <w:r>
        <w:rPr>
          <w:rFonts w:ascii="Times New Roman;Times;Serif" w:hAnsi="Times New Roman;Times;Serif"/>
          <w:b w:val="false"/>
          <w:i w:val="false"/>
          <w:caps w:val="false"/>
          <w:smallCaps w:val="false"/>
          <w:sz w:val="20"/>
        </w:rPr>
        <w:t>”). The purchase price to be paid per Option Share shall be equal to the price per Closing Unit set forth in Section 4.1 hereof (less $0.00001 attributable to each whole Option Warrant included in the Closing Unit) and the purchase price to be paid per Option Warrant shall be equal to $0.00001 per Option Warrant. The Over-allotment Option is exercisable, at the Underwriters’ sole discretion, for Option Shares and Option Warrants together, solely Option Shares, solely Option Warrants, or any combination thereof (each, an “</w:t>
      </w:r>
      <w:r>
        <w:rPr>
          <w:rFonts w:ascii="Times New Roman;Times;Serif" w:hAnsi="Times New Roman;Times;Serif"/>
          <w:b/>
          <w:i w:val="false"/>
          <w:caps w:val="false"/>
          <w:smallCaps w:val="false"/>
          <w:sz w:val="20"/>
          <w:u w:val="single"/>
        </w:rPr>
        <w:t>Option Security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u w:val="single"/>
        </w:rPr>
        <w:t>Option Securities</w:t>
      </w:r>
      <w:r>
        <w:rPr>
          <w:rFonts w:ascii="Times New Roman;Times;Serif" w:hAnsi="Times New Roman;Times;Serif"/>
          <w:b w:val="false"/>
          <w:i w:val="false"/>
          <w:caps w:val="false"/>
          <w:smallCaps w:val="false"/>
          <w:sz w:val="20"/>
        </w:rPr>
        <w:t>”). The Closing Units and the Option Securities are collectively referred to as the “</w:t>
      </w:r>
      <w:r>
        <w:rPr>
          <w:rFonts w:ascii="Times New Roman;Times;Serif" w:hAnsi="Times New Roman;Times;Serif"/>
          <w:b/>
          <w:i w:val="false"/>
          <w:caps w:val="false"/>
          <w:smallCaps w:val="false"/>
          <w:sz w:val="20"/>
          <w:u w:val="single"/>
        </w:rPr>
        <w:t>Securities</w:t>
      </w:r>
      <w:r>
        <w:rPr>
          <w:rFonts w:ascii="Times New Roman;Times;Serif" w:hAnsi="Times New Roman;Times;Serif"/>
          <w:b w:val="false"/>
          <w:i w:val="false"/>
          <w:caps w:val="false"/>
          <w:smallCaps w:val="false"/>
          <w:sz w:val="20"/>
        </w:rPr>
        <w:t>”. The Securities and the shares of Common Stock issuable upon exercise of the Pre-funded Warrants and the Warrants (the “</w:t>
      </w:r>
      <w:r>
        <w:rPr>
          <w:rFonts w:ascii="Times New Roman;Times;Serif" w:hAnsi="Times New Roman;Times;Serif"/>
          <w:b/>
          <w:i w:val="false"/>
          <w:caps w:val="false"/>
          <w:smallCaps w:val="false"/>
          <w:sz w:val="20"/>
          <w:u w:val="single"/>
        </w:rPr>
        <w:t>Underlying Shares</w:t>
      </w:r>
      <w:r>
        <w:rPr>
          <w:rFonts w:ascii="Times New Roman;Times;Serif" w:hAnsi="Times New Roman;Times;Serif"/>
          <w:b w:val="false"/>
          <w:i w:val="false"/>
          <w:caps w:val="false"/>
          <w:smallCaps w:val="false"/>
          <w:sz w:val="20"/>
        </w:rPr>
        <w:t>”), are collectively referred to as the “</w:t>
      </w:r>
      <w:r>
        <w:rPr>
          <w:rFonts w:ascii="Times New Roman;Times;Serif" w:hAnsi="Times New Roman;Times;Serif"/>
          <w:b/>
          <w:i w:val="false"/>
          <w:caps w:val="false"/>
          <w:smallCaps w:val="false"/>
          <w:sz w:val="20"/>
          <w:u w:val="single"/>
        </w:rPr>
        <w:t>Public Securities</w:t>
      </w:r>
      <w:r>
        <w:rPr>
          <w:rFonts w:ascii="Times New Roman;Times;Serif" w:hAnsi="Times New Roman;Times;Serif"/>
          <w:b w:val="false"/>
          <w:i w:val="false"/>
          <w:caps w:val="false"/>
          <w:smallCaps w:val="false"/>
          <w:sz w:val="20"/>
        </w:rPr>
        <w:t>.” The Public Securities shall be issued directly by the Company and shall have the rights and privileges described in the Registration Statement, the Pricing Disclosure Package and the Prospectus. The Closing Warrants and the Option Warrants, if any, shall be issued pursuant to, and shall have the rights and privileges set forth in, the form of Warrant, and the Closing Pre-funded Warrants shall be issued pursuant to, and shall have the rights and privileges set forth in, the form of Pre-funded Warrant. The offering and sale of the Public Securities is herein referred to as the “</w:t>
      </w:r>
      <w:r>
        <w:rPr>
          <w:rFonts w:ascii="Times New Roman;Times;Serif" w:hAnsi="Times New Roman;Times;Serif"/>
          <w:b/>
          <w:i w:val="false"/>
          <w:caps w:val="false"/>
          <w:smallCaps w:val="false"/>
          <w:sz w:val="20"/>
          <w:u w:val="single"/>
        </w:rPr>
        <w:t>Offering</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Upon an exercise of the Over-Allotment Option and subject to the terms and conditions herein, the Company agrees to issue and sell the Option Securities to the Underwriter;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The Underwriter may exercise the Over-Allotment Option at any time in whole, or from time to time in part, on or before the forty-fifth (45th) Calendar Day following the Closing Date (or the next Trading Day if such forty-fifth Calendar Day is not a Trading Day), by written notice from the Underwriter to the Company (the “</w:t>
      </w:r>
      <w:r>
        <w:rPr>
          <w:rFonts w:ascii="Times New Roman;Times;Serif" w:hAnsi="Times New Roman;Times;Serif"/>
          <w:b/>
          <w:i w:val="false"/>
          <w:caps w:val="false"/>
          <w:smallCaps w:val="false"/>
          <w:sz w:val="20"/>
          <w:u w:val="single"/>
        </w:rPr>
        <w:t>Over-Allotment Exercise Notice</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Calendar Day on which the principal trading market for the Company’s Securities is open for trading. The Underwriter must give the Over-Allotment Exercise Notice to the Company at least one (1) Business Day prior to the Closing Date or the applicable Additional Closing Date, as the case may be. The Underwriter may cancel any exercise of the Over-Allotment Option at any time prior to the Closing Date or the applicable Additional Closing Date, as the case may be, by giving written notice of such cancellation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 The Over-Allotment Exercise Notice shall set forth each of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4.2.4.1 the aggregate number of Option Securities as to which the Over-Allotment Option is being exercised.</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4.2.4.2 the aggregate purchase price of the Option Securities being purchased (the “Over-Allotment Option Purchase Price”).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4.2.4.3 the names and denominations in which the Option Securities are to be registered.</w:t>
      </w:r>
    </w:p>
    <w:p>
      <w:pPr>
        <w:pStyle w:val="TextBody"/>
        <w:bidi w:val="0"/>
        <w:spacing w:before="0" w:after="0"/>
        <w:ind w:left="21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21</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4.2.4.4 the applicable Additional Closing Date, which may be the same date and time as the Closing Date but shall not be earlier than the Closing Date nor later than the tenth (10th) full Business Day after the date of the Over-Allotment Exercise Notice.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 Payment for the Option Securities (the “</w:t>
      </w:r>
      <w:r>
        <w:rPr>
          <w:rFonts w:ascii="Times New Roman;Times;Serif" w:hAnsi="Times New Roman;Times;Serif"/>
          <w:b/>
          <w:i w:val="false"/>
          <w:caps w:val="false"/>
          <w:smallCaps w:val="false"/>
          <w:sz w:val="20"/>
          <w:u w:val="single"/>
        </w:rPr>
        <w:t>Option Securities Payment</w:t>
      </w:r>
      <w:r>
        <w:rPr>
          <w:rFonts w:ascii="Times New Roman;Times;Serif" w:hAnsi="Times New Roman;Times;Serif"/>
          <w:b w:val="false"/>
          <w:i w:val="false"/>
          <w:caps w:val="false"/>
          <w:smallCaps w:val="false"/>
          <w:sz w:val="20"/>
        </w:rPr>
        <w:t>”) shall be made by wire transfer in immediately available funds to the accounts specified by the Company to the Underwriter at the offices of Underwriter Counsel at 10:00 a.m. ET on the date specified in the corresponding Over-Allotment Exercise Notice, or at such other place on the same or such other date and time, not later than the fifth (5th) Business Day thereafter, as the Underwriter and the Company may agree upon in writing (an “</w:t>
      </w:r>
      <w:r>
        <w:rPr>
          <w:rFonts w:ascii="Times New Roman;Times;Serif" w:hAnsi="Times New Roman;Times;Serif"/>
          <w:b/>
          <w:i w:val="false"/>
          <w:caps w:val="false"/>
          <w:smallCaps w:val="false"/>
          <w:sz w:val="20"/>
          <w:u w:val="single"/>
        </w:rPr>
        <w:t>Additional Closing Date</w:t>
      </w:r>
      <w:r>
        <w:rPr>
          <w:rFonts w:ascii="Times New Roman;Times;Serif" w:hAnsi="Times New Roman;Times;Serif"/>
          <w:b w:val="false"/>
          <w:i w:val="false"/>
          <w:caps w:val="false"/>
          <w:smallCaps w:val="false"/>
          <w:sz w:val="20"/>
        </w:rPr>
        <w:t>”). The Option Securities Payment shall be made against delivery to the Underwriter for the respective accounts of the Underwriter of the Option Securities to be purchased on any Additional Closing Date, with any transfer taxes, stamp duties and other similar taxes payable in connection with the sale of the Option Securities duly paid by the Company. Delivery of the Option Securities shall be made through the facilities of DTC unless the Underwriter shall otherwise instruct.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u w:val="single"/>
        </w:rPr>
        <w:t>Public Offering</w:t>
      </w:r>
      <w:r>
        <w:rPr>
          <w:rFonts w:ascii="Times New Roman;Times;Serif" w:hAnsi="Times New Roman;Times;Serif"/>
          <w:b w:val="false"/>
          <w:i w:val="false"/>
          <w:caps w:val="false"/>
          <w:smallCaps w:val="false"/>
          <w:sz w:val="20"/>
        </w:rPr>
        <w:t>. The Company understands that the Underwriter intends to make a public offering of the Units as soon after the effectiveness of this Agreement as in the judgment of the Underwriter is advisable, and initially to offer the Units on the terms set forth in the Final Prospectus. The Company acknowledges and agrees that the Underwriter may offer and sell Units to or through any Affiliate of the Underwriter.</w:t>
      </w:r>
    </w:p>
    <w:p>
      <w:pPr>
        <w:pStyle w:val="TextBody"/>
        <w:bidi w:val="0"/>
        <w:spacing w:before="0" w:after="0"/>
        <w:ind w:left="720" w:right="0" w:hanging="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185"/>
        <w:gridCol w:w="8540"/>
      </w:tblGrid>
      <w:t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hereby covenants and agrees with the Underwriter as follows: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u w:val="single"/>
        </w:rPr>
        <w:t>Filings with the Commission</w:t>
      </w:r>
      <w:r>
        <w:rPr>
          <w:rFonts w:ascii="Times New Roman;Times;Serif" w:hAnsi="Times New Roman;Times;Serif"/>
          <w:b w:val="false"/>
          <w:i w:val="false"/>
          <w:caps w:val="false"/>
          <w:smallCaps w:val="false"/>
          <w:sz w:val="20"/>
        </w:rPr>
        <w:t>. The Company will: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prepare and file the Final Prospectus (in a form approved by the Underwriter and containing the Rule 430A Information) with the Commission in accordance with and within the time periods specified by Rules 424(b) and 430A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file any Issuer Free Writing Prospectus with the Commission to the extent required by Rule 433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file with the Commission such reports as may be required by Rule 463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u w:val="single"/>
        </w:rPr>
        <w:t>Notice to the Underwriter</w:t>
      </w:r>
      <w:r>
        <w:rPr>
          <w:rFonts w:ascii="Times New Roman;Times;Serif" w:hAnsi="Times New Roman;Times;Serif"/>
          <w:b w:val="false"/>
          <w:i w:val="false"/>
          <w:caps w:val="false"/>
          <w:smallCaps w:val="false"/>
          <w:sz w:val="20"/>
        </w:rPr>
        <w:t>. The Company will advise the Underwriter promptly, and confirm such advice in writing: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when the Registration Statement has become effective.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 when the Final Prospectus has been filed with the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 when any amendment to the Registration Statement has been filed or becomes effective.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22</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 when any Rule 462(b) Registration Statement has been filed with the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 when any supplement to the Final Prospectus, any Issuer Free Writing Prospectus, any Written Testing-the-Waters Communication or any amendment to the Final Prospectus has been filed or distributed.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 of (x) any request by the Commission for any amendment to the Registration Statement or any amendment or supplement to the Final Prospectus, (y) the receipt of any comments from the Commission relating to the Registration Statement or (z) any other request by the Commission for any additional information, including, but not limited to, any request for information concerning any Testing-the-Waters Communication.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 of (x) the issuance by the Commission of any order suspending the effectiveness of the Registration Statement or preventing or suspending the use of the Registration Statement, the Pricing Disclosure Package, the Final Prospectus, any Preliminary Prospectus, any Issuer Free Writing Prospectus or any Written Testing-the-Waters Communication or (y) the initiation or, to the knowledge of the Company, threatening of any proceeding for that purpose or pursuant to Section 8A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 of the occurrence of any event or development within the Prospectus Delivery Period as a result of which, the Final Prospectus,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Final Prospectus, the Pricing Disclosure Package, any such Issuer Free Writing Prospectus or any such Written Testing-the-Waters Communication is delivered to a purchaser, not misleading.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 of the issuance by any governmental or regulatory authority or any order preventing or suspending the use of any of the Registration Statement, the Pricing Disclosure Package, the Final Prospectus, any Preliminary Prospectus, any Issuer Free Writing Prospectus or any Testing-the-Waters Communication or the initiation or threatening for that purpose.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5.2.10. of the receipt by the Company of any notice with respect to any suspension of the qualification of the Units for offer and sale in any jurisdiction or the initiation or, to the knowledge of the Company, threatening of any proceeding for such purpose.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23</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u w:val="single"/>
        </w:rPr>
        <w:t>Ongoing Compliance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 If during the Prospectus Delivery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5.3.1.1 any event or development shall occur or condition shall exist as a result of which the Final Prospectus as then amended or supplemented would include any untrue statement of a material fact or omit to state any material fact necessary in order to make the statements therein, in the light of the circumstances existing when the Final Prospectus is delivered to a purchaser, not misleading, the Company will, as soon as reasonably possible, notify the Underwriter thereof and forthwith prepare and, subject to Section 5.4 hereof, file with the Commission and furnish, at its own expense, to the Underwriter and to such dealers as the Underwriter may designate such amendments or supplements to the Final Prospectus as may be necessary so that the statements in the Final Prospectus as so amended or supplemented will not, in the light of the circumstances existing when the Final Prospectus is delivered to a purchaser, be misleading;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5.3.1.2 it is necessary to amend or supplement the Final Prospectus to comply with applicable law, the Company will, as soon as reasonably possible, notify the Underwriter thereof and forthwith prepare and, subject to Section 5.4 hereof, file with the Commission and furnish, at its own expense, to the Underwriter and to such dealers as the Underwriter may designate such amendments or supplements to the Final Prospectus as may be necessary so that the Final Prospectus will comply with applicable law; and</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 if at any time prior to the Closing Date or any Additional Closing Date, as the case may be: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5.3.2.1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the Company will immediately notify the Underwriter thereof and forthwith prepare and, subject to Section 5.4 hereof, file with the Commission (to the extent required) and furnish, at its own expense, to the Underwriter and to such dealers as the Underwriter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5.3.2.2 it is necessary to amend or supplement the Pricing Disclosure Package to comply with applicable law, the Company will immediately notify the Underwriter thereof and forthwith prepare and, subject to Section 5.4 hereof, file with the Commission (to the extent required) and furnish, at its own expense, to the Underwriter and to such dealers as the Underwriter may designate such amendments or supplements to the Pricing Disclosure Package as may be necessary so that the Pricing Disclosure Package will comply with applicable law.</w:t>
      </w:r>
    </w:p>
    <w:p>
      <w:pPr>
        <w:pStyle w:val="TextBody"/>
        <w:bidi w:val="0"/>
        <w:spacing w:before="0" w:after="0"/>
        <w:ind w:left="21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24</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u w:val="single"/>
        </w:rPr>
        <w:t>Amendments, Supplements and Issuer Free Writing Prospectuses</w:t>
      </w:r>
      <w:r>
        <w:rPr>
          <w:rFonts w:ascii="Times New Roman;Times;Serif" w:hAnsi="Times New Roman;Times;Serif"/>
          <w:b w:val="false"/>
          <w:i w:val="false"/>
          <w:caps w:val="false"/>
          <w:smallCaps w:val="false"/>
          <w:sz w:val="20"/>
        </w:rPr>
        <w:t>. Before (i) using, authorizing, approving, referring to, distributing or filing any Issuer Free Writing Prospectus, (ii) filing (x) any Rule 462(b) Registration Statement or (y) any amendment or supplement to the Registration Statement or the Final Prospectus, or (iii) distributing any amendment or supplement to the Pricing Disclosure Package or the Final Prospectus, the Company will furnish to the Underwriter and Underwriter Counsel a copy of the proposed Issuer Free Writing Prospectus, Rule 462(b) Registration Statement or other amendment or supplement for review and will not use, authorize, refer to, distribute or file any such Issuer Free Writing Prospectus or Rule 462(b) Registration Statement, or file or distribute any such proposed amendment or supplement (A) to which the Underwriter objects in a timely manner and (B) which is not in compliance with the Securities Act. The Company will, pursuant to reasonable procedures developed in good faith, retain copies of each Issuer Free Writing Prospectus that is not filed with the Commission in accordance with Rule 433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val="false"/>
          <w:caps w:val="false"/>
          <w:smallCaps w:val="false"/>
          <w:sz w:val="20"/>
          <w:u w:val="single"/>
        </w:rPr>
        <w:t>Delivery of Copies</w:t>
      </w:r>
      <w:r>
        <w:rPr>
          <w:rFonts w:ascii="Times New Roman;Times;Serif" w:hAnsi="Times New Roman;Times;Serif"/>
          <w:b w:val="false"/>
          <w:i w:val="false"/>
          <w:caps w:val="false"/>
          <w:smallCaps w:val="false"/>
          <w:sz w:val="20"/>
        </w:rPr>
        <w:t>. The Company will, upon request of the Underwriter, deliver, without charge, (i) to the Underwriter, three signed 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consents) and (B) during the Prospectus Delivery Period, as many copies of the Final Prospectus (including all amendments and supplements thereto and each Issuer Free Writing Prospectus) as the Underwriter may reasonably request.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i w:val="false"/>
          <w:caps w:val="false"/>
          <w:smallCaps w:val="false"/>
          <w:sz w:val="20"/>
          <w:u w:val="single"/>
        </w:rPr>
        <w:t>Blue Sky Compliance</w:t>
      </w:r>
      <w:r>
        <w:rPr>
          <w:rFonts w:ascii="Times New Roman;Times;Serif" w:hAnsi="Times New Roman;Times;Serif"/>
          <w:b w:val="false"/>
          <w:i w:val="false"/>
          <w:caps w:val="false"/>
          <w:smallCaps w:val="false"/>
          <w:sz w:val="20"/>
        </w:rPr>
        <w:t xml:space="preserve">. The Company will use its best efforts, with the Underwriter’s cooperation, if necessary, to qualify or register (or to obtain exemptions from qualifying or registering) the Units for offer and sale under the securities or Blue Sky laws of such jurisdictions as the Underwriter shall reasonably request and will use its reasonable best efforts, with the Underwriter’s cooperation, if necessary, to continue such qualifications, registrations and exemptions in effect so long as required for the distribution of the Units;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i w:val="false"/>
          <w:caps w:val="false"/>
          <w:smallCaps w:val="false"/>
          <w:sz w:val="20"/>
          <w:u w:val="single"/>
        </w:rPr>
        <w:t>Earning Statement</w:t>
      </w:r>
      <w:r>
        <w:rPr>
          <w:rFonts w:ascii="Times New Roman;Times;Serif" w:hAnsi="Times New Roman;Times;Serif"/>
          <w:b w:val="false"/>
          <w:i w:val="false"/>
          <w:caps w:val="false"/>
          <w:smallCaps w:val="false"/>
          <w:sz w:val="20"/>
        </w:rPr>
        <w:t xml:space="preserve">. The Company will make generally available to its security holders and the Underwriter as soon as practicable an earning statement that satisfies the provisions of Section 11(a) of the Securities Act and Rule 158 under the Securities Act covering a period of at least 12 months beginning after the “effective date” (as defined in Rule 158 under the Securities Act) of the Registration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will be deemed to have furnished such statement to its security holders and the Underwriter to the extent it is filed on the Commission’s Electronic Data Gathering, Analysis and Retrieval system (“</w:t>
      </w:r>
      <w:r>
        <w:rPr>
          <w:rFonts w:ascii="Times New Roman;Times;Serif" w:hAnsi="Times New Roman;Times;Serif"/>
          <w:b/>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apply the net proceeds from the sale of the Closing Units and the Option Securities in the manner described under the caption “Use of Proceeds” in the Registration Statement, the Pricing Disclosure Package and the Final Prospectus.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25</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i w:val="false"/>
          <w:caps w:val="false"/>
          <w:smallCaps w:val="false"/>
          <w:sz w:val="20"/>
          <w:u w:val="single"/>
        </w:rPr>
        <w:t>Clear Market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 For a period of ninety (90) days after the Closing Date (the “</w:t>
      </w:r>
      <w:r>
        <w:rPr>
          <w:rFonts w:ascii="Times New Roman;Times;Serif" w:hAnsi="Times New Roman;Times;Serif"/>
          <w:b/>
          <w:i w:val="false"/>
          <w:caps w:val="false"/>
          <w:smallCaps w:val="false"/>
          <w:sz w:val="20"/>
          <w:u w:val="single"/>
        </w:rPr>
        <w:t>Standstill Period</w:t>
      </w:r>
      <w:r>
        <w:rPr>
          <w:rFonts w:ascii="Times New Roman;Times;Serif" w:hAnsi="Times New Roman;Times;Serif"/>
          <w:b w:val="false"/>
          <w:i w:val="false"/>
          <w:caps w:val="false"/>
          <w:smallCaps w:val="false"/>
          <w:sz w:val="20"/>
        </w:rPr>
        <w:t>”), the Company will not (x)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 or any securities convertible into or exercisable or exchangeable for shares of Common Stock, or publicly disclose the intention to make any offer, sale, pledge, disposition or filing, or (y) enter into any swap or other agreement that transfers, in whole or in part, any of the economic consequences of ownership of the shares of Common Stock or any such other securities, whether any such transaction described in clause (x) or (y) above is to be settled by delivery of shares of Common Stock or such other securities, in cash or otherwise, without the prior written consent of the Underwriter.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5.9.2. The restrictions contained in Section 5.9.1 hereof shall not apply to: (A) the Units, (B) any shares of Common Stock issued under Company Common Stock Incentive Plans or warrants issued by the Company, in each case, described as outstanding in the Registration Statement, the Pricing Disclosure Package and the Final Prospectus, (C) any options and other awards granted under a Company Common Stock Incentive Plan as described in the Registration Statement, the Pricing Disclosure Package and the Final Prospectus, provided that such securities are issued as “restricted securities” (as defined in Rule 144) and carry no registration rights that require or permit any registration statement in connection therewith to be filed publicly or declared effective during the Standstill Period (D) the amendment of a Company Common Stock Incentive Plan as described in the Registration Statement, the Pricing Disclosure Package and the Final Prospectus, (E) the filing by the Company of any registration statement on Form S-8 or a successor form thereto relating to a Company Common Stock Incentive Plan described in the Registration Statement, the Pricing Disclosure Package and the Final Prospectus and (F) shares of Common Stock or other securities issued pursuant to acquisitions or strategic transactions (whether by merger, consolidation, purchase of equity, purchase of assets, reorganization or otherwise)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Standstill Period,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shares of Common Stock or other securities issued or granted pursuant to clauses (B), (C) and (F) during the Standstill Period shall not be saleable in the public market until the expiration of the Standstill Period. In no event shall any equity transaction permitted under this Section 5.9.2 result in the sale of equity at a price to the public less than the public offering price in the Offering.</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26</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5.9.3. If the Underwriter, in its sole discretion, agrees to release or waive the restrictions set forth in any Lock-Up Agreement as described in Section 8.9 and provides the Company with notice of the impending release or waiver substantially in the form of </w:t>
      </w:r>
      <w:r>
        <w:rPr>
          <w:rFonts w:ascii="Times New Roman;Times;Serif" w:hAnsi="Times New Roman;Times;Serif"/>
          <w:b/>
          <w:i w:val="false"/>
          <w:caps w:val="false"/>
          <w:smallCaps w:val="false"/>
          <w:sz w:val="20"/>
          <w:u w:val="single"/>
        </w:rPr>
        <w:t>Exhibit 5.9.3.1</w:t>
      </w:r>
      <w:r>
        <w:rPr>
          <w:rFonts w:ascii="Times New Roman;Times;Serif" w:hAnsi="Times New Roman;Times;Serif"/>
          <w:b w:val="false"/>
          <w:i w:val="false"/>
          <w:caps w:val="false"/>
          <w:smallCaps w:val="false"/>
          <w:sz w:val="20"/>
        </w:rPr>
        <w:t xml:space="preserve"> hereto at least three (3) Business Days before the effective date of the release or waiver, then the Company agrees to announce the impending release or waiver by a press release substantially in the form of </w:t>
      </w:r>
      <w:r>
        <w:rPr>
          <w:rFonts w:ascii="Times New Roman;Times;Serif" w:hAnsi="Times New Roman;Times;Serif"/>
          <w:b/>
          <w:i w:val="false"/>
          <w:caps w:val="false"/>
          <w:smallCaps w:val="false"/>
          <w:sz w:val="20"/>
          <w:u w:val="single"/>
        </w:rPr>
        <w:t>Exhibit 5.9.3.2</w:t>
      </w:r>
      <w:r>
        <w:rPr>
          <w:rFonts w:ascii="Times New Roman;Times;Serif" w:hAnsi="Times New Roman;Times;Serif"/>
          <w:b w:val="false"/>
          <w:i w:val="false"/>
          <w:caps w:val="false"/>
          <w:smallCaps w:val="false"/>
          <w:sz w:val="20"/>
        </w:rPr>
        <w:t xml:space="preserve"> hereto through a major news service at least two (2) Business Days before the effective date of the release or waiver.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 Notwithstanding the foregoing, this Section 5.9 shall not apply to an Exempt Issuance, except that any shares of Common Stock or other securities issued in an Exempt Issuance described in clause (ii) or clause (iv) of Section 1.11 during the Standstill Period shall not be saleable in the public market until the expiration of the Standstill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i w:val="false"/>
          <w:caps w:val="false"/>
          <w:smallCaps w:val="false"/>
          <w:sz w:val="20"/>
          <w:u w:val="single"/>
        </w:rPr>
        <w:t>No Stabilization or Manipulation</w:t>
      </w:r>
      <w:r>
        <w:rPr>
          <w:rFonts w:ascii="Times New Roman;Times;Serif" w:hAnsi="Times New Roman;Times;Serif"/>
          <w:b w:val="false"/>
          <w:i w:val="false"/>
          <w:caps w:val="false"/>
          <w:smallCaps w:val="false"/>
          <w:sz w:val="20"/>
        </w:rPr>
        <w:t>. None of the Company, its Affiliates or any person acting on its or any of their behalf (other than the Underwriter, as to which no covenant is given) will take, directly or indirectly, any action designed to or that constitutes or that could reasonably be expected to cause or result in the stabilization or manipulation of the price of any securities of the Company. The Company acknowledges that the Underwriter may engage in passive market making transactions in the Common Stock on the Exchange in accordance with Regulation 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shall not invest, or otherwise use the proceeds received by the Company from the sale of the Closing Units or the Option Securities in such a manner as would require the Company or any of its subsidiaries to register as an “investment company” (as defined in the Investment Company Act) under the Investment Company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i w:val="false"/>
          <w:caps w:val="false"/>
          <w:smallCaps w:val="false"/>
          <w:sz w:val="20"/>
          <w:u w:val="single"/>
        </w:rPr>
        <w:t>Transfer Agent</w:t>
      </w:r>
      <w:r>
        <w:rPr>
          <w:rFonts w:ascii="Times New Roman;Times;Serif" w:hAnsi="Times New Roman;Times;Serif"/>
          <w:b w:val="false"/>
          <w:i w:val="false"/>
          <w:caps w:val="false"/>
          <w:smallCaps w:val="false"/>
          <w:sz w:val="20"/>
        </w:rPr>
        <w:t>. For the period of two years from the date of this Agreement, the Company shall engage and maintain, at its expense, a registrar and transfer agent for the Common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i w:val="false"/>
          <w:caps w:val="false"/>
          <w:smallCaps w:val="false"/>
          <w:sz w:val="20"/>
          <w:u w:val="single"/>
        </w:rPr>
        <w:t>Reports</w:t>
      </w:r>
      <w:r>
        <w:rPr>
          <w:rFonts w:ascii="Times New Roman;Times;Serif" w:hAnsi="Times New Roman;Times;Serif"/>
          <w:b w:val="false"/>
          <w:i w:val="false"/>
          <w:caps w:val="false"/>
          <w:smallCaps w:val="false"/>
          <w:sz w:val="20"/>
        </w:rPr>
        <w:t xml:space="preserve">. For the period of two years from the date of this Agreement, the Company will furnish to the Underwriter, as soon as they are available, copies of all reports or other communications (financial or other) furnished to holders of the Common Stock, and copies of any reports and financial statements furnished to or filed with the Commission or any national securities exchange or automatic quotation system;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will be deemed to have furnished such reports and financial statements to the Underwriter to the extent they are filed on the Commission’s Electronic Data Gathering, Analysis and Retrieval system.</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27</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i w:val="false"/>
          <w:caps w:val="false"/>
          <w:smallCaps w:val="false"/>
          <w:sz w:val="20"/>
          <w:u w:val="single"/>
        </w:rPr>
        <w:t>Right of First Refusal</w:t>
      </w:r>
      <w:r>
        <w:rPr>
          <w:rFonts w:ascii="Times New Roman;Times;Serif" w:hAnsi="Times New Roman;Times;Serif"/>
          <w:b w:val="false"/>
          <w:i w:val="false"/>
          <w:caps w:val="false"/>
          <w:smallCaps w:val="false"/>
          <w:sz w:val="20"/>
        </w:rPr>
        <w:t>. The Company agrees that, if, for the period beginning on the Closing Date and ending twelve (12) months after the commencement of sales in the Offering, the Company or any of its subsidiaries: (a) decides to finance or refinance any indebtedness, the Underwriter shall have the right to act as sole book-runner, sole manager, sole placement agent or sole agent with respect to such financing or refinancing; or (b) decides to raise funds by means of a public offering (including at-the-market facility) or a private placement or any other capital raising financing of equity, equity-linked or debt securities, the Underwriter shall have the right to act as sole book-running manager, sole underwriter or sole placement agent for such financing. If the Underwriter decides to accept any such engagement, the agreement governing such engagement (each, a “</w:t>
      </w:r>
      <w:r>
        <w:rPr>
          <w:rFonts w:ascii="Times New Roman;Times;Serif" w:hAnsi="Times New Roman;Times;Serif"/>
          <w:b/>
          <w:i w:val="false"/>
          <w:caps w:val="false"/>
          <w:smallCaps w:val="false"/>
          <w:sz w:val="20"/>
          <w:u w:val="single"/>
        </w:rPr>
        <w:t>Subsequent Transaction Agreement</w:t>
      </w:r>
      <w:r>
        <w:rPr>
          <w:rFonts w:ascii="Times New Roman;Times;Serif" w:hAnsi="Times New Roman;Times;Serif"/>
          <w:b w:val="false"/>
          <w:i w:val="false"/>
          <w:caps w:val="false"/>
          <w:smallCaps w:val="false"/>
          <w:sz w:val="20"/>
        </w:rPr>
        <w:t>”) will contain, among other things, provisions for customary fees for transactions of similar size and nature, but in no event will the fees be less than those outlined herein, and the provisions of this Agreement, including indemnification, that are appropriate to such a transaction. The decision to accept the Company’s engagement under this Section 5.14 shall be made by the Underwriter, by written notice to the Company, within five (5) Calendar Days of receipt of the Company’s notification of its financing needs, including a detailed term sheet. The Underwriter’s determination of whether in any case to exercise its right of first refusal will be strictly limited to the terms on such term sheet, and any waiver of such right of first refusal shall apply only to such specific terms. If the Underwriter waives its right of first refusal, any deviation from such terms (including without limitation after the launch of a subsequent transaction) shall void the waiver and require the Company to seek a new waiver from the right of first refusal on the terms set forth in this Section 5.14.</w:t>
      </w:r>
    </w:p>
    <w:p>
      <w:pPr>
        <w:pStyle w:val="TextBody"/>
        <w:bidi w:val="0"/>
        <w:spacing w:before="0" w:after="0"/>
        <w:ind w:left="720" w:right="0" w:hanging="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185"/>
        <w:gridCol w:w="8765"/>
      </w:tblGrid>
      <w:t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Covenants of the Underwriter</w:t>
            </w:r>
            <w:r>
              <w:rPr>
                <w:rFonts w:ascii="Times New Roman;Times;Serif" w:hAnsi="Times New Roman;Times;Serif"/>
                <w:b w:val="false"/>
                <w:i w:val="false"/>
                <w:caps w:val="false"/>
                <w:smallCaps w:val="false"/>
                <w:sz w:val="20"/>
              </w:rPr>
              <w:t>. The Underwriter hereby covenants and agrees with the Company as follows: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val="false"/>
          <w:caps w:val="false"/>
          <w:smallCaps w:val="false"/>
          <w:sz w:val="20"/>
          <w:u w:val="single"/>
        </w:rPr>
        <w:t>Underwriter Free Writing Prospectus</w:t>
      </w:r>
      <w:r>
        <w:rPr>
          <w:rFonts w:ascii="Times New Roman;Times;Serif" w:hAnsi="Times New Roman;Times;Serif"/>
          <w:b w:val="false"/>
          <w:i w:val="false"/>
          <w:caps w:val="false"/>
          <w:smallCaps w:val="false"/>
          <w:sz w:val="20"/>
        </w:rPr>
        <w:t>. The Underwriter has not used, authorized the use of, referred to or participated in the planning for use of, and will not use, authorize the use of, refer to or participate in the planning for use of, any Free Writing Prospectus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filed or required to be filed pursuant to Rule 433(d) under the Securities Act (“</w:t>
      </w:r>
      <w:r>
        <w:rPr>
          <w:rFonts w:ascii="Times New Roman;Times;Serif" w:hAnsi="Times New Roman;Times;Serif"/>
          <w:b/>
          <w:i w:val="false"/>
          <w:caps w:val="false"/>
          <w:smallCaps w:val="false"/>
          <w:sz w:val="20"/>
          <w:u w:val="single"/>
        </w:rPr>
        <w:t>Issuer Information</w:t>
      </w:r>
      <w:r>
        <w:rPr>
          <w:rFonts w:ascii="Times New Roman;Times;Serif" w:hAnsi="Times New Roman;Times;Serif"/>
          <w:b w:val="false"/>
          <w:i w:val="false"/>
          <w:caps w:val="false"/>
          <w:smallCaps w:val="false"/>
          <w:sz w:val="20"/>
        </w:rPr>
        <w:t>”) that was not included in the Preliminary Prospectus or a previously filed Issuer Free Writing Prospectus, (ii) any Issuer Free Writing Prospectus listed in Schedule 2.5.4 hereto or prepared pursuant to Section 2.5.4 or Section 5.4 hereof (including any electronic road show), or (iii) any Free Writing Prospectus prepared by the Underwriter and approved by the Company in advance in writing.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val="false"/>
          <w:caps w:val="false"/>
          <w:smallCaps w:val="false"/>
          <w:sz w:val="20"/>
          <w:u w:val="single"/>
        </w:rPr>
        <w:t>Section 8A Proceedings</w:t>
      </w:r>
      <w:r>
        <w:rPr>
          <w:rFonts w:ascii="Times New Roman;Times;Serif" w:hAnsi="Times New Roman;Times;Serif"/>
          <w:b w:val="false"/>
          <w:i w:val="false"/>
          <w:caps w:val="false"/>
          <w:smallCaps w:val="false"/>
          <w:sz w:val="20"/>
        </w:rPr>
        <w:t>. The Underwriter is not subject to any pending proceeding under Section 8A of the Securities Act with respect to the offering of the Units and will promptly notify the Company if any such proceeding against it is initiated during the Prospectus Delivery Period.</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28</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185"/>
        <w:gridCol w:w="1865"/>
      </w:tblGrid>
      <w:t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Payment of Expenses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i w:val="false"/>
          <w:caps w:val="false"/>
          <w:smallCaps w:val="false"/>
          <w:sz w:val="20"/>
          <w:u w:val="single"/>
        </w:rPr>
        <w:t>Company Expenses</w:t>
      </w:r>
      <w:r>
        <w:rPr>
          <w:rFonts w:ascii="Times New Roman;Times;Serif" w:hAnsi="Times New Roman;Times;Serif"/>
          <w:b w:val="false"/>
          <w:i w:val="false"/>
          <w:caps w:val="false"/>
          <w:smallCaps w:val="false"/>
          <w:sz w:val="20"/>
        </w:rPr>
        <w:t>. The Company hereby agrees to pay on the Closing Date all expenses incident to the performance of the obligations of the Company under this Agreement including, but not limited to: (a) all filing fees and expenses relating to the registration of the Units with the Commission; (b) all filing fees and expenses associated with the review of the offering of the Units by FINRA; (c) all fees and expenses relating to the listing of the Shares on the Exchange (to the extent relevant) or on such other stock exchanges as the Company and the Underwriter together determine; (d) all fees, expenses and disbursements relating to the registration or qualification of the Units under the “blue sky” securities laws of such states and other jurisdictions as the Underwriter may reasonably designate (including, without limitation, all filing and registration fees, and the reasonable fees and disbursements of the Company’s “blue sky” counsel, which will be Underwriter Counsel) unless such filings are not required in connection with the Company’s proposed Exchange listing; (e) all fees, expenses and disbursements relating to the registration, qualification or exemption of the Securities under the securities laws of such foreign jurisdictions as the Underwriter may reasonably designate; (f) the costs of all mailing and printing of the underwriting documents, the Registration Statement, Pricing Disclosure Package, the Final Prospectus, any Preliminary Prospectus, any Issuer Free Writing Prospectus or any Testing-the-Waters Communication and all amendments, supplements and exhibits thereto as the Underwriter may reasonably deem necessary; (g) the costs of preparing, printing and delivering certificates representing the Shares; (h) fees and expenses of the transfer agent for the Shares; (i) transfer and/or stamp taxes, if any, payable upon the transfer of securities from the Company to the Underwriter; (j) the fees and expenses of the Company’s accountants; and (k) reasonable legal fees and disbursements for Underwriter Counsel. The total amount payable by the Company pursuant to (k) to the Underwriter shall not exceed $125,000. The Underwriter may deduct from the net proceeds of the Offering payable to the Company on the Closing Date the expenses set forth herein to be paid by the Company to the Underwriter. Except as provided for in this Agreement, the Underwriter shall bear the costs and expenses incurred by them in connection with the sale of the Units and the transactions contemplated thereby.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i w:val="false"/>
          <w:caps w:val="false"/>
          <w:smallCaps w:val="false"/>
          <w:sz w:val="20"/>
          <w:u w:val="single"/>
        </w:rPr>
        <w:t>Underwriter Expenses</w:t>
      </w:r>
      <w:r>
        <w:rPr>
          <w:rFonts w:ascii="Times New Roman;Times;Serif" w:hAnsi="Times New Roman;Times;Serif"/>
          <w:b w:val="false"/>
          <w:i w:val="false"/>
          <w:caps w:val="false"/>
          <w:smallCaps w:val="false"/>
          <w:sz w:val="20"/>
        </w:rPr>
        <w:t>. Except to the extent otherwise provided in this Section 7 or Section 9 hereof, the Underwriter will pay all of its own costs and expenses, including the fees and expenses of Underwriter Counsel, any stock transfer taxes on resale of any of the Shares held by them, and any advertising expenses connected with any offers they may make.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i w:val="false"/>
          <w:caps w:val="false"/>
          <w:smallCaps w:val="false"/>
          <w:sz w:val="20"/>
          <w:u w:val="single"/>
        </w:rPr>
        <w:t>Company Reimbursement</w:t>
      </w:r>
      <w:r>
        <w:rPr>
          <w:rFonts w:ascii="Times New Roman;Times;Serif" w:hAnsi="Times New Roman;Times;Serif"/>
          <w:b w:val="false"/>
          <w:i w:val="false"/>
          <w:caps w:val="false"/>
          <w:smallCaps w:val="false"/>
          <w:sz w:val="20"/>
        </w:rPr>
        <w:t>. The provisions of this Section 7 shall not affect any agreement that the Company may make for the sharing of such costs and expenses.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
        <w:gridCol w:w="10053"/>
      </w:tblGrid>
      <w:tr>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Conditions of the Obligations of the Underwriter</w:t>
            </w:r>
            <w:r>
              <w:rPr>
                <w:rFonts w:ascii="Times New Roman;Times;Serif" w:hAnsi="Times New Roman;Times;Serif"/>
                <w:b w:val="false"/>
                <w:i w:val="false"/>
                <w:caps w:val="false"/>
                <w:smallCaps w:val="false"/>
                <w:sz w:val="20"/>
              </w:rPr>
              <w:t>. The obligations of the Underwriter to purchase the Closing Units as provided herein on the Closing Date or the Option Securities as provided herein on any Additional Closing Date, as the case may be, shall be subject to the timely performance by the Company of its covenants and other obligations hereunder, and to each of the following additional conditions: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i w:val="false"/>
          <w:caps w:val="false"/>
          <w:smallCaps w:val="false"/>
          <w:sz w:val="20"/>
          <w:u w:val="single"/>
        </w:rPr>
        <w:t>Registration Compliance; No Stop Order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The Registration Statement and any post-effective amendment thereto shall have become effective, no stop order suspending the effectiveness of the Registration Statement or any post-effective amendment thereto shall be in effect, and no proceeding for such purpose or pursuant to Section 8A of the Securities Act shall be pending before or threatened by the Commission.</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29</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The Company shall have filed the Final Prospectus and each Issuer Free Writing Prospectus with the Commission in accordance with and within the time periods prescribed by Section 5.1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 The Company shall have (A) disclosed to the Underwriter all requests by the Commission for additional information relating to the offer and sale of the Units and (B) complied with such requests to the reasonable satisfaction of the Underwriter.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the Company contained herein shall be true and correct on the date hereof and on and as of the Closing Date or any Additional Closing Date, as the case may be, and the statements of the Company and its officers made in any certificates delivered pursuant to this Agreement shall be true and correct on and as of the Closing Date or any Additional Closing Date, as the case may be.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i w:val="false"/>
          <w:caps w:val="false"/>
          <w:smallCaps w:val="false"/>
          <w:sz w:val="20"/>
          <w:u w:val="single"/>
        </w:rPr>
        <w:t>Auditor Comfort Letters</w:t>
      </w:r>
      <w:r>
        <w:rPr>
          <w:rFonts w:ascii="Times New Roman;Times;Serif" w:hAnsi="Times New Roman;Times;Serif"/>
          <w:b w:val="false"/>
          <w:i w:val="false"/>
          <w:caps w:val="false"/>
          <w:smallCaps w:val="false"/>
          <w:sz w:val="20"/>
        </w:rPr>
        <w:t xml:space="preserve">. On the date of this Agreement and on the Closing Date or any Additional Closing Date, as the case may be, Bush &amp; Associates CPA LLC shall have furnished to the Underwriter, at the request of the Company, letters, dated the respective dates of delivery thereof and addressed to the Underwriter, in form and substance reasonably satisfactory to the Underwriter,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Final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letter delivered on the Closing Date or any Additional Closing Date, as the case may be, shall use a “cut-off” date no more than two (2) Business Days prior to the Closing Date or such Additional Closing Date, as the case may be.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i w:val="false"/>
          <w:caps w:val="false"/>
          <w:smallCaps w:val="false"/>
          <w:sz w:val="20"/>
          <w:u w:val="single"/>
        </w:rPr>
        <w:t>No Material Adverse Change</w:t>
      </w:r>
      <w:r>
        <w:rPr>
          <w:rFonts w:ascii="Times New Roman;Times;Serif" w:hAnsi="Times New Roman;Times;Serif"/>
          <w:b w:val="false"/>
          <w:i w:val="false"/>
          <w:caps w:val="false"/>
          <w:smallCaps w:val="false"/>
          <w:sz w:val="20"/>
        </w:rPr>
        <w:t>. No event or condition of a type described in Section 2.12 hereof shall have occurred or shall exist, which event or condition is not described in each of the Pricing Disclosure Package and the Final Prospectus (in each case, exclusive of any amendment or supplement thereto), the effect of which in the judgment of the Underwriter makes it impracticable or inadvisable to proceed with the offering, sale or delivery of the Units on the Closing Date or any Additional Closing Date, as the case may be, in the manner and on the terms contemplated by this Agreement, the Pricing Disclosure Package and the Final Prospectus (in each case, exclusive of any amendment or supplement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i w:val="false"/>
          <w:caps w:val="false"/>
          <w:smallCaps w:val="false"/>
          <w:sz w:val="20"/>
          <w:u w:val="single"/>
        </w:rPr>
        <w:t>Opinion and Negative Assurance Letter of Counsel to the Company</w:t>
      </w:r>
      <w:r>
        <w:rPr>
          <w:rFonts w:ascii="Times New Roman;Times;Serif" w:hAnsi="Times New Roman;Times;Serif"/>
          <w:b w:val="false"/>
          <w:i w:val="false"/>
          <w:caps w:val="false"/>
          <w:smallCaps w:val="false"/>
          <w:sz w:val="20"/>
        </w:rPr>
        <w:t>. Company Counsel shall have furnished to the Underwriter, at the request of the Company, its (i) written opinion, addressed to the Underwriter and dated the Closing Date or any Additional Closing Date, as the case may be, and (ii) negative assurance letter, addressed to the Underwriter and dated the Closing Date or any Additional Closing Date, as the case may be, in each case, in a form reasonably satisfactory to the Underwriter.</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30</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i w:val="false"/>
          <w:caps w:val="false"/>
          <w:smallCaps w:val="false"/>
          <w:sz w:val="20"/>
          <w:u w:val="single"/>
        </w:rPr>
        <w:t>Officer’s Certificate</w:t>
      </w:r>
      <w:r>
        <w:rPr>
          <w:rFonts w:ascii="Times New Roman;Times;Serif" w:hAnsi="Times New Roman;Times;Serif"/>
          <w:b w:val="false"/>
          <w:i w:val="false"/>
          <w:caps w:val="false"/>
          <w:smallCaps w:val="false"/>
          <w:sz w:val="20"/>
        </w:rPr>
        <w:t>. The Underwriter shall have received, as of each of the date of this Agreement, the Closing Date and any Additional Closing Date, a certificate from the Company’s CFO in form and substance reasonably satisfactory to the Underwriter, containing statements and information confirming that the financial statements and certain financial information contained in the Registration Statement is consistent with the Company’s records and does not contain any material misstatements or omissions and shall have received as of the Closing Date or any Additional Closing Date, as the case may be, a certificate of an executive officer of the Company who has specific knowledge of the Company’s financial matters and is satisfactory to the Underwriter, (i) confirming that such officer has carefully reviewed the Registration Statement, the Pricing Disclosure Package, the Final Prospectus, each Issuer Free Writing Prospectus and each Written Testing-the-Waters Communication and, to the knowledge of such officer, the representations set forth in Sections 2.1.2, 2.2, 2.3.1, 2.4.1, 2.5.1, 2.6 and 2.8, hereof are true and correct on and as of the Closing Date or any Additional Closing Date, as the case may be; (ii) to the effect set forth in Section 2.10 and Section 8.1 hereof; and (iii) confirming that all of the other representations and warranties of the Company in this Agreement are true and correct on and as of the Closing Date or any Additional Closing Date, as the case may be, and that the Company has complied with all agreements and covenants and satisfied all other conditions on its part to be performed or satisfied hereunder at or prior to the Closing Date or any Additional Closing Date, as the case may be.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i w:val="false"/>
          <w:caps w:val="false"/>
          <w:smallCaps w:val="false"/>
          <w:sz w:val="20"/>
          <w:u w:val="single"/>
        </w:rPr>
        <w:t>No Legal Impediment to Issuance and Sale</w:t>
      </w:r>
      <w:r>
        <w:rPr>
          <w:rFonts w:ascii="Times New Roman;Times;Serif" w:hAnsi="Times New Roman;Times;Serif"/>
          <w:b w:val="false"/>
          <w:i w:val="false"/>
          <w:caps w:val="false"/>
          <w:smallCaps w:val="false"/>
          <w:sz w:val="20"/>
        </w:rPr>
        <w:t>. No action shall have been taken and no statute, rule, regulation or order shall have been enacted, adopted or issued by any federal, state or foreign governmental or regulatory authority that would, as of the Closing Date or any Additional Closing Date, as the case may be, prevent the issuance, sale or delivery of the Closing Units or the Option Securities by the Company; and no injunction or order of any federal, state or foreign court shall have been issued that would, as of the Closing Date or any Additional Closing Date, as the case may be, prevent the issuance, sale or delivery of the Closing Units or the Option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i w:val="false"/>
          <w:caps w:val="false"/>
          <w:smallCaps w:val="false"/>
          <w:sz w:val="20"/>
          <w:u w:val="single"/>
        </w:rPr>
        <w:t>Good Standing</w:t>
      </w:r>
      <w:r>
        <w:rPr>
          <w:rFonts w:ascii="Times New Roman;Times;Serif" w:hAnsi="Times New Roman;Times;Serif"/>
          <w:b w:val="false"/>
          <w:i w:val="false"/>
          <w:caps w:val="false"/>
          <w:smallCaps w:val="false"/>
          <w:sz w:val="20"/>
        </w:rPr>
        <w:t>. The Underwriter shall have received on and as of the Closing Date and any Additional Closing Date, as the case may be, satisfactory evidence of the good standing of the Company in its jurisdiction of incorporation, in writing from the appropriate governmental authorities of such jurisdiction.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w:t>
      </w:r>
      <w:r>
        <w:rPr>
          <w:rFonts w:ascii="Times New Roman;Times;Serif" w:hAnsi="Times New Roman;Times;Serif"/>
          <w:b/>
          <w:i w:val="false"/>
          <w:caps w:val="false"/>
          <w:smallCaps w:val="false"/>
          <w:sz w:val="20"/>
          <w:u w:val="single"/>
        </w:rPr>
        <w:t>Lock-Up Agreements</w:t>
      </w:r>
      <w:r>
        <w:rPr>
          <w:rFonts w:ascii="Times New Roman;Times;Serif" w:hAnsi="Times New Roman;Times;Serif"/>
          <w:b w:val="false"/>
          <w:i w:val="false"/>
          <w:caps w:val="false"/>
          <w:smallCaps w:val="false"/>
          <w:sz w:val="20"/>
        </w:rPr>
        <w:t xml:space="preserve">. The Lock-Up Agreements substantially in the form of </w:t>
      </w:r>
      <w:r>
        <w:rPr>
          <w:rFonts w:ascii="Times New Roman;Times;Serif" w:hAnsi="Times New Roman;Times;Serif"/>
          <w:b/>
          <w:i w:val="false"/>
          <w:caps w:val="false"/>
          <w:smallCaps w:val="false"/>
          <w:sz w:val="20"/>
          <w:u w:val="single"/>
        </w:rPr>
        <w:t>Exhibit 8.9</w:t>
      </w:r>
      <w:r>
        <w:rPr>
          <w:rFonts w:ascii="Times New Roman;Times;Serif" w:hAnsi="Times New Roman;Times;Serif"/>
          <w:b w:val="false"/>
          <w:i w:val="false"/>
          <w:caps w:val="false"/>
          <w:smallCaps w:val="false"/>
          <w:sz w:val="20"/>
        </w:rPr>
        <w:t xml:space="preserve"> hereto executed by the officers, directors and certain stockholders of the Company relating to sales and certain other dispositions of shares of Common Stock or certain other securities, delivered to the Underwriter on or before the date hereof, shall be in full force and effect on the Closing Date or any Additional Closing Date, as the case may be.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8.10. </w:t>
      </w:r>
      <w:r>
        <w:rPr>
          <w:rFonts w:ascii="Times New Roman;Times;Serif" w:hAnsi="Times New Roman;Times;Serif"/>
          <w:b/>
          <w:i w:val="false"/>
          <w:caps w:val="false"/>
          <w:smallCaps w:val="false"/>
          <w:sz w:val="20"/>
          <w:u w:val="single"/>
        </w:rPr>
        <w:t>Exchange Listing</w:t>
      </w:r>
      <w:r>
        <w:rPr>
          <w:rFonts w:ascii="Times New Roman;Times;Serif" w:hAnsi="Times New Roman;Times;Serif"/>
          <w:b w:val="false"/>
          <w:i w:val="false"/>
          <w:caps w:val="false"/>
          <w:smallCaps w:val="false"/>
          <w:sz w:val="20"/>
        </w:rPr>
        <w:t>. On the Closing Date or any Additional Closing Date, as the case may be, the Shares shall have been approved for listing on the Exchange, subject to notice of issuance.</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31</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8.11. </w:t>
      </w:r>
      <w:r>
        <w:rPr>
          <w:rFonts w:ascii="Times New Roman;Times;Serif" w:hAnsi="Times New Roman;Times;Serif"/>
          <w:b/>
          <w:i w:val="false"/>
          <w:caps w:val="false"/>
          <w:smallCaps w:val="false"/>
          <w:sz w:val="20"/>
          <w:u w:val="single"/>
        </w:rPr>
        <w:t>Additional Documents</w:t>
      </w:r>
      <w:r>
        <w:rPr>
          <w:rFonts w:ascii="Times New Roman;Times;Serif" w:hAnsi="Times New Roman;Times;Serif"/>
          <w:b w:val="false"/>
          <w:i w:val="false"/>
          <w:caps w:val="false"/>
          <w:smallCaps w:val="false"/>
          <w:sz w:val="20"/>
        </w:rPr>
        <w:t>. On or prior to the Closing Date or any Additional Closing Date, as the case may be, the Underwriter and Underwriter Counsel shall have received such information, certificates and other additional documents from the Company as they may reasonably require for the purpose of enabling them to pass upon the issuance and sale of the Units as contemplated herein or in order to evidence the accuracy of any of the representations and warranties, or the satisfaction of any of the covenants, closing conditions or other obligations, contained in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opinions, letters, certificates and other documents delivered pursuant to this Agreement will be deemed to be in compliance with the provisions hereof only if they are reasonably satisfactory in form and substance to Underwriter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specified in this Section 8 is not satisfied when and as required to be satisfied, this Agreement and all obligations of the Underwriter hereunder may be terminated by the Underwriter by notice to the Company at any time on or prior to the Closing Date or any Additional Closing Date, as the case may be, which termination shall be without liability on the part of any party to any other party, except that the Company shall continue to be liable for the payment of expenses under Section 7 and Section 12 hereof and except that the provisions of Section 9 and Section 10 hereof shall at all times be effective and shall survive any such termination.</w:t>
      </w:r>
    </w:p>
    <w:p>
      <w:pPr>
        <w:pStyle w:val="TextBody"/>
        <w:bidi w:val="0"/>
        <w:spacing w:before="0" w:after="0"/>
        <w:ind w:left="0" w:right="0" w:firstLine="72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85"/>
        <w:gridCol w:w="1430"/>
      </w:tblGrid>
      <w:t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i w:val="false"/>
          <w:caps w:val="false"/>
          <w:smallCaps w:val="false"/>
          <w:sz w:val="20"/>
          <w:u w:val="single"/>
        </w:rPr>
        <w:t>Indemnification of the Underwriter by the Company</w:t>
      </w:r>
      <w:r>
        <w:rPr>
          <w:rFonts w:ascii="Times New Roman;Times;Serif" w:hAnsi="Times New Roman;Times;Serif"/>
          <w:b w:val="false"/>
          <w:i w:val="false"/>
          <w:caps w:val="false"/>
          <w:smallCaps w:val="false"/>
          <w:sz w:val="20"/>
        </w:rPr>
        <w:t>. The Company agrees to indemnify and hold harmless the Underwriter, its Affiliates, directors, officers, employees and agents and each person, if any, who controls the Underwriter within the meaning of Section 15 of the Securities Act or Section 20 of the Exchange Act from and against any and all losses, claims, damages and liabilities (including, without limitation, all reasonable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any amendment or supplement thereto), or the omission or alleged omission therefrom of a material fact required to be stated therein or necessary in order to make the statements therein not misleading, or (ii) any untrue statement or alleged untrue statement of a material fact contained in any Pricing Disclosure Package (including any Pricing Disclosure Package that has subsequently been amended), the Final Prospectus (or any amendment or supplement thereto), any Preliminary Prospectus, any Issuer Information, any Issuer Free Writing Prospectus, any Written Testing-the-Waters Communication or any Road Show, or the omission or alleged omission therefrom of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the Underwriter Information. The indemnity agreement set forth in this Section 9.1 shall be in addition to any liabilities that the Company may otherwise have.</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32</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i w:val="false"/>
          <w:caps w:val="false"/>
          <w:smallCaps w:val="false"/>
          <w:sz w:val="20"/>
          <w:u w:val="single"/>
        </w:rPr>
        <w:t>Indemnification of the Company by the Underwriter</w:t>
      </w:r>
      <w:r>
        <w:rPr>
          <w:rFonts w:ascii="Times New Roman;Times;Serif" w:hAnsi="Times New Roman;Times;Serif"/>
          <w:b w:val="false"/>
          <w:i w:val="false"/>
          <w:caps w:val="false"/>
          <w:smallCaps w:val="false"/>
          <w:sz w:val="20"/>
        </w:rPr>
        <w:t>. The Underwriter agrees to indemnify and hold harmless the Company, its directors, each officer who signed the Registration Statement and each person, if any, who controls the Company within the meaning of Section 15 of the Securities Act or Section 20 of the Exchange Act from and against any and all losses, claims, damages and liabilities (including, without limitation, all reasonable legal fees and other expenses incurred in connection with any suit, action or proceeding or any claim asserted, as such fees and expenses are incurred), joint or several, to the same extent as the indemnity set forth in Section 9.1 hereof; provided, however, that the Underwriter shall be liable only to the extent that any untrue statement or omission or alleged untrue statement or omission was made in the Registration Statement (or any amendment or supplement thereto), any Pricing Disclosure Package (including any Pricing Disclosure Package that has subsequently been amended), the Final Prospectus (or any amendment or supplement thereto), any Preliminary Prospectus, any Issuer Information, any Issuer Free Writing Prospectus, any Written Testing-the-Waters Communication or any Road Show in reliance upon, and in conformity with, the Underwriter Information relating to the Underwriter. The indemnity agreement set forth in this Section 9 shall be in addition to any liabilities that the Underwriter may otherwise have.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i w:val="false"/>
          <w:caps w:val="false"/>
          <w:smallCaps w:val="false"/>
          <w:sz w:val="20"/>
          <w:u w:val="single"/>
        </w:rPr>
        <w:t>Notifications and Other Indemnification Procedures</w:t>
      </w:r>
      <w:r>
        <w:rPr>
          <w:rFonts w:ascii="Times New Roman;Times;Serif" w:hAnsi="Times New Roman;Times;Serif"/>
          <w:b w:val="false"/>
          <w:i w:val="false"/>
          <w:caps w:val="false"/>
          <w:smallCaps w:val="false"/>
          <w:sz w:val="20"/>
        </w:rPr>
        <w:t>. If any suit, action, proceeding (including any governmental or regulatory investigation), claim or demand shall be brought or asserted against any person in respect of which indemnification may be sought pursuant to any of the preceding subsections of this Section 9, such person (the “</w:t>
      </w:r>
      <w:r>
        <w:rPr>
          <w:rFonts w:ascii="Times New Roman;Times;Serif" w:hAnsi="Times New Roman;Times;Serif"/>
          <w:b/>
          <w:i w:val="false"/>
          <w:caps w:val="false"/>
          <w:smallCaps w:val="false"/>
          <w:sz w:val="20"/>
          <w:u w:val="single"/>
        </w:rPr>
        <w:t>Indemnified Person</w:t>
      </w:r>
      <w:r>
        <w:rPr>
          <w:rFonts w:ascii="Times New Roman;Times;Serif" w:hAnsi="Times New Roman;Times;Serif"/>
          <w:b w:val="false"/>
          <w:i w:val="false"/>
          <w:caps w:val="false"/>
          <w:smallCaps w:val="false"/>
          <w:sz w:val="20"/>
        </w:rPr>
        <w:t>”) shall promptly notify the person against whom such indemnification may be sought (the “</w:t>
      </w:r>
      <w:r>
        <w:rPr>
          <w:rFonts w:ascii="Times New Roman;Times;Serif" w:hAnsi="Times New Roman;Times;Serif"/>
          <w:b/>
          <w:i w:val="false"/>
          <w:caps w:val="false"/>
          <w:smallCaps w:val="false"/>
          <w:sz w:val="20"/>
          <w:u w:val="single"/>
        </w:rPr>
        <w:t>Indemnifying Person</w:t>
      </w:r>
      <w:r>
        <w:rPr>
          <w:rFonts w:ascii="Times New Roman;Times;Serif" w:hAnsi="Times New Roman;Times;Serif"/>
          <w:b w:val="false"/>
          <w:i w:val="false"/>
          <w:caps w:val="false"/>
          <w:smallCaps w:val="false"/>
          <w:sz w:val="20"/>
        </w:rPr>
        <w:t xml:space="preserve">”)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the Indemnifying Person shall not relieve it from any liability that it may have under any of the preceding subsections of this Section 9 except to the extent that it has been materially prejudiced by such failure;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the failure to notify the Indemnifying Person shall not relieve it from any liability that it may have to an Indemnified Person otherwise than under any of the preceding subsections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fees and expenses of more than one separate firm (in addition to any local counsel) for all Indemnified Persons, and that all such fees and expenses shall be paid or reimbursed as they are incurred. Any such separate firm for (i) the Underwriter, its Affiliates, directors, officers, employees and agents and each person, if any, who controls the Underwriter within the meaning of Section 15 of the Securities Act or Section 20 of the Exchange Act shall be designated in writing by the Underwriter; and (ii) the Company, its directors, its officers who signed the Registration Statement and each person, if any, who controls the Company within the meaning of Section 15 of the Securities Act or Section 20 of the Exchange Act shall be designated in writing by the Company.</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33</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i w:val="false"/>
          <w:caps w:val="false"/>
          <w:smallCaps w:val="false"/>
          <w:sz w:val="20"/>
          <w:u w:val="single"/>
        </w:rPr>
        <w:t>Settlements</w:t>
      </w:r>
      <w:r>
        <w:rPr>
          <w:rFonts w:ascii="Times New Roman;Times;Serif" w:hAnsi="Times New Roman;Times;Serif"/>
          <w:b w:val="false"/>
          <w:i w:val="false"/>
          <w:caps w:val="false"/>
          <w:smallCaps w:val="false"/>
          <w:sz w:val="20"/>
        </w:rPr>
        <w:t>. The Indemnifying Person under this Section 9 shall not be liable for any settlement of any proceeding effected without its written consent, which consent may not be unreasonably withheld, but if settled with such consent or if there be a final judgment for the plaintiff, the Indemnifying Person agrees to indemnify the Indemnified Person from and against any loss, claim, damage, liability or expense by reason of such settlement or judgment. Notwithstanding the foregoing sentence, if at any time an Indemnified Person shall have requested an Indemnifying Person to reimburse the Indemnified Person for any reasonably incurred and documented fees and expenses of counsel as contemplated by this Section 9, the Indemnifying Person agrees that it shall be liable for any settlement of any proceeding effected without its written consent if (i) such settlement is entered into more than forty-five (45) Calendar Days after receipt by such Indemnifying Person of the aforesaid request, (ii) such Indemnifying Person shall not have reimbursed the Indemnified Person in accordance with such request, or shall not have disputed in good faith the Indemnified Person’s entitlement to such reimbursement, prior to the date of such settlement and (iii) such Indemnified Person shall have given the Indemnifying Person at least forty-five (45) Calendar Days’ prior notice of its intention to settle. No Indemnifying Person shall, without the prior written consent of the Indemnified Person effect any settlement, compromise or consent to the entry of judgment in any pending or threatened action, suit or proceeding in respect of which any Indemnified Person is or could have been a party and indemnity was or could have been sought hereunder by such Indemnified Person, unless such settlement, compromise or consent (x) includes an unconditional release of such Indemnified Person, in form and substance reasonably satisfactory to such Indemnified Person, from and against all liability on claims that are the subject matter of such action, suit or proceeding and (y) does not include any statements as to or any findings of fault, culpability or failure to act by or on behalf of any Indemnified Person.</w:t>
      </w:r>
    </w:p>
    <w:p>
      <w:pPr>
        <w:pStyle w:val="TextBody"/>
        <w:bidi w:val="0"/>
        <w:spacing w:before="0" w:after="0"/>
        <w:ind w:left="72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90"/>
        <w:gridCol w:w="1175"/>
      </w:tblGrid>
      <w:t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Contribution</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To the extent the indemnification provided for in Section 9 hereof is unavailable to or insufficient to hold harmless an Indemnified Person in respect of any losses, claims, damages, liabilities or expenses referred to therein, then each Indemnifying Person, in lieu of indemnifying such Indemnified Person thereunder, shall contribute to the aggregate amount paid or payable by such Indemnified Person, as incurred, as a result of any losses, claims, damages, liabilities or expenses referred to therein (i) in such proportion as is appropriate to reflect the relative benefits received by the Company, on the one hand, and the Underwriter, on the other hand, from the offering of the Units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 on the other hand, in connection with the statements or omissions that resulted in such losses, claims, damages, liabilities or expenses, as well as any other relevant equitable considerations. The relative benefits received by the Company, on the one hand, and the Underwriter, on the other hand, in connection with the offering of the Units pursuant to this Agreement shall be deemed to be in the same respective proportions as the total net proceeds from the offering of the Units pursuant to this Agreement (before deducting expenses) received by the Company, on the one hand, and the total underwriting discounts and commissions received by the Underwriter, on the other hand, in each case as set forth in the table on the cover of the Final Prospectus bear to the aggregate initial offering price of the Units. The relative fault of the Company, on the one hand, and the Underwriter, on the other hand, shall be determined by reference to, among other things, whether the untrue or alleged untrue statement of a material fact or omission or alleged omission to state a material fact relates to information supplied by the Company, on the one hand, or the Underwriter, on the other hand, and the parties’ relative intent, knowledge, access to information and opportunity to correct or prevent such statement or omission.</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34</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The amount paid or payable by a party as a result of the losses, claims, damages, liabilities and expenses referred to above shall be deemed to include, subject to the limitations set forth in Section 9 hereof, all reasonable legal or other fees or expenses incurred by such party in connection with investigating or defending any action or claim. The provisions set forth in Section 9 hereof with respect to notice of commencement of any action shall apply if a claim for contribution is to be made under this Section 10;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no additional notice shall be required with respect to any action for which notice has been given under Section 9 hereof for purposes of indemnification.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The Company and the Underwriter agree that it would not be just and equitable if contribution pursuant to this Section 10 was determined by pro rata allocation or by any other method of allocation which does not take account of the equitable considerations referred to in this Section 10.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Notwithstanding the provisions of this Section 10, the Underwriter shall not be required to contribute any amount in excess of the amount by which the total discounts and commissions received by the Underwriter in connection with the Units distributed by it exceeds the amount of any damages the Underwriter has otherwise paid or become liable to pay by reason of any untrue or alleged untrue statement or omission or alleged omission. No person guilty of fraudulent misrepresentation (within the meaning of Section 11 of the Securities Act) shall be entitled to contribution from any person who was not guilty of such fraudulent misrepresentation.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For purposes of this Section 10, each director, officer, employee and agent of the Underwriter and each person, if any, who controls the Underwriter within the meaning of Section 15 of the Securities Act or Section 20 of the Exchange Act shall have the same rights to contribution as the Underwriter, and each director and officer of the Company who signed the Registration Statement, and each person, if any, who controls the Company with the meaning of Section 15 of the Securities Act or Section 20 of the Exchange Act, shall have the same rights to contribution as the Company.</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35</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The remedies provided for in Section 9 and Section 10 hereof are not exclusive and shall not limit any rights or remedies which may otherwise be available to any Indemnified Person at law or in equity.</w:t>
      </w:r>
    </w:p>
    <w:p>
      <w:pPr>
        <w:pStyle w:val="TextBody"/>
        <w:bidi w:val="0"/>
        <w:spacing w:before="0" w:after="0"/>
        <w:ind w:left="72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90"/>
        <w:gridCol w:w="1160"/>
      </w:tblGrid>
      <w:t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Prior to the delivery of and payment for the Units on the Closing Date or any Additional Closing Date, as the case may be, this Agreement may be terminated by the Underwriter in the absolute discretion of the Underwriter by notice given to the Company if after the execution and delivery of this Agreement: (i) trading or quotation of any securities issued or guaranteed by the Company shall have been suspended or materially limited on any securities exchange, quotation system or in the over-the-counter market; (ii) trading in securities generally on any of the New York Stock Exchange, the Nasdaq Stock Market or the over-the-counter market shall have been suspended or materially limited; (iii) a general banking moratorium on commercial banking activities shall have been declared by federal or New York state authorities; (iv) there shall have occurred a material disruption in commercial banking or securities settlement, payment or clearance services in the United States; (v) there shall have occurred any outbreak or escalation of national or international hostilities or any crisis or calamity, or any change in the United States or international financial markets, or any substantial change or development involving a prospective substantial change in general economic, financial or political conditions in the United States or internationally, as in the judgment of the Underwriter is material and adverse and makes it impracticable or inadvisable to proceed with the offering, sale or delivery of the Units on the Closing Date or any Additional Closing Date, as the case may be, in the manner and on the terms described in the Pricing Disclosure Package or to enforce contracts for the sale of securities; or (vi) the Company or any of its subsidiaries shall have sustained a loss by strike, fire, flood, earthquake, accident or other calamity of such character as in the judgment of the Underwriter may interfere materially with the conduct of the business and operations of the Company and its subsidiaries, considered as one entity, regardless of whether or not such loss shall have been insured.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Any termination pursuant to this Section 11 shall be without liability on the part of: (x) the Company to the Underwriter, except that the Company shall continue to be liable for the payment of expenses under Section 7; (y) the Underwriter to the Company; or (z) any party hereto to any other party except that the provisions of Section 9, Section 10 and this Section 11 hereof shall at all times be effective and shall survive any such termination. The Underwriter shall be entitled to cash compensation of 8.0% of the gross proceeds with respect to any public or private offering or other financing or capital raising transaction of any kind (“</w:t>
      </w:r>
      <w:r>
        <w:rPr>
          <w:rFonts w:ascii="Times New Roman;Times;Serif" w:hAnsi="Times New Roman;Times;Serif"/>
          <w:b/>
          <w:i w:val="false"/>
          <w:caps w:val="false"/>
          <w:smallCaps w:val="false"/>
          <w:sz w:val="20"/>
          <w:u w:val="single"/>
        </w:rPr>
        <w:t>Tail Financing</w:t>
      </w:r>
      <w:r>
        <w:rPr>
          <w:rFonts w:ascii="Times New Roman;Times;Serif" w:hAnsi="Times New Roman;Times;Serif"/>
          <w:b w:val="false"/>
          <w:i w:val="false"/>
          <w:caps w:val="false"/>
          <w:smallCaps w:val="false"/>
          <w:sz w:val="20"/>
        </w:rPr>
        <w:t>”) to the extent that such financing or capital is provided to the Company by investors the Underwriter has introduced to and/or contacted on behalf of the Company through an in-person, electronic or telephonic communication or investors that Aegis had “wall-crossed” in connection with this Offering (or any entity under common management or having a common investment advisor), provided that the Underwriter has disclosed the names of such investors to the Company in advance of closing of the Offering or within ten (10) Business Days following the expiration or termination of the Engagement Period under the engagement letter between the Company and the Underwriter dated September 17, 2026, if such Tail Financing is consummated at any time within the twelve (12) months period beginning on the Closing Date or expiration or termination of this Agreement. Notwithstanding anything to the contrary herein, the Company may terminate this Agreement for cause in compliance with FINRA Rule 5110(g)(5)(B)(i), and the exercise of such right shall eliminate the Company’s obligations with respect to tail fees and the right of first refusal under this Agreement and such engagement letter.</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36</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Reimbursement of the Underwriter’s Expenses</w:t>
            </w:r>
            <w:r>
              <w:rPr>
                <w:rFonts w:ascii="Times New Roman;Times;Serif" w:hAnsi="Times New Roman;Times;Serif"/>
                <w:b w:val="false"/>
                <w:i w:val="false"/>
                <w:caps w:val="false"/>
                <w:smallCaps w:val="false"/>
                <w:sz w:val="20"/>
              </w:rPr>
              <w:t>. If (a) the Company fails to deliver the Units to the Underwriter for any reason at the Closing Date or any Additional Closing Date, as the case may be, in accordance with this Agreement or (b) the Underwriter declines to purchase the Units for any reason permitted under this Agreement, then the Company agrees to reimburse the Underwriter for all reasonable out-of-pocket costs and expenses (including the reasonable and documented fees and expenses of Underwriter Counsel) incurred by the Underwriter in connection with this Agreement and the applicable offering contemplated hereby.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Representations and Indemnities to Survive Delivery</w:t>
            </w:r>
            <w:r>
              <w:rPr>
                <w:rFonts w:ascii="Times New Roman;Times;Serif" w:hAnsi="Times New Roman;Times;Serif"/>
                <w:b w:val="false"/>
                <w:i w:val="false"/>
                <w:caps w:val="false"/>
                <w:smallCaps w:val="false"/>
                <w:sz w:val="20"/>
              </w:rPr>
              <w:t>. The respective indemnities, rights of contribution, agreements, representations, warranties and other statements of the Company and the Underwriter set forth in or made pursuant to this Agreement or made by or on behalf of the Company or the Underwriter pursuant to this Agreement or any certificate delivered pursuant hereto shall remain in full force and effect, regardless of any investigation made by or on behalf of the Underwriter, the Company or any of their respective officers or directors or any controlling person, as the case may be, and shall survive delivery of and payment for the Units sold hereunder and any termination of this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All notices, requests, consents, claims, demands, waivers and other communications under this Agreement shall be in writing and shall be deemed to have been duly given (i) when delivered by hand (with written confirmation of receipt), (ii) when received by the addressee if sent by a nationally recognized overnight courier (receipt requested), (iii) on the date sent by facsimile (with confirmation of transmission) or email of a PDF document if sent during normal business hours of the recipient, and on the next Business Day if sent after normal business hours of the recipient, or (iv) on the third (3rd) Calendar Day after the date mailed, by certified or registered mail (in each case, return receipt requested, postage pre-paid). Such communications must be sent to the respective parties at the following addresses (or at such other address for a party as shall be specified in a notice given in accordance with this Section 14):</w:t>
            </w:r>
          </w:p>
        </w:tc>
      </w:tr>
    </w:tbl>
    <w:p>
      <w:pPr>
        <w:pStyle w:val="TextBody"/>
        <w:bidi w:val="0"/>
        <w:spacing w:before="0" w:after="0"/>
        <w:ind w:left="0" w:right="0" w:hanging="0"/>
        <w:jc w:val="both"/>
        <w:rPr>
          <w:caps w:val="false"/>
          <w:smallCaps w:val="false"/>
        </w:rPr>
      </w:pPr>
      <w:r>
        <w:rPr>
          <w:caps w:val="false"/>
          <w:smallCaps w:val="false"/>
        </w:rPr>
        <w:t> </w:t>
      </w:r>
    </w:p>
    <w:tbl>
      <w:tblPr>
        <w:tblW w:w="5109" w:type="dxa"/>
        <w:jc w:val="left"/>
        <w:tblInd w:w="0" w:type="dxa"/>
        <w:tblLayout w:type="fixed"/>
        <w:tblCellMar>
          <w:top w:w="0" w:type="dxa"/>
          <w:left w:w="0" w:type="dxa"/>
          <w:bottom w:w="0" w:type="dxa"/>
          <w:right w:w="0" w:type="dxa"/>
        </w:tblCellMar>
      </w:tblPr>
      <w:tblGrid>
        <w:gridCol w:w="1730"/>
        <w:gridCol w:w="1554"/>
        <w:gridCol w:w="1825"/>
      </w:tblGrid>
      <w:t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Underwriter:</w:t>
            </w:r>
          </w:p>
        </w:tc>
        <w:tc>
          <w:tcPr>
            <w:tcW w:w="33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Capital Corp.</w:t>
            </w:r>
          </w:p>
        </w:tc>
      </w:tr>
      <w:t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3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 27th Floor</w:t>
            </w:r>
          </w:p>
        </w:tc>
      </w:tr>
      <w:t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3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10105</w:t>
            </w:r>
          </w:p>
        </w:tc>
      </w:tr>
      <w:t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1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825" w:type="dxa"/>
            <w:tcBorders/>
            <w:vAlign w:val="center"/>
          </w:tcPr>
          <w:p>
            <w:pPr>
              <w:pStyle w:val="TableContents"/>
              <w:bidi w:val="0"/>
              <w:spacing w:before="0" w:after="283"/>
              <w:jc w:val="left"/>
              <w:rPr>
                <w:caps w:val="false"/>
                <w:smallCaps w:val="false"/>
              </w:rPr>
            </w:pPr>
            <w:r>
              <w:rPr>
                <w:caps w:val="false"/>
                <w:smallCaps w:val="false"/>
              </w:rPr>
              <w:t> </w:t>
            </w:r>
          </w:p>
        </w:tc>
      </w:tr>
      <w:t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1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1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Eide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37</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both"/>
        <w:rPr>
          <w:caps w:val="false"/>
          <w:smallCaps w:val="false"/>
        </w:rPr>
      </w:pPr>
      <w:r>
        <w:rPr>
          <w:caps w:val="false"/>
          <w:smallCaps w:val="false"/>
        </w:rPr>
        <w:t> </w:t>
      </w:r>
    </w:p>
    <w:tbl>
      <w:tblPr>
        <w:tblW w:w="5424" w:type="dxa"/>
        <w:jc w:val="left"/>
        <w:tblInd w:w="0" w:type="dxa"/>
        <w:tblLayout w:type="fixed"/>
        <w:tblCellMar>
          <w:top w:w="0" w:type="dxa"/>
          <w:left w:w="0" w:type="dxa"/>
          <w:bottom w:w="0" w:type="dxa"/>
          <w:right w:w="0" w:type="dxa"/>
        </w:tblCellMar>
      </w:tblPr>
      <w:tblGrid>
        <w:gridCol w:w="1565"/>
        <w:gridCol w:w="1352"/>
        <w:gridCol w:w="2507"/>
      </w:tblGrid>
      <w:tr>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Kaufman &amp; Canoles, P.C.</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James Center, 14th Floor, 1021 E. Cary St.</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Richmond, VA 23219</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1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507" w:type="dxa"/>
            <w:tcBorders/>
            <w:vAlign w:val="center"/>
          </w:tcPr>
          <w:p>
            <w:pPr>
              <w:pStyle w:val="TableContents"/>
              <w:bidi w:val="0"/>
              <w:spacing w:before="0" w:after="283"/>
              <w:jc w:val="left"/>
              <w:rPr>
                <w:caps w:val="false"/>
                <w:smallCaps w:val="false"/>
              </w:rPr>
            </w:pPr>
            <w:r>
              <w:rPr>
                <w:caps w:val="false"/>
                <w:smallCaps w:val="false"/>
              </w:rPr>
              <w:t> </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1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W. Basch</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1352" w:type="dxa"/>
            <w:tcBorders/>
            <w:vAlign w:val="center"/>
          </w:tcPr>
          <w:p>
            <w:pPr>
              <w:pStyle w:val="TableContents"/>
              <w:bidi w:val="0"/>
              <w:spacing w:before="0" w:after="283"/>
              <w:jc w:val="left"/>
              <w:rPr>
                <w:caps w:val="false"/>
                <w:smallCaps w:val="false"/>
              </w:rPr>
            </w:pPr>
            <w:r>
              <w:rPr>
                <w:caps w:val="false"/>
                <w:smallCaps w:val="false"/>
              </w:rPr>
              <w:t> </w:t>
            </w:r>
          </w:p>
        </w:tc>
        <w:tc>
          <w:tcPr>
            <w:tcW w:w="2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Britton Williston</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1352" w:type="dxa"/>
            <w:tcBorders/>
            <w:vAlign w:val="center"/>
          </w:tcPr>
          <w:p>
            <w:pPr>
              <w:pStyle w:val="TableContents"/>
              <w:bidi w:val="0"/>
              <w:spacing w:before="0" w:after="283"/>
              <w:jc w:val="left"/>
              <w:rPr>
                <w:caps w:val="false"/>
                <w:smallCaps w:val="false"/>
              </w:rPr>
            </w:pPr>
            <w:r>
              <w:rPr>
                <w:caps w:val="false"/>
                <w:smallCaps w:val="false"/>
              </w:rPr>
              <w:t> </w:t>
            </w:r>
          </w:p>
        </w:tc>
        <w:tc>
          <w:tcPr>
            <w:tcW w:w="2507" w:type="dxa"/>
            <w:tcBorders/>
            <w:vAlign w:val="center"/>
          </w:tcPr>
          <w:p>
            <w:pPr>
              <w:pStyle w:val="TableContents"/>
              <w:bidi w:val="0"/>
              <w:spacing w:before="0" w:after="283"/>
              <w:jc w:val="left"/>
              <w:rPr>
                <w:caps w:val="false"/>
                <w:smallCaps w:val="false"/>
              </w:rPr>
            </w:pPr>
            <w:r>
              <w:rPr>
                <w:caps w:val="false"/>
                <w:smallCaps w:val="false"/>
              </w:rPr>
              <w:t> </w:t>
            </w:r>
          </w:p>
        </w:tc>
      </w:tr>
      <w:tr>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Parabolic Technologies, Inc.</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 Ericksen Ave NE</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250</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Bainbridge Island, WA 98110</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1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507" w:type="dxa"/>
            <w:tcBorders/>
            <w:vAlign w:val="center"/>
          </w:tcPr>
          <w:p>
            <w:pPr>
              <w:pStyle w:val="TableContents"/>
              <w:bidi w:val="0"/>
              <w:spacing w:before="0" w:after="283"/>
              <w:jc w:val="left"/>
              <w:rPr>
                <w:caps w:val="false"/>
                <w:smallCaps w:val="false"/>
              </w:rPr>
            </w:pPr>
            <w:r>
              <w:rPr>
                <w:caps w:val="false"/>
                <w:smallCaps w:val="false"/>
              </w:rPr>
              <w:t> </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1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1352" w:type="dxa"/>
            <w:tcBorders/>
            <w:vAlign w:val="center"/>
          </w:tcPr>
          <w:p>
            <w:pPr>
              <w:pStyle w:val="TableContents"/>
              <w:bidi w:val="0"/>
              <w:spacing w:before="0" w:after="283"/>
              <w:jc w:val="left"/>
              <w:rPr>
                <w:caps w:val="false"/>
                <w:smallCaps w:val="false"/>
              </w:rPr>
            </w:pPr>
            <w:r>
              <w:rPr>
                <w:caps w:val="false"/>
                <w:smallCaps w:val="false"/>
              </w:rPr>
              <w:t> </w:t>
            </w:r>
          </w:p>
        </w:tc>
        <w:tc>
          <w:tcPr>
            <w:tcW w:w="2507" w:type="dxa"/>
            <w:tcBorders/>
            <w:vAlign w:val="center"/>
          </w:tcPr>
          <w:p>
            <w:pPr>
              <w:pStyle w:val="TableContents"/>
              <w:bidi w:val="0"/>
              <w:spacing w:before="0" w:after="283"/>
              <w:jc w:val="left"/>
              <w:rPr>
                <w:caps w:val="false"/>
                <w:smallCaps w:val="false"/>
              </w:rPr>
            </w:pPr>
            <w:r>
              <w:rPr>
                <w:caps w:val="false"/>
                <w:smallCaps w:val="false"/>
              </w:rPr>
              <w:t> </w:t>
            </w:r>
          </w:p>
        </w:tc>
      </w:tr>
      <w:tr>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copy to:</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Hunter Taubman Fischer &amp; Li LLC</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Third Avenue, 19th Floor</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1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507" w:type="dxa"/>
            <w:tcBorders/>
            <w:vAlign w:val="center"/>
          </w:tcPr>
          <w:p>
            <w:pPr>
              <w:pStyle w:val="TableContents"/>
              <w:bidi w:val="0"/>
              <w:spacing w:before="0" w:after="283"/>
              <w:jc w:val="left"/>
              <w:rPr>
                <w:caps w:val="false"/>
                <w:smallCaps w:val="false"/>
              </w:rPr>
            </w:pPr>
            <w:r>
              <w:rPr>
                <w:caps w:val="false"/>
                <w:smallCaps w:val="false"/>
              </w:rPr>
              <w:t> </w:t>
            </w:r>
          </w:p>
        </w:tc>
      </w:tr>
      <w:tr>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1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 Taubman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or facsimile number for receipt of communications by giving written notice to the others in accordance with this Section 14.</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Successors</w:t>
            </w:r>
            <w:r>
              <w:rPr>
                <w:rFonts w:ascii="Times New Roman;Times;Serif" w:hAnsi="Times New Roman;Times;Serif"/>
                <w:b w:val="false"/>
                <w:i w:val="false"/>
                <w:caps w:val="false"/>
                <w:smallCaps w:val="false"/>
                <w:sz w:val="20"/>
              </w:rPr>
              <w:t>. This Agreement shall inure solely to the benefit of and be binding upon the Underwriter, the Company and the other indemnified parties referred to in Section 9 and Section 10 hereof, and in each case their respective successors. Nothing in this Agreement is intended, or shall be construed, to give any other person or entity any legal or equitable right, benefit, remedy or claim under, or in respect of or by virtue of, this Agreement or any provision contained herein. The term “successors,” as used herein, shall not include any purchaser of the Units from the Underwriter merely by reason of such purchase.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Partial Unenforceability</w:t>
            </w:r>
            <w:r>
              <w:rPr>
                <w:rFonts w:ascii="Times New Roman;Times;Serif" w:hAnsi="Times New Roman;Times;Serif"/>
                <w:b w:val="false"/>
                <w:i w:val="false"/>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claim, controversy or dispute arising under or related to this Agreement, whether sounding in contract, tort or statute, shall be governed by and construed in accordance with the internal laws of the State of New York applicable to agreements made and to be performed in such state (including its statute of limitations), without giving effect to the conflict of laws provisions thereof to the extent such principles or rules would require or permit the application of the laws of any jurisdiction other than those of the State of New York. The Company has irrevocably appointed Louis Taubman, as its agent to receive service of process or other legal summons for purposes of any such suit, action or proceeding that may be instituted in any state or federal court in the Borough of Manhattan in the City of New York, United States of America.</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38</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Consent to Jurisdiction</w:t>
            </w:r>
            <w:r>
              <w:rPr>
                <w:rFonts w:ascii="Times New Roman;Times;Serif" w:hAnsi="Times New Roman;Times;Serif"/>
                <w:b w:val="false"/>
                <w:i w:val="false"/>
                <w:caps w:val="false"/>
                <w:smallCaps w:val="false"/>
                <w:sz w:val="20"/>
              </w:rPr>
              <w:t>. No legal suit, action or proceeding arising out of or relating to this Agreement or the transactions contemplated hereby (each, a “</w:t>
            </w:r>
            <w:r>
              <w:rPr>
                <w:rFonts w:ascii="Times New Roman;Times;Serif" w:hAnsi="Times New Roman;Times;Serif"/>
                <w:b/>
                <w:i w:val="false"/>
                <w:caps w:val="false"/>
                <w:smallCaps w:val="false"/>
                <w:sz w:val="20"/>
                <w:u w:val="single"/>
              </w:rPr>
              <w:t>Related Proceeding</w:t>
            </w:r>
            <w:r>
              <w:rPr>
                <w:rFonts w:ascii="Times New Roman;Times;Serif" w:hAnsi="Times New Roman;Times;Serif"/>
                <w:b w:val="false"/>
                <w:i w:val="false"/>
                <w:caps w:val="false"/>
                <w:smallCaps w:val="false"/>
                <w:sz w:val="20"/>
              </w:rPr>
              <w:t>”) may be commenced, prosecuted or continued in any court other than the courts of the State of New York located in the City and County of New York or in the United States District Court for the Southern District of New York, which courts (collectively, the “</w:t>
            </w:r>
            <w:r>
              <w:rPr>
                <w:rFonts w:ascii="Times New Roman;Times;Serif" w:hAnsi="Times New Roman;Times;Serif"/>
                <w:b/>
                <w:i w:val="false"/>
                <w:caps w:val="false"/>
                <w:smallCaps w:val="false"/>
                <w:sz w:val="20"/>
                <w:u w:val="single"/>
              </w:rPr>
              <w:t>Specified Courts</w:t>
            </w:r>
            <w:r>
              <w:rPr>
                <w:rFonts w:ascii="Times New Roman;Times;Serif" w:hAnsi="Times New Roman;Times;Serif"/>
                <w:b w:val="false"/>
                <w:i w:val="false"/>
                <w:caps w:val="false"/>
                <w:smallCaps w:val="false"/>
                <w:sz w:val="20"/>
              </w:rPr>
              <w:t>”) shall have jurisdiction over the adjudication of any Related Proceeding, and the parties to this Agreement hereby irrevocably consent to the exclusive jurisdiction the Specified Courts and personal service of process with respect thereto. The parties to this Agreement hereby irrevocably waive any objection to the laying of venue of any Related Proceeding in the Specified Courts and irrevocably waive and agree not to plead or claim in any Specified Court that any Related Proceeding brought in any Specified Court has been brought in an inconvenient forum.</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Equitable Remedies</w:t>
            </w:r>
            <w:r>
              <w:rPr>
                <w:rFonts w:ascii="Times New Roman;Times;Serif" w:hAnsi="Times New Roman;Times;Serif"/>
                <w:b w:val="false"/>
                <w:i w:val="false"/>
                <w:caps w:val="false"/>
                <w:smallCaps w:val="false"/>
                <w:sz w:val="20"/>
              </w:rPr>
              <w:t>. Each party to this Agreement acknowledges and agrees that (a) a breach or threatened breach by the Company of any of its obligations under Section 5.9 or Section 5.14 would give rise to irreparable harm to the Underwriter for which monetary damages would not be an adequate remedy and (b) if a breach or a threatened breach by the Company of any such obligations occurs, the Underwriter will, in addition to any and all other rights and remedies that may be available to such party at law, at equity, or otherwise in respect of such breach, be entitled to equitable relief, including a temporary restraining order, an injunction, specific performance of the terms of Section 5.9 or Section 5.14 and any other relief that may be available from a court of competent jurisdiction, without any requirement to (i) post a bond or other security, or (ii) prove actual damages or that monetary damages will not afford an adequate remedy. Each party to this Agreement agrees that such party shall not oppose or otherwise challenge the existence of irreparable harm, the appropriateness of equitable relief or the entry by a court of competent jurisdiction of an order granting equitable relief, in either case, consistent with the terms of this Section 19.</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
        <w:gridCol w:w="9932"/>
      </w:tblGrid>
      <w:tr>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Waiver of Jury Trial</w:t>
            </w:r>
            <w:r>
              <w:rPr>
                <w:rFonts w:ascii="Times New Roman;Times;Serif" w:hAnsi="Times New Roman;Times;Serif"/>
                <w:b w:val="false"/>
                <w:i w:val="false"/>
                <w:caps w:val="false"/>
                <w:smallCaps w:val="false"/>
                <w:sz w:val="20"/>
              </w:rPr>
              <w:t>. The parties to this Agreement hereby irrevocably waive, to the fullest extent permitted by applicable law, any and all right to trial by jury in any Related Proceeding.</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39</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No Fiduciary Relationship</w:t>
            </w:r>
            <w:r>
              <w:rPr>
                <w:rFonts w:ascii="Times New Roman;Times;Serif" w:hAnsi="Times New Roman;Times;Serif"/>
                <w:b w:val="false"/>
                <w:i w:val="false"/>
                <w:caps w:val="false"/>
                <w:smallCaps w:val="false"/>
                <w:sz w:val="20"/>
              </w:rPr>
              <w:t>. The Company acknowledges and agrees that: (i) the purchase and sale of the Units pursuant to this Agreement, including the determination of the offering price of the Units and any related discounts and commissions, is an arm’s-length commercial transaction between the Company, on the one hand, and the Underwriter, on the other hand; (ii) in connection with each transaction contemplated hereby and the process leading to such transaction the Underwriter is and has been acting solely as a principal and is not the agent or fiduciary of the Company or its Affiliates, stockholders, members, partners, creditors or employees or any other party; (iii) the Underwriter has not assumed and will not assume an advisory or fiduciary responsibility in favor of the Company with respect to any of the transactions contemplated hereby or the process leading thereto (irrespective of whether the Underwriter has advised or is currently advising the Company on other matters) or any other obligation to the Company except the obligations expressly set forth in this Agreement; (iv) the Underwriter and its respective Affiliates may be engaged in a broad range of transactions that involve interests that differ from those of the Company, and the Underwriter has no obligation to disclose any of such interests by virtue of any fiduciary or advisory relationship; and (v) the Underwriter has not provided any legal, accounting, regulatory or tax advice in any jurisdiction with respect to the offering contemplated hereby, and the Company has consulted its own legal, accounting, regulatory and tax advisors to the extent they deemed appropriate. The Company waives and releases, to the full extent permitted by applicable law, any claims it may have against the Underwriter arising from an alleged breach of fiduciary duty in connection with the offering of the Units or any matters leading up to the offering of the Units.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Compliance with the USA Patriot Act</w:t>
            </w:r>
            <w:r>
              <w:rPr>
                <w:rFonts w:ascii="Times New Roman;Times;Serif" w:hAnsi="Times New Roman;Times;Serif"/>
                <w:b w:val="false"/>
                <w:i w:val="false"/>
                <w:caps w:val="false"/>
                <w:smallCaps w:val="false"/>
                <w:sz w:val="20"/>
              </w:rPr>
              <w:t>. In accordance with the requirements of the USA Patriot Act (Title III of Pub. L. 107-56 (signed into law October 26, 2001)), the Underwriter is required to obtain, verify and record information that identifies their respective clients, including the Company, which information may include the name and address of its clients, as well as other information that will allow the Underwriter to properly identify their respective clients.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any contemporaneous written agreements and any prior written agreements (to the extent not superseded by this Agreement) that relate to the offering of the Units, represents the entire agreement among the Company and the Underwriter with respect to the preparation of the Registration Statement, the Pricing Disclosure Package, the Final Prospectus, each Preliminary Prospectus, each Issuer Free Writing Prospectus, each Testing-the-Waters Communication and each Road Show, the purchase and sale of the Units and the conduct of the offering contemplated hereby.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Amendments or Waivers</w:t>
            </w:r>
            <w:r>
              <w:rPr>
                <w:rFonts w:ascii="Times New Roman;Times;Serif" w:hAnsi="Times New Roman;Times;Serif"/>
                <w:b w:val="false"/>
                <w:i w:val="false"/>
                <w:caps w:val="false"/>
                <w:smallCaps w:val="false"/>
                <w:sz w:val="20"/>
              </w:rPr>
              <w:t>. No amendment or waiver of any provision of this Agreement, nor any consent or approval to any departure therefrom, shall in any event be effective unless the same shall be in writing and signed by all the parties hereto. No waiver by any party shall operate or be construed as a waiver in respect of any failure, breach or default not expressly identified by such written waiver, whether of a similar or different character, and whether occurring before or after the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of any other right, remedy, power or privilege.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
        <w:gridCol w:w="9931"/>
      </w:tblGrid>
      <w:tr>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Section Headings</w:t>
            </w:r>
            <w:r>
              <w:rPr>
                <w:rFonts w:ascii="Times New Roman;Times;Serif" w:hAnsi="Times New Roman;Times;Serif"/>
                <w:b w:val="false"/>
                <w:i w:val="false"/>
                <w:caps w:val="false"/>
                <w:smallCaps w:val="false"/>
                <w:sz w:val="20"/>
              </w:rPr>
              <w:t>. The headings herein are included for convenience of reference only and are not intended to be part of, or to affect the meaning or interpretation of, this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each of which will be deemed an original, but all of which together will be deemed to be one and the same agreement. Counterparts may be delivered via facsimile, email (including PDF or any electronic signature complying with the U.S. federal ESIGN Act of 2000) or other transmission method, and any counterpart so delivered will be deemed to have been duly and validly delivered and be valid and effective for all purposes.</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40</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720" w:right="0" w:hanging="720"/>
        <w:jc w:val="both"/>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290"/>
        <w:gridCol w:w="4355"/>
      </w:tblGrid>
      <w:t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4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 In the event that the Underwriter is a Covered Entity (as defined below) and becomes subject to a proceeding under a U.S. Special Resolution Regime, the transfer from the Underwriter of this Agreement, and any interest and obligation in or under this Agreement, will be effective to the same extent as the transfer would be effective under the U.S. Special Resolution Regime (as defined below) if this Agreement, and any such interest and obligation, were governed by the laws of the United States or a state of the United States.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 In the event that the Underwriter is a Covered Entity and either the Underwriter or a BHC Act Affiliate (as defined below) of the Underwriter becomes subject to a proceeding under a U.S. Special Resolution Regime, Default Rights (as defined below) under this Agreement that may be exercised against the Underwriter is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 As used in this section: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27.3.1. “</w:t>
      </w:r>
      <w:r>
        <w:rPr>
          <w:rFonts w:ascii="Times New Roman;Times;Serif" w:hAnsi="Times New Roman;Times;Serif"/>
          <w:b/>
          <w:i w:val="false"/>
          <w:caps w:val="false"/>
          <w:smallCaps w:val="false"/>
          <w:sz w:val="20"/>
          <w:u w:val="single"/>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27.3.2. “</w:t>
      </w:r>
      <w:r>
        <w:rPr>
          <w:rFonts w:ascii="Times New Roman;Times;Serif" w:hAnsi="Times New Roman;Times;Serif"/>
          <w:b/>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27.3.2.1 a “covered entity” as that term is defined in, and interpreted in accordance with, 12 C.F.R. § 252.82(b);</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27.3.2.2 a “covered bank” as that term is defined in, and interpreted in accordance with, 12 C.F.R. § 47.3(b);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27.3.2.3 a “covered FSI” as that term is defined in, and interpreted in accordance with, 12 C.F.R. § 382.2(b).</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27.3.3. “</w:t>
      </w:r>
      <w:r>
        <w:rPr>
          <w:rFonts w:ascii="Times New Roman;Times;Serif" w:hAnsi="Times New Roman;Times;Serif"/>
          <w:b/>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27.3.4. “</w:t>
      </w:r>
      <w:r>
        <w:rPr>
          <w:rFonts w:ascii="Times New Roman;Times;Serif" w:hAnsi="Times New Roman;Times;Serif"/>
          <w:b/>
          <w:i w:val="false"/>
          <w:caps w:val="false"/>
          <w:smallCaps w:val="false"/>
          <w:sz w:val="20"/>
          <w:u w:val="single"/>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 Underwriting Agreement Signature Page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c>
          <w:tcPr>
            <w:tcW w:w="290" w:type="dxa"/>
            <w:tcBorders/>
            <w:vAlign w:val="center"/>
          </w:tcPr>
          <w:p>
            <w:pPr>
              <w:pStyle w:val="TableContents"/>
              <w:bidi w:val="0"/>
              <w:spacing w:before="0" w:after="283"/>
              <w:jc w:val="center"/>
            </w:pPr>
            <w:r>
              <w:t>41</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 Underwriting Agreement Signature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indicate your acceptance of this Agreement by signing in the space provided below.</w:t>
      </w:r>
    </w:p>
    <w:p>
      <w:pPr>
        <w:pStyle w:val="TextBody"/>
        <w:bidi w:val="0"/>
        <w:spacing w:before="0" w:after="0"/>
        <w:ind w:left="0" w:right="0" w:firstLine="490"/>
        <w:jc w:val="both"/>
        <w:rPr>
          <w:caps w:val="false"/>
          <w:smallCaps w:val="false"/>
        </w:rPr>
      </w:pPr>
      <w:r>
        <w:rPr>
          <w:caps w:val="false"/>
          <w:smallCaps w:val="false"/>
        </w:rPr>
        <w:t> </w:t>
      </w:r>
    </w:p>
    <w:tbl>
      <w:tblPr>
        <w:tblW w:w="3379" w:type="dxa"/>
        <w:jc w:val="left"/>
        <w:tblInd w:w="0" w:type="dxa"/>
        <w:tblLayout w:type="fixed"/>
        <w:tblCellMar>
          <w:top w:w="0" w:type="dxa"/>
          <w:left w:w="0" w:type="dxa"/>
          <w:bottom w:w="0" w:type="dxa"/>
          <w:right w:w="0" w:type="dxa"/>
        </w:tblCellMar>
      </w:tblPr>
      <w:tblGrid>
        <w:gridCol w:w="75"/>
        <w:gridCol w:w="720"/>
        <w:gridCol w:w="2584"/>
      </w:tblGrid>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PARABOLIC TECHNOLOGIES, INC.</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tcBorders/>
            <w:vAlign w:val="center"/>
          </w:tcPr>
          <w:p>
            <w:pPr>
              <w:pStyle w:val="TableContents"/>
              <w:bidi w:val="0"/>
              <w:spacing w:before="0" w:after="283"/>
              <w:jc w:val="left"/>
              <w:rPr>
                <w:caps w:val="false"/>
                <w:smallCaps w:val="false"/>
              </w:rPr>
            </w:pPr>
            <w:r>
              <w:rPr>
                <w:caps w:val="false"/>
                <w:smallCaps w:val="false"/>
              </w:rPr>
              <w:t> </w:t>
            </w:r>
          </w:p>
        </w:tc>
        <w:tc>
          <w:tcPr>
            <w:tcW w:w="2584" w:type="dxa"/>
            <w:tcBorders/>
            <w:vAlign w:val="center"/>
          </w:tcPr>
          <w:p>
            <w:pPr>
              <w:pStyle w:val="TableContents"/>
              <w:bidi w:val="0"/>
              <w:spacing w:before="0" w:after="283"/>
              <w:jc w:val="left"/>
              <w:rPr>
                <w:caps w:val="false"/>
                <w:smallCaps w:val="false"/>
              </w:rPr>
            </w:pPr>
            <w:r>
              <w:rPr>
                <w:caps w:val="false"/>
                <w:smallCaps w:val="false"/>
              </w:rPr>
              <w:t> </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and accepted as of the date first above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AEGIS CAPITAL CORP.</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Eide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Disclosure Package</w:t>
      </w:r>
    </w:p>
    <w:p>
      <w:pPr>
        <w:pStyle w:val="TextBody"/>
        <w:bidi w:val="0"/>
        <w:spacing w:before="0" w:after="0"/>
        <w:jc w:val="center"/>
        <w:rPr>
          <w:caps w:val="false"/>
          <w:smallCaps w:val="false"/>
        </w:rPr>
      </w:pPr>
      <w:r>
        <w:rPr>
          <w:caps w:val="false"/>
          <w:smallCaps w:val="false"/>
        </w:rPr>
        <w:t> </w:t>
      </w:r>
    </w:p>
    <w:tbl>
      <w:tblPr>
        <w:tblW w:w="7320" w:type="dxa"/>
        <w:jc w:val="left"/>
        <w:tblInd w:w="0" w:type="dxa"/>
        <w:tblLayout w:type="fixed"/>
        <w:tblCellMar>
          <w:top w:w="0" w:type="dxa"/>
          <w:left w:w="0" w:type="dxa"/>
          <w:bottom w:w="0" w:type="dxa"/>
          <w:right w:w="0" w:type="dxa"/>
        </w:tblCellMar>
      </w:tblPr>
      <w:tblGrid>
        <w:gridCol w:w="6065"/>
        <w:gridCol w:w="60"/>
        <w:gridCol w:w="140"/>
        <w:gridCol w:w="980"/>
        <w:gridCol w:w="75"/>
      </w:tblGrid>
      <w:tr>
        <w:tc>
          <w:tcPr>
            <w:tcW w:w="6065" w:type="dxa"/>
            <w:tcBorders/>
            <w:shd w:fill="CCEEFF" w:val="clear"/>
            <w:vAlign w:val="center"/>
          </w:tcPr>
          <w:p>
            <w:pPr>
              <w:pStyle w:val="TableContents"/>
              <w:bidi w:val="0"/>
              <w:spacing w:before="0" w:after="283"/>
              <w:jc w:val="left"/>
            </w:pPr>
            <w:r>
              <w:t>Number of Closing Units:</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980" w:type="dxa"/>
            <w:tcBorders/>
            <w:shd w:fill="CCEEFF" w:val="clear"/>
            <w:vAlign w:val="center"/>
          </w:tcPr>
          <w:p>
            <w:pPr>
              <w:pStyle w:val="TableContents"/>
              <w:bidi w:val="0"/>
              <w:spacing w:before="0" w:after="283"/>
              <w:jc w:val="right"/>
            </w:pPr>
            <w:r>
              <w:t>4,963,235</w:t>
            </w:r>
          </w:p>
        </w:tc>
        <w:tc>
          <w:tcPr>
            <w:tcW w:w="75" w:type="dxa"/>
            <w:tcBorders/>
            <w:shd w:fill="CCEEFF" w:val="clear"/>
            <w:vAlign w:val="center"/>
          </w:tcPr>
          <w:p>
            <w:pPr>
              <w:pStyle w:val="TableContents"/>
              <w:bidi w:val="0"/>
              <w:spacing w:before="0" w:after="283"/>
              <w:jc w:val="left"/>
            </w:pPr>
            <w:r>
              <w:t> </w:t>
            </w:r>
          </w:p>
        </w:tc>
      </w:tr>
      <w:tr>
        <w:tc>
          <w:tcPr>
            <w:tcW w:w="6065" w:type="dxa"/>
            <w:tcBorders/>
            <w:shd w:fill="FFFFFF" w:val="clear"/>
            <w:vAlign w:val="center"/>
          </w:tcPr>
          <w:p>
            <w:pPr>
              <w:pStyle w:val="TableContents"/>
              <w:bidi w:val="0"/>
              <w:spacing w:before="0" w:after="283"/>
              <w:jc w:val="left"/>
            </w:pPr>
            <w:r>
              <w:t>Number of Closing Common Units:</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980" w:type="dxa"/>
            <w:tcBorders/>
            <w:shd w:fill="FFFFFF" w:val="clear"/>
            <w:vAlign w:val="center"/>
          </w:tcPr>
          <w:p>
            <w:pPr>
              <w:pStyle w:val="TableContents"/>
              <w:bidi w:val="0"/>
              <w:spacing w:before="0" w:after="283"/>
              <w:jc w:val="right"/>
            </w:pPr>
            <w:r>
              <w:t>125,000</w:t>
            </w:r>
          </w:p>
        </w:tc>
        <w:tc>
          <w:tcPr>
            <w:tcW w:w="75" w:type="dxa"/>
            <w:tcBorders/>
            <w:shd w:fill="FFFFFF" w:val="clear"/>
            <w:vAlign w:val="center"/>
          </w:tcPr>
          <w:p>
            <w:pPr>
              <w:pStyle w:val="TableContents"/>
              <w:bidi w:val="0"/>
              <w:spacing w:before="0" w:after="283"/>
              <w:jc w:val="left"/>
            </w:pPr>
            <w:r>
              <w:t> </w:t>
            </w:r>
          </w:p>
        </w:tc>
      </w:tr>
      <w:tr>
        <w:tc>
          <w:tcPr>
            <w:tcW w:w="6065" w:type="dxa"/>
            <w:tcBorders/>
            <w:shd w:fill="CCEEFF" w:val="clear"/>
            <w:vAlign w:val="center"/>
          </w:tcPr>
          <w:p>
            <w:pPr>
              <w:pStyle w:val="TableContents"/>
              <w:bidi w:val="0"/>
              <w:spacing w:before="0" w:after="283"/>
              <w:jc w:val="left"/>
            </w:pPr>
            <w:r>
              <w:t>Number of Closing Pre-funded Units:</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980" w:type="dxa"/>
            <w:tcBorders/>
            <w:shd w:fill="CCEEFF" w:val="clear"/>
            <w:vAlign w:val="center"/>
          </w:tcPr>
          <w:p>
            <w:pPr>
              <w:pStyle w:val="TableContents"/>
              <w:bidi w:val="0"/>
              <w:spacing w:before="0" w:after="283"/>
              <w:jc w:val="right"/>
            </w:pPr>
            <w:r>
              <w:t>4,838,235</w:t>
            </w:r>
          </w:p>
        </w:tc>
        <w:tc>
          <w:tcPr>
            <w:tcW w:w="75" w:type="dxa"/>
            <w:tcBorders/>
            <w:shd w:fill="CCEEFF" w:val="clear"/>
            <w:vAlign w:val="center"/>
          </w:tcPr>
          <w:p>
            <w:pPr>
              <w:pStyle w:val="TableContents"/>
              <w:bidi w:val="0"/>
              <w:spacing w:before="0" w:after="283"/>
              <w:jc w:val="left"/>
            </w:pPr>
            <w:r>
              <w:t> </w:t>
            </w:r>
          </w:p>
        </w:tc>
      </w:tr>
      <w:tr>
        <w:tc>
          <w:tcPr>
            <w:tcW w:w="6065" w:type="dxa"/>
            <w:tcBorders/>
            <w:shd w:fill="FFFFFF" w:val="clear"/>
            <w:vAlign w:val="center"/>
          </w:tcPr>
          <w:p>
            <w:pPr>
              <w:pStyle w:val="TableContents"/>
              <w:bidi w:val="0"/>
              <w:spacing w:before="0" w:after="283"/>
              <w:jc w:val="left"/>
            </w:pPr>
            <w:r>
              <w:t>Number of Option Shares:</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980" w:type="dxa"/>
            <w:tcBorders/>
            <w:shd w:fill="FFFFFF" w:val="clear"/>
            <w:vAlign w:val="center"/>
          </w:tcPr>
          <w:p>
            <w:pPr>
              <w:pStyle w:val="TableContents"/>
              <w:bidi w:val="0"/>
              <w:spacing w:before="0" w:after="283"/>
              <w:jc w:val="right"/>
            </w:pPr>
            <w:r>
              <w:t>744,485</w:t>
            </w:r>
          </w:p>
        </w:tc>
        <w:tc>
          <w:tcPr>
            <w:tcW w:w="75" w:type="dxa"/>
            <w:tcBorders/>
            <w:shd w:fill="FFFFFF" w:val="clear"/>
            <w:vAlign w:val="center"/>
          </w:tcPr>
          <w:p>
            <w:pPr>
              <w:pStyle w:val="TableContents"/>
              <w:bidi w:val="0"/>
              <w:spacing w:before="0" w:after="283"/>
              <w:jc w:val="left"/>
            </w:pPr>
            <w:r>
              <w:t> </w:t>
            </w:r>
          </w:p>
        </w:tc>
      </w:tr>
      <w:tr>
        <w:tc>
          <w:tcPr>
            <w:tcW w:w="6065" w:type="dxa"/>
            <w:tcBorders/>
            <w:shd w:fill="CCEEFF" w:val="clear"/>
            <w:vAlign w:val="center"/>
          </w:tcPr>
          <w:p>
            <w:pPr>
              <w:pStyle w:val="TableContents"/>
              <w:bidi w:val="0"/>
              <w:spacing w:before="0" w:after="283"/>
              <w:jc w:val="left"/>
            </w:pPr>
            <w:r>
              <w:t>Number of Option Common Warrants:</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980" w:type="dxa"/>
            <w:tcBorders/>
            <w:shd w:fill="CCEEFF" w:val="clear"/>
            <w:vAlign w:val="center"/>
          </w:tcPr>
          <w:p>
            <w:pPr>
              <w:pStyle w:val="TableContents"/>
              <w:bidi w:val="0"/>
              <w:spacing w:before="0" w:after="283"/>
              <w:jc w:val="right"/>
            </w:pPr>
            <w:r>
              <w:t>1,488,970</w:t>
            </w:r>
          </w:p>
        </w:tc>
        <w:tc>
          <w:tcPr>
            <w:tcW w:w="75" w:type="dxa"/>
            <w:tcBorders/>
            <w:shd w:fill="CCEEFF" w:val="clear"/>
            <w:vAlign w:val="center"/>
          </w:tcPr>
          <w:p>
            <w:pPr>
              <w:pStyle w:val="TableContents"/>
              <w:bidi w:val="0"/>
              <w:spacing w:before="0" w:after="283"/>
              <w:jc w:val="left"/>
            </w:pPr>
            <w:r>
              <w:t> </w:t>
            </w:r>
          </w:p>
        </w:tc>
      </w:tr>
      <w:tr>
        <w:tc>
          <w:tcPr>
            <w:tcW w:w="6065" w:type="dxa"/>
            <w:tcBorders/>
            <w:shd w:fill="FFFFFF" w:val="clear"/>
            <w:vAlign w:val="center"/>
          </w:tcPr>
          <w:p>
            <w:pPr>
              <w:pStyle w:val="TableContents"/>
              <w:bidi w:val="0"/>
              <w:spacing w:before="0" w:after="283"/>
              <w:jc w:val="left"/>
            </w:pPr>
            <w:r>
              <w:t>Public Offering Price per Common Unit:</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w:t>
            </w:r>
          </w:p>
        </w:tc>
        <w:tc>
          <w:tcPr>
            <w:tcW w:w="980" w:type="dxa"/>
            <w:tcBorders/>
            <w:shd w:fill="FFFFFF" w:val="clear"/>
            <w:vAlign w:val="center"/>
          </w:tcPr>
          <w:p>
            <w:pPr>
              <w:pStyle w:val="TableContents"/>
              <w:bidi w:val="0"/>
              <w:spacing w:before="0" w:after="283"/>
              <w:jc w:val="right"/>
            </w:pPr>
            <w:r>
              <w:t>2.72</w:t>
            </w:r>
          </w:p>
        </w:tc>
        <w:tc>
          <w:tcPr>
            <w:tcW w:w="75" w:type="dxa"/>
            <w:tcBorders/>
            <w:shd w:fill="FFFFFF" w:val="clear"/>
            <w:vAlign w:val="center"/>
          </w:tcPr>
          <w:p>
            <w:pPr>
              <w:pStyle w:val="TableContents"/>
              <w:bidi w:val="0"/>
              <w:spacing w:before="0" w:after="283"/>
              <w:jc w:val="left"/>
            </w:pPr>
            <w:r>
              <w:t> </w:t>
            </w:r>
          </w:p>
        </w:tc>
      </w:tr>
      <w:tr>
        <w:tc>
          <w:tcPr>
            <w:tcW w:w="6065" w:type="dxa"/>
            <w:tcBorders/>
            <w:shd w:fill="CCEEFF" w:val="clear"/>
            <w:vAlign w:val="center"/>
          </w:tcPr>
          <w:p>
            <w:pPr>
              <w:pStyle w:val="TableContents"/>
              <w:bidi w:val="0"/>
              <w:spacing w:before="0" w:after="283"/>
              <w:jc w:val="left"/>
            </w:pPr>
            <w:r>
              <w:t>Public Offering Price per Pre-funded Unit:</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w:t>
            </w:r>
          </w:p>
        </w:tc>
        <w:tc>
          <w:tcPr>
            <w:tcW w:w="980" w:type="dxa"/>
            <w:tcBorders/>
            <w:shd w:fill="CCEEFF" w:val="clear"/>
            <w:vAlign w:val="center"/>
          </w:tcPr>
          <w:p>
            <w:pPr>
              <w:pStyle w:val="TableContents"/>
              <w:bidi w:val="0"/>
              <w:spacing w:before="0" w:after="283"/>
              <w:jc w:val="right"/>
            </w:pPr>
            <w:r>
              <w:t>2.71999</w:t>
            </w:r>
          </w:p>
        </w:tc>
        <w:tc>
          <w:tcPr>
            <w:tcW w:w="75" w:type="dxa"/>
            <w:tcBorders/>
            <w:shd w:fill="CCEEFF" w:val="clear"/>
            <w:vAlign w:val="center"/>
          </w:tcPr>
          <w:p>
            <w:pPr>
              <w:pStyle w:val="TableContents"/>
              <w:bidi w:val="0"/>
              <w:spacing w:before="0" w:after="283"/>
              <w:jc w:val="left"/>
            </w:pPr>
            <w:r>
              <w:t> </w:t>
            </w:r>
          </w:p>
        </w:tc>
      </w:tr>
      <w:tr>
        <w:tc>
          <w:tcPr>
            <w:tcW w:w="6065" w:type="dxa"/>
            <w:tcBorders/>
            <w:shd w:fill="FFFFFF" w:val="clear"/>
            <w:vAlign w:val="center"/>
          </w:tcPr>
          <w:p>
            <w:pPr>
              <w:pStyle w:val="TableContents"/>
              <w:bidi w:val="0"/>
              <w:spacing w:before="0" w:after="283"/>
              <w:jc w:val="left"/>
            </w:pPr>
            <w:r>
              <w:t>Exercise Price per Pre-funded Warrant:</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w:t>
            </w:r>
          </w:p>
        </w:tc>
        <w:tc>
          <w:tcPr>
            <w:tcW w:w="980" w:type="dxa"/>
            <w:tcBorders/>
            <w:shd w:fill="FFFFFF" w:val="clear"/>
            <w:vAlign w:val="center"/>
          </w:tcPr>
          <w:p>
            <w:pPr>
              <w:pStyle w:val="TableContents"/>
              <w:bidi w:val="0"/>
              <w:spacing w:before="0" w:after="283"/>
              <w:jc w:val="right"/>
            </w:pPr>
            <w:r>
              <w:t>0.00001</w:t>
            </w:r>
          </w:p>
        </w:tc>
        <w:tc>
          <w:tcPr>
            <w:tcW w:w="75" w:type="dxa"/>
            <w:tcBorders/>
            <w:shd w:fill="FFFFFF" w:val="clear"/>
            <w:vAlign w:val="center"/>
          </w:tcPr>
          <w:p>
            <w:pPr>
              <w:pStyle w:val="TableContents"/>
              <w:bidi w:val="0"/>
              <w:spacing w:before="0" w:after="283"/>
              <w:jc w:val="left"/>
            </w:pPr>
            <w:r>
              <w:t> </w:t>
            </w:r>
          </w:p>
        </w:tc>
      </w:tr>
      <w:tr>
        <w:tc>
          <w:tcPr>
            <w:tcW w:w="6065" w:type="dxa"/>
            <w:tcBorders/>
            <w:shd w:fill="CCEEFF" w:val="clear"/>
            <w:vAlign w:val="center"/>
          </w:tcPr>
          <w:p>
            <w:pPr>
              <w:pStyle w:val="TableContents"/>
              <w:bidi w:val="0"/>
              <w:spacing w:before="0" w:after="283"/>
              <w:jc w:val="left"/>
            </w:pPr>
            <w:r>
              <w:t>Exercise Price per Common Warrant:</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w:t>
            </w:r>
          </w:p>
        </w:tc>
        <w:tc>
          <w:tcPr>
            <w:tcW w:w="980" w:type="dxa"/>
            <w:tcBorders/>
            <w:shd w:fill="CCEEFF" w:val="clear"/>
            <w:vAlign w:val="center"/>
          </w:tcPr>
          <w:p>
            <w:pPr>
              <w:pStyle w:val="TableContents"/>
              <w:bidi w:val="0"/>
              <w:spacing w:before="0" w:after="283"/>
              <w:jc w:val="right"/>
            </w:pPr>
            <w:r>
              <w:t>6.80</w:t>
            </w:r>
          </w:p>
        </w:tc>
        <w:tc>
          <w:tcPr>
            <w:tcW w:w="75" w:type="dxa"/>
            <w:tcBorders/>
            <w:shd w:fill="CCEEFF" w:val="clear"/>
            <w:vAlign w:val="center"/>
          </w:tcPr>
          <w:p>
            <w:pPr>
              <w:pStyle w:val="TableContents"/>
              <w:bidi w:val="0"/>
              <w:spacing w:before="0" w:after="283"/>
              <w:jc w:val="left"/>
            </w:pPr>
            <w:r>
              <w:t> </w:t>
            </w:r>
          </w:p>
        </w:tc>
      </w:tr>
      <w:tr>
        <w:tc>
          <w:tcPr>
            <w:tcW w:w="6065" w:type="dxa"/>
            <w:tcBorders/>
            <w:shd w:fill="FFFFFF" w:val="clear"/>
            <w:vAlign w:val="center"/>
          </w:tcPr>
          <w:p>
            <w:pPr>
              <w:pStyle w:val="TableContents"/>
              <w:bidi w:val="0"/>
              <w:spacing w:before="0" w:after="283"/>
              <w:jc w:val="left"/>
            </w:pPr>
            <w:r>
              <w:t>Underwriting Discount per Common Unit and Pre-funded Unit:</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w:t>
            </w:r>
          </w:p>
        </w:tc>
        <w:tc>
          <w:tcPr>
            <w:tcW w:w="980" w:type="dxa"/>
            <w:tcBorders/>
            <w:shd w:fill="FFFFFF" w:val="clear"/>
            <w:vAlign w:val="center"/>
          </w:tcPr>
          <w:p>
            <w:pPr>
              <w:pStyle w:val="TableContents"/>
              <w:bidi w:val="0"/>
              <w:spacing w:before="0" w:after="283"/>
              <w:jc w:val="right"/>
            </w:pPr>
            <w:r>
              <w:t>0.2176</w:t>
            </w:r>
          </w:p>
        </w:tc>
        <w:tc>
          <w:tcPr>
            <w:tcW w:w="75" w:type="dxa"/>
            <w:tcBorders/>
            <w:shd w:fill="FFFFFF" w:val="clear"/>
            <w:vAlign w:val="center"/>
          </w:tcPr>
          <w:p>
            <w:pPr>
              <w:pStyle w:val="TableContents"/>
              <w:bidi w:val="0"/>
              <w:spacing w:before="0" w:after="283"/>
              <w:jc w:val="left"/>
            </w:pPr>
            <w:r>
              <w:t> </w:t>
            </w:r>
          </w:p>
        </w:tc>
      </w:tr>
      <w:tr>
        <w:tc>
          <w:tcPr>
            <w:tcW w:w="6065" w:type="dxa"/>
            <w:tcBorders/>
            <w:shd w:fill="CCEEFF" w:val="clear"/>
            <w:vAlign w:val="center"/>
          </w:tcPr>
          <w:p>
            <w:pPr>
              <w:pStyle w:val="TableContents"/>
              <w:bidi w:val="0"/>
              <w:spacing w:before="0" w:after="283"/>
              <w:jc w:val="left"/>
            </w:pPr>
            <w:r>
              <w:t>Purchase Price per Option Share:</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w:t>
            </w:r>
          </w:p>
        </w:tc>
        <w:tc>
          <w:tcPr>
            <w:tcW w:w="980" w:type="dxa"/>
            <w:tcBorders/>
            <w:shd w:fill="CCEEFF" w:val="clear"/>
            <w:vAlign w:val="center"/>
          </w:tcPr>
          <w:p>
            <w:pPr>
              <w:pStyle w:val="TableContents"/>
              <w:bidi w:val="0"/>
              <w:spacing w:before="0" w:after="283"/>
              <w:jc w:val="right"/>
            </w:pPr>
            <w:r>
              <w:t>2.5024</w:t>
            </w:r>
          </w:p>
        </w:tc>
        <w:tc>
          <w:tcPr>
            <w:tcW w:w="75" w:type="dxa"/>
            <w:tcBorders/>
            <w:shd w:fill="CCEEFF" w:val="clear"/>
            <w:vAlign w:val="center"/>
          </w:tcPr>
          <w:p>
            <w:pPr>
              <w:pStyle w:val="TableContents"/>
              <w:bidi w:val="0"/>
              <w:spacing w:before="0" w:after="283"/>
              <w:jc w:val="left"/>
            </w:pPr>
            <w:r>
              <w:t> </w:t>
            </w:r>
          </w:p>
        </w:tc>
      </w:tr>
      <w:tr>
        <w:tc>
          <w:tcPr>
            <w:tcW w:w="6065" w:type="dxa"/>
            <w:tcBorders/>
            <w:shd w:fill="FFFFFF" w:val="clear"/>
            <w:vAlign w:val="center"/>
          </w:tcPr>
          <w:p>
            <w:pPr>
              <w:pStyle w:val="TableContents"/>
              <w:bidi w:val="0"/>
              <w:spacing w:before="0" w:after="283"/>
              <w:jc w:val="left"/>
            </w:pPr>
            <w:r>
              <w:t>Purchase Price per full Option Common Warrant:</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w:t>
            </w:r>
          </w:p>
        </w:tc>
        <w:tc>
          <w:tcPr>
            <w:tcW w:w="980" w:type="dxa"/>
            <w:tcBorders/>
            <w:shd w:fill="FFFFFF" w:val="clear"/>
            <w:vAlign w:val="center"/>
          </w:tcPr>
          <w:p>
            <w:pPr>
              <w:pStyle w:val="TableContents"/>
              <w:bidi w:val="0"/>
              <w:spacing w:before="0" w:after="283"/>
              <w:jc w:val="right"/>
            </w:pPr>
            <w:r>
              <w:t>0.00001</w:t>
            </w:r>
          </w:p>
        </w:tc>
        <w:tc>
          <w:tcPr>
            <w:tcW w:w="75" w:type="dxa"/>
            <w:tcBorders/>
            <w:shd w:fill="FFFFFF" w:val="clear"/>
            <w:vAlign w:val="center"/>
          </w:tcPr>
          <w:p>
            <w:pPr>
              <w:pStyle w:val="TableContents"/>
              <w:bidi w:val="0"/>
              <w:spacing w:before="0" w:after="283"/>
              <w:jc w:val="left"/>
            </w:pPr>
            <w: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Writing Prospectuses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2.43</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4.1.2</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5.9.3.1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Waiver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Recipient Name and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Lock-Up Agreement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8.9 of the Underwriting Agreement, dated November 4, 2026 (the “</w:t>
      </w:r>
      <w:r>
        <w:rPr>
          <w:rFonts w:ascii="Times New Roman;Times;Serif" w:hAnsi="Times New Roman;Times;Serif"/>
          <w:b/>
          <w:i w:val="false"/>
          <w:caps w:val="false"/>
          <w:smallCaps w:val="false"/>
          <w:sz w:val="20"/>
          <w:u w:val="single"/>
        </w:rPr>
        <w:t>Underwriting Agreement</w:t>
      </w:r>
      <w:r>
        <w:rPr>
          <w:rFonts w:ascii="Times New Roman;Times;Serif" w:hAnsi="Times New Roman;Times;Serif"/>
          <w:b w:val="false"/>
          <w:i w:val="false"/>
          <w:caps w:val="false"/>
          <w:smallCaps w:val="false"/>
          <w:sz w:val="20"/>
        </w:rPr>
        <w:t>”), among Parabolic Technologies,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and Aegis Capital Corp. (the “</w:t>
      </w:r>
      <w:r>
        <w:rPr>
          <w:rFonts w:ascii="Times New Roman;Times;Serif" w:hAnsi="Times New Roman;Times;Serif"/>
          <w:b/>
          <w:i w:val="false"/>
          <w:caps w:val="false"/>
          <w:smallCaps w:val="false"/>
          <w:sz w:val="20"/>
          <w:u w:val="single"/>
        </w:rPr>
        <w:t>Underwriter</w:t>
      </w:r>
      <w:r>
        <w:rPr>
          <w:rFonts w:ascii="Times New Roman;Times;Serif" w:hAnsi="Times New Roman;Times;Serif"/>
          <w:b w:val="false"/>
          <w:i w:val="false"/>
          <w:caps w:val="false"/>
          <w:smallCaps w:val="false"/>
          <w:sz w:val="20"/>
        </w:rPr>
        <w:t>”), and the Lock-Up Agreement, dated [●], 2026 (the “</w:t>
      </w:r>
      <w:r>
        <w:rPr>
          <w:rFonts w:ascii="Times New Roman;Times;Serif" w:hAnsi="Times New Roman;Times;Serif"/>
          <w:b/>
          <w:i w:val="false"/>
          <w:caps w:val="false"/>
          <w:smallCaps w:val="false"/>
          <w:sz w:val="20"/>
          <w:u w:val="single"/>
        </w:rPr>
        <w:t>Lock-Up Agreement</w:t>
      </w:r>
      <w:r>
        <w:rPr>
          <w:rFonts w:ascii="Times New Roman;Times;Serif" w:hAnsi="Times New Roman;Times;Serif"/>
          <w:b w:val="false"/>
          <w:i w:val="false"/>
          <w:caps w:val="false"/>
          <w:smallCaps w:val="false"/>
          <w:sz w:val="20"/>
        </w:rPr>
        <w:t>”), between you and the Underwriter relating to the Company’s shares of Class A Common Stock, $0.0001 par value per share (the “</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the Underwriter hereby gives its consent to allow you to sell up to [●] Shares [solely from and including [DATE] to and including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5.9 of the Underwriting Agreement, the Underwriter hereby gives its consent to allow the Company to issue and sell up to [●] Shares pursuant to an offering of the Shares to commence prior to the expiration of the Lock-Up Period as defined in the Underwriting Agreement[, provided that such offering closes on or prior to [●]].]</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CAPITAL CORP.</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Eide</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5.9.3.2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Waiver Press Release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Parabolic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Parabolic Technologies, Inc., a Delaware corporation (the “Company”) announced today that Aegis Capital Corp., acting as the Underwriter in the Company’s recent public offering of the Company’s Units consisting of one (1) share of Class A Common Stock and two (2) warrants to purchase one (1) share of Common Stock each at a per-Share exercise price of $[●] (representing 250.0% of the per Closing Common Unit offering price), is [waiving] [releasing] a lock-up restriction with respect to the Company’s shares of Common Stock held by [certain officers or directors] [an officer or director] of the Company. The [waiver] [release] will take effect on [Date], and the Shares may be sold on or after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8" w:name="ex4-1.htm"/>
      <w:bookmarkStart w:id="29" w:name="ksex4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COMMON 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PARABOLIC TECHNOLOGIES, INC.</w:t>
      </w:r>
    </w:p>
    <w:p>
      <w:pPr>
        <w:pStyle w:val="TextBody"/>
        <w:bidi w:val="0"/>
        <w:spacing w:before="0" w:after="0"/>
        <w:ind w:left="0" w:right="0" w:hanging="0"/>
        <w:jc w:val="center"/>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595"/>
        <w:gridCol w:w="2750"/>
      </w:tblGrid>
      <w:t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w:t>
            </w:r>
          </w:p>
        </w:tc>
        <w:tc>
          <w:tcPr>
            <w:tcW w:w="27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November 5,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WARRANT TO PURCHASE COMMON STOCK</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 or its assigns (the “</w:t>
      </w:r>
      <w:r>
        <w:rPr>
          <w:rFonts w:ascii="Times New Roman;Times;Serif" w:hAnsi="Times New Roman;Times;Serif"/>
          <w:b/>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Issuance Date and on or prior to 5:00 p.m. (New York City time) on the sixty (60) month anniversary of the Issuance Date (the “</w:t>
      </w:r>
      <w:r>
        <w:rPr>
          <w:rFonts w:ascii="Times New Roman;Times;Serif" w:hAnsi="Times New Roman;Times;Serif"/>
          <w:b/>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Parabolic Technologies, Inc. (f/k/a Banzai International,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up to [●] shares (as subject to adjustment hereunder, the “</w:t>
      </w:r>
      <w:r>
        <w:rPr>
          <w:rFonts w:ascii="Times New Roman;Times;Serif" w:hAnsi="Times New Roman;Times;Serif"/>
          <w:b/>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Subject to the provisions of Section 2.3 and Section 2.4, the purchase price of one (1) share of Common Stock under this Warrant shall be equal to the Exercise Price, as defined in Section 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Warrant or in the Underwriting Agreement dated November 4, 2026, between the Company and Aegis Capital Corp., the following terms have the meanings indicated in this Section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the Common Stock is then quoted on the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u w:val="single"/>
        </w:rPr>
        <w:t>Calendar Day</w:t>
      </w:r>
      <w:r>
        <w:rPr>
          <w:rFonts w:ascii="Times New Roman;Times;Serif" w:hAnsi="Times New Roman;Times;Serif"/>
          <w:b w:val="false"/>
          <w:i w:val="false"/>
          <w:caps w:val="false"/>
          <w:smallCaps w:val="false"/>
          <w:sz w:val="20"/>
        </w:rPr>
        <w:t>” means each and every day of the week (Sunday, Monday, Tuesday, Wednesday, Thursday, Friday and Saturday).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$0.0001 par value per share, and any other class of securities into which such securities may hereafter be reclassified or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u w:val="single"/>
        </w:rPr>
        <w:t>First Floor Price</w:t>
      </w:r>
      <w:r>
        <w:rPr>
          <w:rFonts w:ascii="Times New Roman;Times;Serif" w:hAnsi="Times New Roman;Times;Serif"/>
          <w:b w:val="false"/>
          <w:i w:val="false"/>
          <w:caps w:val="false"/>
          <w:smallCaps w:val="false"/>
          <w:sz w:val="20"/>
        </w:rPr>
        <w:t>” means with respect to the First Reset Time, a price equal to fifty percent (50%) of the Nasdaq Minimum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u w:val="single"/>
        </w:rPr>
        <w:t>First Reset Time</w:t>
      </w:r>
      <w:r>
        <w:rPr>
          <w:rFonts w:ascii="Times New Roman;Times;Serif" w:hAnsi="Times New Roman;Times;Serif"/>
          <w:b w:val="false"/>
          <w:i w:val="false"/>
          <w:caps w:val="false"/>
          <w:smallCaps w:val="false"/>
          <w:sz w:val="20"/>
        </w:rPr>
        <w:t>” means 4:02 p.m. Eastern time on the fifth (5th) Trading Day after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u w:val="single"/>
        </w:rPr>
        <w:t>First Reset Exercise Commencement Time</w:t>
      </w:r>
      <w:r>
        <w:rPr>
          <w:rFonts w:ascii="Times New Roman;Times;Serif" w:hAnsi="Times New Roman;Times;Serif"/>
          <w:b w:val="false"/>
          <w:i w:val="false"/>
          <w:caps w:val="false"/>
          <w:smallCaps w:val="false"/>
          <w:sz w:val="20"/>
        </w:rPr>
        <w:t>” means 4:02 p.m. Eastern time on the first (1st) Trading Day after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val="false"/>
          <w:caps w:val="false"/>
          <w:smallCaps w:val="false"/>
          <w:sz w:val="20"/>
          <w:u w:val="single"/>
        </w:rPr>
        <w:t>First Reset Period</w:t>
      </w:r>
      <w:r>
        <w:rPr>
          <w:rFonts w:ascii="Times New Roman;Times;Serif" w:hAnsi="Times New Roman;Times;Serif"/>
          <w:b w:val="false"/>
          <w:i w:val="false"/>
          <w:caps w:val="false"/>
          <w:smallCaps w:val="false"/>
          <w:sz w:val="20"/>
        </w:rPr>
        <w:t>” means the period beginning on the Pricing Date and ending at the First Reset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val="false"/>
          <w:caps w:val="false"/>
          <w:smallCaps w:val="false"/>
          <w:sz w:val="20"/>
          <w:u w:val="single"/>
        </w:rPr>
        <w:t>Floor Price</w:t>
      </w:r>
      <w:r>
        <w:rPr>
          <w:rFonts w:ascii="Times New Roman;Times;Serif" w:hAnsi="Times New Roman;Times;Serif"/>
          <w:b w:val="false"/>
          <w:i w:val="false"/>
          <w:caps w:val="false"/>
          <w:smallCaps w:val="false"/>
          <w:sz w:val="20"/>
        </w:rPr>
        <w:t>” means the First Floor Price or the Second Floor Price, as the context requires.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val="false"/>
          <w:caps w:val="false"/>
          <w:smallCaps w:val="false"/>
          <w:sz w:val="20"/>
          <w:u w:val="single"/>
        </w:rPr>
        <w:t>Nasdaq Minimum Price</w:t>
      </w:r>
      <w:r>
        <w:rPr>
          <w:rFonts w:ascii="Times New Roman;Times;Serif" w:hAnsi="Times New Roman;Times;Serif"/>
          <w:b w:val="false"/>
          <w:i w:val="false"/>
          <w:caps w:val="false"/>
          <w:smallCaps w:val="false"/>
          <w:sz w:val="20"/>
        </w:rPr>
        <w:t>” means a price equal to the lower of (i) the Nasdaq Official Closing Price of the Common Stock immediately preceding the execution of the Underwriting Agreement and (ii) the average Nasdaq Official Closing Price of the Common Stock for the five (5) Trading Days immediately preceding the execution of the Underwriting Agreement, in each case as determined in accordance with Nasdaq Listing Rule 5635(d)(1)(A) and subject to appropriate adjustment for any stock dividend, stock split, reverse stock split, stock combination, reclassification or similar transaction affecting the Common Stock occurring after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val="false"/>
          <w:caps w:val="false"/>
          <w:smallCaps w:val="false"/>
          <w:sz w:val="20"/>
          <w:u w:val="single"/>
        </w:rPr>
        <w:t>Pricing Date</w:t>
      </w:r>
      <w:r>
        <w:rPr>
          <w:rFonts w:ascii="Times New Roman;Times;Serif" w:hAnsi="Times New Roman;Times;Serif"/>
          <w:b w:val="false"/>
          <w:i w:val="false"/>
          <w:caps w:val="false"/>
          <w:smallCaps w:val="false"/>
          <w:sz w:val="20"/>
        </w:rPr>
        <w:t>” means the date of execution of the Underwriting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Company’s registration statement on Form S-1 (File No. 333-299744).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val="false"/>
          <w:caps w:val="false"/>
          <w:smallCaps w:val="false"/>
          <w:sz w:val="20"/>
          <w:u w:val="single"/>
        </w:rPr>
        <w:t>Reset Time</w:t>
      </w:r>
      <w:r>
        <w:rPr>
          <w:rFonts w:ascii="Times New Roman;Times;Serif" w:hAnsi="Times New Roman;Times;Serif"/>
          <w:b w:val="false"/>
          <w:i w:val="false"/>
          <w:caps w:val="false"/>
          <w:smallCaps w:val="false"/>
          <w:sz w:val="20"/>
        </w:rPr>
        <w:t>” means the First Reset Time or the Second Reset Time, as the context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w:t>
      </w:r>
      <w:r>
        <w:rPr>
          <w:rFonts w:ascii="Times New Roman;Times;Serif" w:hAnsi="Times New Roman;Times;Serif"/>
          <w:b/>
          <w:i w:val="false"/>
          <w:caps w:val="false"/>
          <w:smallCaps w:val="false"/>
          <w:sz w:val="20"/>
          <w:u w:val="single"/>
        </w:rPr>
        <w:t>Reset Period</w:t>
      </w:r>
      <w:r>
        <w:rPr>
          <w:rFonts w:ascii="Times New Roman;Times;Serif" w:hAnsi="Times New Roman;Times;Serif"/>
          <w:b w:val="false"/>
          <w:i w:val="false"/>
          <w:caps w:val="false"/>
          <w:smallCaps w:val="false"/>
          <w:sz w:val="20"/>
        </w:rPr>
        <w:t>” means the First Reset Period or the Second Reset Period, as the context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i w:val="false"/>
          <w:caps w:val="false"/>
          <w:smallCaps w:val="false"/>
          <w:sz w:val="20"/>
          <w:u w:val="single"/>
        </w:rPr>
        <w:t>Reset Price</w:t>
      </w:r>
      <w:r>
        <w:rPr>
          <w:rFonts w:ascii="Times New Roman;Times;Serif" w:hAnsi="Times New Roman;Times;Serif"/>
          <w:b w:val="false"/>
          <w:i w:val="false"/>
          <w:caps w:val="false"/>
          <w:smallCaps w:val="false"/>
          <w:sz w:val="20"/>
        </w:rPr>
        <w:t>” means, with respect to the First Reset Time, the greater of (i) eighty percent (80%) of the lowest VWAP during the First Reset Period and (ii) the First Floor Price; and, with respect to the Second Reset Time, the greater of (i) eighty percent (80%) of the lowest VWAP during the Second Reset Period and (ii) the Second Floor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i w:val="false"/>
          <w:caps w:val="false"/>
          <w:smallCaps w:val="false"/>
          <w:sz w:val="20"/>
          <w:u w:val="single"/>
        </w:rPr>
        <w:t>Second Floor Price</w:t>
      </w:r>
      <w:r>
        <w:rPr>
          <w:rFonts w:ascii="Times New Roman;Times;Serif" w:hAnsi="Times New Roman;Times;Serif"/>
          <w:b w:val="false"/>
          <w:i w:val="false"/>
          <w:caps w:val="false"/>
          <w:smallCaps w:val="false"/>
          <w:sz w:val="20"/>
        </w:rPr>
        <w:t>” means with respect to the Second Reset Time, a price equal to thirty percent (30%) of the Nasdaq Minimum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i w:val="false"/>
          <w:caps w:val="false"/>
          <w:smallCaps w:val="false"/>
          <w:sz w:val="20"/>
          <w:u w:val="single"/>
        </w:rPr>
        <w:t>Second Reset Time</w:t>
      </w:r>
      <w:r>
        <w:rPr>
          <w:rFonts w:ascii="Times New Roman;Times;Serif" w:hAnsi="Times New Roman;Times;Serif"/>
          <w:b w:val="false"/>
          <w:i w:val="false"/>
          <w:caps w:val="false"/>
          <w:smallCaps w:val="false"/>
          <w:sz w:val="20"/>
        </w:rPr>
        <w:t>” means 4:02 p.m. Eastern time on the tenth (10th) Trading Day after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i w:val="false"/>
          <w:caps w:val="false"/>
          <w:smallCaps w:val="false"/>
          <w:sz w:val="20"/>
          <w:u w:val="single"/>
        </w:rPr>
        <w:t>Second Reset Exercise Commencement Time</w:t>
      </w:r>
      <w:r>
        <w:rPr>
          <w:rFonts w:ascii="Times New Roman;Times;Serif" w:hAnsi="Times New Roman;Times;Serif"/>
          <w:b w:val="false"/>
          <w:i w:val="false"/>
          <w:caps w:val="false"/>
          <w:smallCaps w:val="false"/>
          <w:sz w:val="20"/>
        </w:rPr>
        <w:t>” means 4:02 p.m. Eastern time on the fifth (5th) Trading Day after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i w:val="false"/>
          <w:caps w:val="false"/>
          <w:smallCaps w:val="false"/>
          <w:sz w:val="20"/>
          <w:u w:val="single"/>
        </w:rPr>
        <w:t>Second Reset Period</w:t>
      </w:r>
      <w:r>
        <w:rPr>
          <w:rFonts w:ascii="Times New Roman;Times;Serif" w:hAnsi="Times New Roman;Times;Serif"/>
          <w:b w:val="false"/>
          <w:i w:val="false"/>
          <w:caps w:val="false"/>
          <w:smallCaps w:val="false"/>
          <w:sz w:val="20"/>
        </w:rPr>
        <w:t>” means the period beginning on the Pricing Date and ending at the Second Reset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 “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Calendar Day on which the principal Trading Market is open for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w:t>
      </w:r>
      <w:r>
        <w:rPr>
          <w:rFonts w:ascii="Times New Roman;Times;Serif" w:hAnsi="Times New Roman;Times;Serif"/>
          <w:b/>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the current transfer agent of the Company, with a mailing address of 1 State Street, 30th Floor, New York, NY 10004-1561, and any successor transfer agent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i w:val="false"/>
          <w:caps w:val="false"/>
          <w:smallCaps w:val="false"/>
          <w:sz w:val="20"/>
          <w:u w:val="single"/>
        </w:rPr>
        <w:t>Underwriting Agreement</w:t>
      </w:r>
      <w:r>
        <w:rPr>
          <w:rFonts w:ascii="Times New Roman;Times;Serif" w:hAnsi="Times New Roman;Times;Serif"/>
          <w:b w:val="false"/>
          <w:i w:val="false"/>
          <w:caps w:val="false"/>
          <w:smallCaps w:val="false"/>
          <w:sz w:val="20"/>
        </w:rPr>
        <w:t>” means the underwriting agreement, dated as of November 4, 2026, between the Company and Aegis Capital Corp., as amended, modified or supplemented from time to time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then quoted on the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i w:val="false"/>
          <w:caps w:val="false"/>
          <w:smallCaps w:val="false"/>
          <w:sz w:val="20"/>
          <w:u w:val="single"/>
        </w:rPr>
        <w:t>Warrants</w:t>
      </w:r>
      <w:r>
        <w:rPr>
          <w:rFonts w:ascii="Times New Roman;Times;Serif" w:hAnsi="Times New Roman;Times;Serif"/>
          <w:b w:val="false"/>
          <w:i w:val="false"/>
          <w:caps w:val="false"/>
          <w:smallCaps w:val="false"/>
          <w:sz w:val="20"/>
        </w:rPr>
        <w:t>” means this Warrant and other Common Stock purchase warrants issued by the Company pursuant to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185"/>
        <w:gridCol w:w="815"/>
      </w:tblGrid>
      <w:tr>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Exercise</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Exercise of the purchase rights represented by this Warrant may be made, in whole or in part, at any time or times on or after the Issuance Date and on or before the Termination Date by delivery to the Company of a duly executed PDF copy submitted by e-mail (or e-mail attachment) of the Notice of Exercise substantially in the form attached hereto as </w:t>
      </w:r>
      <w:r>
        <w:rPr>
          <w:rFonts w:ascii="Times New Roman;Times;Serif" w:hAnsi="Times New Roman;Times;Serif"/>
          <w:b w:val="false"/>
          <w:i w:val="false"/>
          <w:caps w:val="false"/>
          <w:smallCaps w:val="false"/>
          <w:sz w:val="20"/>
          <w:u w:val="single"/>
        </w:rPr>
        <w:t>Exhibit 2.1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2.6.1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2.3 and Section 2.4 below is specified in the applicable Notice of Exercise. For the avoidance of doubt, any reference to cashless exercise herein shall include a reference to zero exercise price option.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after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and the adjustments set forth in Article 3 hereof, the number of Warrant Shares available for purchase hereunder at any given time may be less or more than the amount stated on the face hereof.</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Warrant Share shall be $6.80, subject to adjustment hereunder (the “</w:t>
      </w:r>
      <w:r>
        <w:rPr>
          <w:rFonts w:ascii="Times New Roman;Times;Serif" w:hAnsi="Times New Roman;Times;Serif"/>
          <w:b/>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issuance of the Warrant Shares to the Holder 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applicable: (i) the VWAP on the Trading Day immediately preceding the date of the applicable Notice of Exercise if such Notice of Exercise is (1) delivered pursuant to Section 2.1 hereof on a Calendar Day that is not a Trading Day or (2) delivered pursuant to Section 2.1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highest Bid Price of the Common Stock on the principal Trading Market as reported by Bloomberg L.P. within two (2) hours of the Holder’s delivery of the Notice of Exercise pursuant to Section 2.1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2.1 hereof two (2) or more hours following the close of “regular trading hours” on such Trading Day;</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38"/>
        <w:gridCol w:w="9792"/>
      </w:tblGrid>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c>
          <w:tcPr>
            <w:tcW w:w="97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this Warrant, as adjusted hereunder; and</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9792" w:type="dxa"/>
            <w:tcBorders/>
            <w:vAlign w:val="center"/>
          </w:tcPr>
          <w:p>
            <w:pPr>
              <w:pStyle w:val="TableContents"/>
              <w:bidi w:val="0"/>
              <w:spacing w:before="0" w:after="283"/>
              <w:jc w:val="both"/>
              <w:rPr>
                <w:caps w:val="false"/>
                <w:smallCaps w:val="false"/>
              </w:rPr>
            </w:pPr>
            <w:r>
              <w:rPr>
                <w:caps w:val="false"/>
                <w:smallCaps w:val="false"/>
              </w:rPr>
              <w:t> </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p>
        </w:tc>
        <w:tc>
          <w:tcPr>
            <w:tcW w:w="97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u w:val="single"/>
        </w:rPr>
        <w:t>Zero Exercise Price Option</w:t>
      </w:r>
      <w:r>
        <w:rPr>
          <w:rFonts w:ascii="Times New Roman;Times;Serif" w:hAnsi="Times New Roman;Times;Serif"/>
          <w:b w:val="false"/>
          <w:i w:val="false"/>
          <w:caps w:val="false"/>
          <w:smallCaps w:val="false"/>
          <w:sz w:val="20"/>
        </w:rPr>
        <w:t>. Whether or not an effective registration statement is available for the issuance of the Warrant Shares to the Holder or the resale of the Warrant Shares by the Holder, the Holder may also effect a “zero exercise price option” exercise at any time following the Issuance Date without payment of any cash Exercise Price. In such event, the aggregate number of Warrant Shares issuable in such zero exercise price option exercise pursuant to any given Notice of Exercise electing to effect a zero exercise price option exercise shall equal the product of (i) the aggregate number of Warrant Shares that would be issuable upon exercise of this Warrant in accordance with its terms if such exercise were by means of a cash exercise rather than a cashless exercise (after giving effect to any adjustments to the Exercise Price and number of Warrant Shares, if applicable), multiplied by (ii) 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u w:val="single"/>
        </w:rPr>
        <w:t>Holding Period for Cashless Exercise</w:t>
      </w:r>
      <w:r>
        <w:rPr>
          <w:rFonts w:ascii="Times New Roman;Times;Serif" w:hAnsi="Times New Roman;Times;Serif"/>
          <w:b w:val="false"/>
          <w:i w:val="false"/>
          <w:caps w:val="false"/>
          <w:smallCaps w:val="false"/>
          <w:sz w:val="20"/>
        </w:rPr>
        <w:t>. If Warrant Shares are issued in a cashless exercise pursuant to Section 2.3 (or the zero exercise price option exercise pursuant to Section 2.4), the parties acknowledge and agree that in accordance with Section 3(a)(9) of the Securities Act, the Warrant Shares shall take on the registered characteristics of the Warrants being exercised. Assuming the Holder is not an Affiliate of the Company, the Company agrees that the Company will, on or prior to the Warrant Share Delivery Date, cause the removal of the legend from such Warrant Shares (including by delivering an opinion of Hunter Taubman Fischer &amp; Li LLC to the Company’s transfer agent at its own expense to ensure the foregoing), and the Company agrees that the Holder is under no obligation to sell the Warrant Shares issuable upon the exercise of the Warrant prior to removing the legend. The Company agrees not to take any position contrary to this Section 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2.6.1. </w:t>
      </w:r>
      <w:r>
        <w:rPr>
          <w:rFonts w:ascii="Times New Roman;Times;Serif" w:hAnsi="Times New Roman;Times;Serif"/>
          <w:b/>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or by electronic delivery (at the election of the Holder),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Notwithstanding anything herein to the contrary, upon delivery of the Notice of Exercise, the Holder shall immediately be deemed for purposes of Regulation SHO under the Exchange Act to have become the holder of the Warrant Shares irrespective of the date of delivery of the Warrant Shares.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2.6.2. </w:t>
      </w:r>
      <w:r>
        <w:rPr>
          <w:rFonts w:ascii="Times New Roman;Times;Serif" w:hAnsi="Times New Roman;Times;Serif"/>
          <w:b/>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2.6.3. </w:t>
      </w:r>
      <w:r>
        <w:rPr>
          <w:rFonts w:ascii="Times New Roman;Times;Serif" w:hAnsi="Times New Roman;Times;Serif"/>
          <w:b/>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2.6.1 by the Warrant Share Delivery Date, then the Holder will have the right to rescind such exercise.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2.6.4. </w:t>
      </w:r>
      <w:r>
        <w:rPr>
          <w:rFonts w:ascii="Times New Roman;Times;Serif" w:hAnsi="Times New Roman;Times;Serif"/>
          <w:b/>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2.6.1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and return any amount received by the Company in respect of the Exercise Price for those Warrant Shares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2.6.5. </w:t>
      </w:r>
      <w:r>
        <w:rPr>
          <w:rFonts w:ascii="Times New Roman;Times;Serif" w:hAnsi="Times New Roman;Times;Serif"/>
          <w:b/>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2.6.6. </w:t>
      </w:r>
      <w:r>
        <w:rPr>
          <w:rFonts w:ascii="Times New Roman;Times;Serif" w:hAnsi="Times New Roman;Times;Serif"/>
          <w:b/>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Exhibit 2.6.6</w:t>
      </w:r>
      <w:r>
        <w:rPr>
          <w:rFonts w:ascii="Times New Roman;Times;Serif" w:hAnsi="Times New Roman;Times;Serif"/>
          <w:b w:val="false"/>
          <w:i w:val="false"/>
          <w:caps w:val="false"/>
          <w:smallCaps w:val="false"/>
          <w:sz w:val="20"/>
        </w:rPr>
        <w:t xml:space="preserve"> duly executed by the Holder and the Company may require, as a condition thereto, the payment of a sum sufficient to reimburse it for any transfer tax incidental thereto. The Company shall pay all Transfer Agent fees required for same-Trading Day processing of any Notice of Exercise and all fees to the Depository Trust Company (or another established clearing corporation performing similar functions) required for same-Trading Day electronic delivery of the Warrant Shares.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2.6.7. </w:t>
      </w:r>
      <w:r>
        <w:rPr>
          <w:rFonts w:ascii="Times New Roman;Times;Serif" w:hAnsi="Times New Roman;Times;Serif"/>
          <w:b/>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i w:val="false"/>
          <w:caps w:val="false"/>
          <w:smallCaps w:val="false"/>
          <w:sz w:val="20"/>
          <w:u w:val="single"/>
        </w:rPr>
        <w:t>Holder</w:t>
      </w:r>
      <w:r>
        <w:rPr>
          <w:rFonts w:ascii="Times New Roman;Times;Serif" w:hAnsi="Times New Roman;Times;Serif"/>
          <w:b w:val="false"/>
          <w:i w:val="false"/>
          <w:caps w:val="false"/>
          <w:smallCaps w:val="false"/>
          <w:sz w:val="20"/>
          <w:u w:val="single"/>
        </w:rPr>
        <w:t>’</w:t>
      </w:r>
      <w:r>
        <w:rPr>
          <w:rFonts w:ascii="Times New Roman;Times;Serif" w:hAnsi="Times New Roman;Times;Serif"/>
          <w:b/>
          <w:i w:val="false"/>
          <w:caps w:val="false"/>
          <w:smallCaps w:val="false"/>
          <w:sz w:val="20"/>
          <w:u w:val="single"/>
        </w:rPr>
        <w:t>s Exercise Limitations</w:t>
      </w:r>
      <w:r>
        <w:rPr>
          <w:rFonts w:ascii="Times New Roman;Times;Serif" w:hAnsi="Times New Roman;Times;Serif"/>
          <w:b w:val="false"/>
          <w:i w:val="false"/>
          <w:caps w:val="false"/>
          <w:smallCaps w:val="false"/>
          <w:sz w:val="20"/>
        </w:rPr>
        <w:t>. Notwithstanding anything to the contrary contained herein, the Company shall not effect any exercise of this Warrant, and a Holder shall not have the right to exercise any portion of this Warrant, and any attempted exercise shall be null and void and of no effect,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any other Person whose beneficial ownership of the Common Stock would or could be aggregated with the Holder’s for purposes of Section 13(d) (such Persons, “</w:t>
      </w:r>
      <w:r>
        <w:rPr>
          <w:rFonts w:ascii="Times New Roman;Times;Serif" w:hAnsi="Times New Roman;Times;Serif"/>
          <w:b/>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unexercised portion of this Warrant beneficially owned by the Holder or any of its Affiliates or Attribution Parties and (ii) exercise or conversion of the unexercised or unconverted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2.7,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2.7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2.7, in determining the number of outstanding shares of Common Stock, a Holder may rely on the number of outstanding shares of Common Stock as reflected in the most recent of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2.7,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2.7 shall continue to apply. Any increase in the Beneficial Ownership Limitation will not be effective until sixty-one (61) Calendar Days after such notice is delivered to the Company. In the event that the issuance of Common Stock to the Holders upon exercise of this Warrant results in the Holder, together with the Attribution Parties, collectively being deemed to beneficially own, in the aggregate, more than the Beneficial Ownership Limitation, the number of shares so issued by which the aggregate Beneficial Ownership of the Holder and its Attribution Parties exceeds such limitation (the “</w:t>
      </w:r>
      <w:r>
        <w:rPr>
          <w:rFonts w:ascii="Times New Roman;Times;Serif" w:hAnsi="Times New Roman;Times;Serif"/>
          <w:b/>
          <w:i w:val="false"/>
          <w:caps w:val="false"/>
          <w:smallCaps w:val="false"/>
          <w:sz w:val="20"/>
          <w:u w:val="single"/>
        </w:rPr>
        <w:t>Excess Shares</w:t>
      </w:r>
      <w:r>
        <w:rPr>
          <w:rFonts w:ascii="Times New Roman;Times;Serif" w:hAnsi="Times New Roman;Times;Serif"/>
          <w:b w:val="false"/>
          <w:i w:val="false"/>
          <w:caps w:val="false"/>
          <w:smallCaps w:val="false"/>
          <w:sz w:val="20"/>
        </w:rPr>
        <w:t>”) shall be deemed to be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and the Holder shall return the Excess Shares to the Company. The provisions of this paragraph shall be construed and implemented in a manner otherwise than in strict conformity with the terms of this Section 2.7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may not be amended, modified or waived and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85"/>
        <w:gridCol w:w="1805"/>
      </w:tblGrid>
      <w:t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Certain Adjustments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Warrant Shares issuable upon exercise of this Warrant shall be proportionately adjusted such that the aggregate Exercise Price of this Warrant shall remain unchanged. Any adjustment made pursuant to this Section 3.1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u w:val="single"/>
        </w:rPr>
        <w:t>Reset</w:t>
      </w:r>
      <w:r>
        <w:rPr>
          <w:rFonts w:ascii="Times New Roman;Times;Serif" w:hAnsi="Times New Roman;Times;Serif"/>
          <w:b w:val="false"/>
          <w:i w:val="false"/>
          <w:caps w:val="false"/>
          <w:smallCaps w:val="false"/>
          <w:sz w:val="20"/>
        </w:rPr>
        <w:t>. At each Reset Time, the Exercise Price shall be adjusted to equal the lower of (i) the Exercise Price then in effect and (ii) the applicable Reset Price; provided that in no event shall the Exercise Price be adjusted pursuant to this Section 3 to a price less than the applicable Floor Price. Upon any such adjustment, the number of Warrant Shares issuable upon exercise of this Warrant shall equal (a) the aggregate Exercise Price payable for the Warrant Shares issuable hereunder on the Issuance Date, divided by (b) the Exercise Price as so adjusted, minus (c) the aggregate number of Warrant Shares theretofore issued upon any exercise of this Warrant, whether such issuance occurred before, on, or after such Reset Time. The number of Warrant Shares issuable upon exercise of this Warrant may, from time to time prior to the First Reset Time and/or the Second Reset Time, be reduced to zero, whether as a result of the exercise of this Warrant or the calculation described in the preceding sentence; in any such case, this Warrant shall not terminate and shall remain outstanding, and the Holder shall remain entitled to receive such additional Warrant Shares, if any, as result from the adjustment at the First Reset Time and/or the Second Reset Time, as applicable, notwithstanding that the number of Warrant Shares issuable hereunder was zero at any time prior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u w:val="single"/>
        </w:rPr>
        <w:t>Exercise Prior to Reset Times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 From the Pricing Date until the First Reset Exercise Commencement Time, no adjustment pursuant to Sections 3.2 or 3.3 shall apply to any exercise of this Warrant, and the Exercise Price applicable to any such exercise shall be the Exercise Price then in effect, without regard to any Reset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 From and after the First Reset Exercise Commencement Time and prior to the First Reset Time, if a Holder exercises this Warrant, in whole or in part, then, solely for purposes of calculating the number of Warrant Shares issuable upon such exercise, (i) the First Reset Time shall be deemed to have occurred with regard to such exercise, (ii) the First Reset Period shall be deemed to have ended upon the close of the last regular trading session on the principal Trading Market to have concluded prior to the time of such exercise, and (iii) the number of Warrant Shares issuable upon such exercise shall be determined in accordance with Section 3.2, using the Reset Price so calculated as the Exercise Price then in effect, subject in all cases to the First Floor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From and after the Second Reset Exercise Commencement Time and prior to the Second Reset Time, if a Holder exercises this Warrant, in whole or in part then, solely for purposes of calculating the number of Warrant Shares issuable upon such exercise, (i) the Second Reset Time shall be deemed to have occurred with regard to such exercise, (ii) the Second Reset Period shall be deemed to have ended upon the close of the last regular trading session on the principal Trading Market to have concluded prior to the time of such exercise, and (iii) the number of Warrant Shares issuable upon such exercise shall be determined in accordance with Section 3.2, using the Reset Price so calculated as the Exercise Price then in effect, subject in all cases to the Second Floor Price.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 From and after the Second Reset Time, no further adjustment pursuant to Sections 3.2 or 3.3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 Nothing in this Section 3.3 shall be construed to cause the First Reset Time or the Second Reset Time to occur for any purpose other than the calculations described in Section 3.3.2 or Section 3.3.3, as applicable, and a Holder may exercise this Warrant, and Section 3.3.2 or Section 3.3.3, as applicable, shall apply, on more than one occasion within the window during which such subsection is operative, including as described in the last sentence of Section 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3.1 above, if at any time the Company grants, issues or sells any Common Stock Equivalents or rights to purchase stock, warrants, securities or other property pro rata to all (or substantially all) of the record holders of any class of shares of Common Stock (the “</w:t>
      </w:r>
      <w:r>
        <w:rPr>
          <w:rFonts w:ascii="Times New Roman;Times;Serif" w:hAnsi="Times New Roman;Times;Serif"/>
          <w:b/>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all (or substantially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fraction of a cent as in the initial Exercise Price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3.7.1. </w:t>
      </w:r>
      <w:r>
        <w:rPr>
          <w:rFonts w:ascii="Times New Roman;Times;Serif" w:hAnsi="Times New Roman;Times;Serif"/>
          <w:b/>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3.7.2. </w:t>
      </w:r>
      <w:r>
        <w:rPr>
          <w:rFonts w:ascii="Times New Roman;Times;Serif" w:hAnsi="Times New Roman;Times;Serif"/>
          <w:b/>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fifteen (15)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and the consent of the Holder, the Company may at any time during the term of this Warrant reduce the then current Exercise Price to any amount and for any period of time deemed appropriate by the Board of Directors.</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185"/>
        <w:gridCol w:w="1835"/>
      </w:tblGrid>
      <w:t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Transfer of Warrant</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u w:val="single"/>
        </w:rPr>
        <w:t>Transferability</w:t>
      </w:r>
      <w:r>
        <w:rPr>
          <w:rFonts w:ascii="Times New Roman;Times;Serif" w:hAnsi="Times New Roman;Times;Serif"/>
          <w:b w:val="false"/>
          <w:i w:val="false"/>
          <w:caps w:val="false"/>
          <w:smallCaps w:val="false"/>
          <w:sz w:val="20"/>
        </w:rPr>
        <w:t xml:space="preserve">.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w:t>
      </w:r>
      <w:r>
        <w:rPr>
          <w:rFonts w:ascii="Times New Roman;Times;Serif" w:hAnsi="Times New Roman;Times;Serif"/>
          <w:b w:val="false"/>
          <w:i w:val="false"/>
          <w:caps w:val="false"/>
          <w:smallCaps w:val="false"/>
          <w:sz w:val="20"/>
          <w:u w:val="single"/>
        </w:rPr>
        <w:t>Exhibit 2.6.6</w:t>
      </w:r>
      <w:r>
        <w:rPr>
          <w:rFonts w:ascii="Times New Roman;Times;Serif" w:hAnsi="Times New Roman;Times;Serif"/>
          <w:b w:val="false"/>
          <w:i w:val="false"/>
          <w:caps w:val="false"/>
          <w:smallCaps w:val="false"/>
          <w:sz w:val="20"/>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after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4.1,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185"/>
        <w:gridCol w:w="1280"/>
      </w:tblGrid>
      <w:t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2.6.1, except as expressly set forth in Section 3. Without limiting any rights of a Holder to receive Warrant Shares on a “cashless exercise” pursuant to Section 2.3 and Section 2.4 or to receive cash payments pursuant to Section 2.6.1 and Section 2.6.4 herein, in no event shall the Company be required to net cash settle an exercise of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5.4.1. </w:t>
      </w:r>
      <w:r>
        <w:rPr>
          <w:rFonts w:ascii="Times New Roman;Times;Serif" w:hAnsi="Times New Roman;Times;Serif"/>
          <w:b/>
          <w:i w:val="false"/>
          <w:caps w:val="false"/>
          <w:smallCaps w:val="false"/>
          <w:sz w:val="20"/>
          <w:u w:val="single"/>
        </w:rPr>
        <w:t>Reservation of Authorized and Unissued Shares</w:t>
      </w:r>
      <w:r>
        <w:rPr>
          <w:rFonts w:ascii="Times New Roman;Times;Serif" w:hAnsi="Times New Roman;Times;Serif"/>
          <w:b w:val="false"/>
          <w:i w:val="false"/>
          <w:caps w:val="false"/>
          <w:smallCaps w:val="false"/>
          <w:sz w:val="20"/>
        </w:rPr>
        <w:t>. The Company covenants that, while the Warrant is outstanding, it will reserve from its authorized and unissued Common Stock a sufficient number of shares of Common Stock to provide for the issuance of the maximum number of Warrant Shares that could become issuable upon the exercise of all purchase rights under this Warrant, calculated assuming that the Exercise Price is reset to, and the number of Warrant Shares is determined based on, the lowest applicable Floor Price.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(which means that no further sums are required to be paid by the holders thereof in connection with the issue thereof) and free from all taxes, liens and charges created by the Company in respect of the issue thereof (other than taxes in respect of any transfer occurring contemporaneously with such issue). If the Company does not have a sufficient number of authorized and unissued shares of Common Stock available to honor the exercise of Warrants, the Company shall allocate the available number of Warrant Shares on a pro rata basis among all Holders exercising Warrants, until such time as the Company has a sufficient number of authorized Common Stock to issue all Warrant Shares in full.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5.4.2. </w:t>
      </w:r>
      <w:r>
        <w:rPr>
          <w:rFonts w:ascii="Times New Roman;Times;Serif" w:hAnsi="Times New Roman;Times;Serif"/>
          <w:b/>
          <w:i w:val="false"/>
          <w:caps w:val="false"/>
          <w:smallCaps w:val="false"/>
          <w:sz w:val="20"/>
          <w:u w:val="single"/>
        </w:rPr>
        <w:t>Noncircumvention</w:t>
      </w:r>
      <w:r>
        <w:rPr>
          <w:rFonts w:ascii="Times New Roman;Times;Serif" w:hAnsi="Times New Roman;Times;Serif"/>
          <w:b w:val="false"/>
          <w:i w:val="false"/>
          <w:caps w:val="false"/>
          <w:smallCaps w:val="false"/>
          <w:sz w:val="20"/>
        </w:rPr>
        <w:t>.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assuming that the Exercise Price is reset to, and the number of Warrant Shares is determined based on, the lowest applicable Floor Price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5.4.3. </w:t>
      </w:r>
      <w:r>
        <w:rPr>
          <w:rFonts w:ascii="Times New Roman;Times;Serif" w:hAnsi="Times New Roman;Times;Serif"/>
          <w:b/>
          <w:i w:val="false"/>
          <w:caps w:val="false"/>
          <w:smallCaps w:val="false"/>
          <w:sz w:val="20"/>
          <w:u w:val="single"/>
        </w:rPr>
        <w:t>Authorizations, Exemptions and Consents</w:t>
      </w:r>
      <w:r>
        <w:rPr>
          <w:rFonts w:ascii="Times New Roman;Times;Serif" w:hAnsi="Times New Roman;Times;Serif"/>
          <w:b w:val="false"/>
          <w:i w:val="false"/>
          <w:caps w:val="false"/>
          <w:smallCaps w:val="false"/>
          <w:sz w:val="20"/>
        </w:rPr>
        <w:t>. Before taking any action that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Notwithstanding the foregoing, nothing in this paragraph shall limit or restrict the federal district court in which a Holder may bring a claim under the federal securities laws.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No provision of this Warrant shall be construed as a waiver by the Holder of any rights which the Holder may have under the federal securities laws and the rules and regulations of the Commission thereunder.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435 Ericksen Ave NE, Suite 250, Bainbridge Island, WA 98110, United States, Attention: Joseph Davy, Chief Executive Officer, email address: joe@banzai.io,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5.8 prior to 8:00 p.m. (New York City time) on any date, (ii) the next Trading Day after the time of transmission, if such notice or communication is delivered via e-mail at the e-mail address set forth in this Section 5.8 on a Calendar Day that is not a Trading Day or later than 8:00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a majority-in-interest of Holders of the Warrants, on the other hand; provided, that the provisions of Section 2.7 and this Section 5.12 may not be amended, modified or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 Investor Registered Common Warrant Signature Page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 Investor Registered Common Warrant Signature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Registered Common Warrant to be executed by its officer thereunto duly authorized as of the date first above indicated.</w:t>
      </w:r>
    </w:p>
    <w:p>
      <w:pPr>
        <w:pStyle w:val="TextBody"/>
        <w:bidi w:val="0"/>
        <w:spacing w:before="0" w:after="0"/>
        <w:ind w:left="0" w:right="0" w:hanging="0"/>
        <w:jc w:val="center"/>
        <w:rPr>
          <w:caps w:val="false"/>
          <w:smallCaps w:val="false"/>
        </w:rPr>
      </w:pPr>
      <w:r>
        <w:rPr>
          <w:caps w:val="false"/>
          <w:smallCaps w:val="false"/>
        </w:rPr>
        <w:t> </w:t>
      </w:r>
    </w:p>
    <w:tbl>
      <w:tblPr>
        <w:tblW w:w="3169" w:type="dxa"/>
        <w:jc w:val="left"/>
        <w:tblInd w:w="0" w:type="dxa"/>
        <w:tblLayout w:type="fixed"/>
        <w:tblCellMar>
          <w:top w:w="0" w:type="dxa"/>
          <w:left w:w="0" w:type="dxa"/>
          <w:bottom w:w="0" w:type="dxa"/>
          <w:right w:w="0" w:type="dxa"/>
        </w:tblCellMar>
      </w:tblPr>
      <w:tblGrid>
        <w:gridCol w:w="75"/>
        <w:gridCol w:w="717"/>
        <w:gridCol w:w="2377"/>
      </w:tblGrid>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PARABOLIC TECHNOLOGIES, INC.</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4" w:type="dxa"/>
            <w:gridSpan w:val="2"/>
            <w:tcBorders/>
            <w:vAlign w:val="center"/>
          </w:tcPr>
          <w:p>
            <w:pPr>
              <w:pStyle w:val="TableContents"/>
              <w:bidi w:val="0"/>
              <w:spacing w:before="0" w:after="283"/>
              <w:jc w:val="left"/>
              <w:rPr>
                <w:caps w:val="false"/>
                <w:smallCaps w:val="false"/>
              </w:rPr>
            </w:pPr>
            <w:r>
              <w:rPr>
                <w:caps w:val="false"/>
                <w:smallCaps w:val="false"/>
              </w:rPr>
              <w:t> </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7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23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PARABOLIC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Warrant issued [●], 2026, and, to the extent the undersigned has elected a cash exercise below, tenders herewith payment of the exercise price in full, together with all applicable transfer taxes, if 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lawful money of the United States.</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Section 2.3, to exercise this Warrant with respect to the maximum number of Warrant Shares purchasable pursuant to the cashless exercise procedure set forth in Section 2.3.</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left"/>
              <w:rPr>
                <w:caps w:val="false"/>
                <w:smallCaps w:val="false"/>
              </w:rPr>
            </w:pPr>
            <w:r>
              <w:rPr>
                <w:caps w:val="false"/>
                <w:smallCaps w:val="false"/>
              </w:rPr>
              <w:t> </w:t>
            </w:r>
          </w:p>
        </w:tc>
      </w:tr>
      <w:t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the cancellation of such number of Warrant Shares as is necessary, in accordance with the provisions of Section 2.4, to exercise this Warrant pursuant to the zero exercise price option exercise procedure set forth in Section 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[PARA Investor Registered Common Warrant Exercise Notice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Investor Signature Page]</w:t>
      </w:r>
    </w:p>
    <w:p>
      <w:pPr>
        <w:pStyle w:val="TextBody"/>
        <w:bidi w:val="0"/>
        <w:spacing w:before="0" w:after="0"/>
        <w:ind w:left="0" w:right="0" w:hanging="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460"/>
        <w:gridCol w:w="75"/>
      </w:tblGrid>
      <w:t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Investing Entity:</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center"/>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2.6.6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 this form and supply required information. Do not use this form to exercise the Warrant to purchase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center"/>
        <w:rPr>
          <w:caps w:val="false"/>
          <w:smallCaps w:val="false"/>
        </w:rPr>
      </w:pPr>
      <w:r>
        <w:rPr>
          <w:caps w:val="false"/>
          <w:smallCaps w:val="false"/>
        </w:rPr>
        <w:t> </w:t>
      </w:r>
    </w:p>
    <w:tbl>
      <w:tblPr>
        <w:tblW w:w="1685" w:type="dxa"/>
        <w:jc w:val="left"/>
        <w:tblInd w:w="0" w:type="dxa"/>
        <w:tblLayout w:type="fixed"/>
        <w:tblCellMar>
          <w:top w:w="0" w:type="dxa"/>
          <w:left w:w="0" w:type="dxa"/>
          <w:bottom w:w="0" w:type="dxa"/>
          <w:right w:w="0" w:type="dxa"/>
        </w:tblCellMar>
      </w:tblPr>
      <w:tblGrid>
        <w:gridCol w:w="1610"/>
        <w:gridCol w:w="75"/>
      </w:tblGrid>
      <w:t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caps w:val="false"/>
          <w:smallCaps w:val="false"/>
        </w:rPr>
      </w:pPr>
      <w:bookmarkStart w:id="30" w:name="ex5-1.htm"/>
      <w:bookmarkStart w:id="31" w:name="ksex51"/>
      <w:bookmarkEnd w:id="30"/>
      <w:bookmarkEnd w:id="31"/>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jc w:val="center"/>
        <w:rPr>
          <w:caps w:val="false"/>
          <w:smallCaps w:val="false"/>
        </w:rPr>
      </w:pPr>
      <w:r>
        <w:rPr>
          <w:caps w:val="false"/>
          <w:smallCaps w:val="false"/>
        </w:rPr>
        <w:drawing>
          <wp:inline distT="0" distB="0" distL="0" distR="0">
            <wp:extent cx="3657600" cy="12617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126174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5,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Parabolic Technologies,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 Ericksen Ave, Suite 250</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Bainbridge Island, Washington 98110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United States securities counsel to Parabolic Technologies,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filing of a registration statement on Form S-1, filed by the Company on October 30, 2026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Registration Statement relates to the offer and sale by the Company in a firm commitment underwritten public offering of units (the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at an aggregate offering price of $13,500,000, each Unit consisting of (i) one share of the Company’s Class A common stock, par value $0.0001 per share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or, in lieu thereof, one pre-funded warrant to purchase one share of Class A Common Stock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and (ii) two warrants, each exercisable for one share of Class A Common Stock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together with the shares of Class A Common Stock issuable upon exercise of the Pre-Funded Warrants and the Warrants and any additional shares of Class A Common Stock and Warrants, and shares of Class A Common Stock underlying such additional Warrants, issuable pursuant to the underwriter’s over-allotment option.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the Registration Statement consist of (i) shares of Class A Common Stock included in the Units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(ii) Pre-Funded Warrants included in the Units, (iii) Warrants included in the Units, (iv) shares of Class A Common Stock issuable upon exercise of the Pre-Funded Warrants (the “</w:t>
      </w:r>
      <w:r>
        <w:rPr>
          <w:rFonts w:ascii="Times New Roman;Times;Serif" w:hAnsi="Times New Roman;Times;Serif"/>
          <w:b/>
          <w:i w:val="false"/>
          <w:caps w:val="false"/>
          <w:smallCaps w:val="false"/>
          <w:sz w:val="20"/>
        </w:rPr>
        <w:t>Pre-Funded Warrant Shares</w:t>
      </w:r>
      <w:r>
        <w:rPr>
          <w:rFonts w:ascii="Times New Roman;Times;Serif" w:hAnsi="Times New Roman;Times;Serif"/>
          <w:b w:val="false"/>
          <w:i w:val="false"/>
          <w:caps w:val="false"/>
          <w:smallCaps w:val="false"/>
          <w:sz w:val="20"/>
        </w:rPr>
        <w:t>”), and (v) shares of Class A Common Stock issuable upon exercise of the Warrants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and, collectively with the Shares, the Pre-Funded Warrants, the Warrants and the Pre-Funded Warrant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As used herein, the terms Shares, Warrants and Warrant Shares include, respectively, any additional shares of Class A Common Stock and Warrants issuable pursuant to the over-allotment option granted to Aegis Capital Corp., as underwriter, and any shares of Class A Common Stock issuable upon exercise of such additional Warrants.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authentic originals of such documents; (iv) each natural person signing any document reviewed by us had the legal capacity to do so; (v) any certificates representing the Securities have been or will be duly executed and delivered by the Company; and (vi) the Pre-Funded Warrants and the Warrants have been or will be duly executed and delivered by the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 (i) the Company has been duly incorporated, and is validly existing and in good standing under the laws of its jurisdiction of incorporation; (ii) the Company has the requisite legal status and legal capacity under the laws of the jurisdiction of its incorporation; (iii) the Company has complied and will comply with all aspects of the laws of the jurisdiction of its incorporation, in connection with the transactions contemplated by, and the performance of its obligations under the underwriting agreement between the Company and Aegis Capital Corp.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the Pre-Funded Warrants and the Warrants; and (iv) the Company has the corporate power and authority to execute, deliver and perform all its obligations under the Registration Statement, the Underwriting Agreement, the Pre-Funded Warrants and the Warrants.</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www.htflawyers.com | info@htflawyers.com</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Third Avenue, 19th Floor, New York, New York 10022| Office: (212) 530-2210 | Fax: (212) 202-6380</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ind w:left="0" w:right="0" w:firstLine="72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3657600" cy="12617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1261745"/>
                    </a:xfrm>
                    <a:prstGeom prst="rect">
                      <a:avLst/>
                    </a:prstGeom>
                  </pic:spPr>
                </pic:pic>
              </a:graphicData>
            </a:graphic>
          </wp:inline>
        </w:drawing>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matter, we have examined the Registration Statement, including the exhibits thereto, and such other documents, corporate records, and instruments and have examined such laws and regulations as we have deemed necessary for purposes of rendering the opinions set forth herein.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advised that we are members of the Bar of the State of New York. In rendering the opinions set forth below, our examination of matters of law has been limited to, and we express no opinion as to the laws of any state or jurisdiction other than, (i) the applicable laws of the State of New York, (ii) the Delaware General Corporation Law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as the same appears on the date hereof at http://www.delcode.state.de.us/ and (iii) the federal securities laws of the United States of America ((i), (ii) and (iii) together,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We express no opinion concerning any matters respecting or affected by any laws other than laws that a lawyer in New York exercising customary professional diligence would reasonably recognize as being directly applicable to the Company, the Underwriting Agreement, the Securities, and the transactions contemplated thereby or any of them. Without limiting the generality of the foregoing, we express no opinion herein as to any body of law of the State of Delaware other than the DGCL. When any opinion is given herein with respect to an issue where any law other than the laws of the State of New York may apply, except to the extent the DGCL or U.S. federal law would apply, the opinion assumes that consideration of the laws of such jurisdiction would lead to the same result as consideration of the laws of the State of New York. For purposes of our opinions, we have assumed that the Underwriting Agreement, the Pre-Funded Warrants and the Warrants are governed exclusively by the internal, substantive laws and judicial interpretations of the State of New York. We express no opinion as to any county, municipal, city, town or village ordinance, rule, regulation, or administrative decision.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having regard to legal considerations which we deem relevant, and subject to the qualifications, limitations and assumptions set forth herein, we are of the opinion that, when the Registration Statement becomes effective under the Securities Act: (i) the Shares, when issued and delivered against payment therefor in accordance with the Underwriting Agreement and the Registration Statement, will be duly authorized, validly issued, fully paid and non-assessable; (ii) the Pre-Funded Warrants and the Warrants, when duly executed and delivered by the Company against payment therefor in accordance with the Underwriting Agreement and the Registration Statement, will constitute valid and binding obligations of the Company, enforceable against the Company in accordance with their respective terms; and (iii) the Pre-Funded Warrant Shares and the Warrant Shares, when issued and delivered upon exercise of the applicable Pre-Funded Warrants or Warrants in accordance with their respective terms, including payment of the applicable exercise price or compliance with any applicable cashless exercise provisions, will be duly authorized, validly issued, fully paid and non-assessable.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set forth above with respect to the validity or binding effect of any security or obligation may be limited by (i) bankruptcy, insolvency, reorganization, fraudulent conveyance, marshaling, moratorium or other similar laws affecting the enforcement generally of the rights and remedies of creditors and secured parties or the obligations of debtors, (ii) general principles of equity (whether considered in a proceeding in equity or at law), including, but not limited to, principles limiting the availability of specific performance or injunctive relief, and concepts of materiality, reasonableness, good faith and fair dealing, (iii) the possible unenforceability under certain circumstances of provisions providing for indemnification, contribution, exculpation, release or waiver that may be contrary to public policy or violative of federal or state securities laws, rules or regulations, and (iv) the effect of course of dealing, course of performance, oral agreements or the like that would modify the terms of an agreement or the respective rights or obligations of the parties under an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speaks only as of the date hereof and 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furnished in connection with the Registration Statement and may not be relied upon for any other purpose without our prior written consent in each instance. Further, no portion of this letter may be quoted, circulated, or referred to in any other document for any other purpose without our prior written consent.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use of our name as it appears under the caption “Legal Matters” in the prospectus forming part of the Registration Statement. In giving such consent, we do not thereby admit that we come within the category of persons whose consent is required under Section 7 of the Securities Act or the rules and regulations of the U.S. Securities and Exchange Commission promulgated thereunder.</w:t>
      </w:r>
    </w:p>
    <w:p>
      <w:pPr>
        <w:pStyle w:val="TextBody"/>
        <w:bidi w:val="0"/>
        <w:jc w:val="both"/>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75"/>
        <w:gridCol w:w="3110"/>
      </w:tblGrid>
      <w:t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10" w:type="dxa"/>
            <w:tcBorders/>
            <w:vAlign w:val="center"/>
          </w:tcPr>
          <w:p>
            <w:pPr>
              <w:pStyle w:val="TableContents"/>
              <w:bidi w:val="0"/>
              <w:spacing w:before="0" w:after="283"/>
              <w:jc w:val="left"/>
              <w:rPr>
                <w:caps w:val="false"/>
                <w:smallCaps w:val="false"/>
              </w:rPr>
            </w:pPr>
            <w:r>
              <w:rPr>
                <w:caps w:val="false"/>
                <w:smallCaps w:val="false"/>
              </w:rPr>
              <w:t> </w:t>
            </w:r>
          </w:p>
        </w:tc>
      </w:tr>
      <w:t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Hunter Taubman Fischer &amp; Li LLC</w:t>
            </w:r>
          </w:p>
        </w:tc>
      </w:tr>
      <w:t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Hunter Taubman Fischer &amp; Li LLC</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www.htflawyers.com | info@htflawyers.com</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Third Avenue, 19th Floor, New York, New York 10022| Office: (212) 530-2210 | Fax: (212) 202-6380</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32" w:name="ex99-1.htm"/>
      <w:bookmarkStart w:id="33" w:name="ksex991"/>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28775" cy="495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28775" cy="4953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Parabolic Technologies, Inc. Announces Closing of $13.5 Million Underwritten Public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SEATTLE, WA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November 5, 2026 (GLOBE NEWSWIRE)</w:t>
      </w:r>
      <w:r>
        <w:rPr>
          <w:rFonts w:ascii="Times New Roman;Times;Serif" w:hAnsi="Times New Roman;Times;Serif"/>
          <w:b w:val="false"/>
          <w:i w:val="false"/>
          <w:caps w:val="false"/>
          <w:smallCaps w:val="false"/>
          <w:sz w:val="20"/>
        </w:rPr>
        <w:t xml:space="preserve"> — Parabolic Technologies, Inc. (Nasdaq: PARA) (the “Company”), a leading AI-powered agentic applications technology company, today announced the closing of its previously announced firm commitment underwritten public offering. Gross proceeds to the Company were approximately $13.5 million, before deducting underwriting fees and other offering expenses payable by the Company. The offering closed on November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consisted of 4,963,235 Common Units (or Pre-Funded Units), each consisting of (i) one (1) share of Class A Common Stock or one (1) Pre-Funded Warrant and (ii) two (2) Common Warrants to purchase one (1) share of Common Stock per warrant at an exercise price of $6.80 per share. The public offering price per Common Unit was $2.72 (or $2.71999 for each Pre-Funded Unit, which is equal to the public offering price per Common Unit sold in the offering minus an exercise price of $0.00001 per Pre-Funded Warrant). The Pre-Funded Warrants are immediately exercisable and may be exercised at any time until exercised in full. For each Pre-Funded Unit sold in the offering, the number of Common Units in the offering will be decreased on a one-for-one basis. The initial exercise price of each Common Warrant is $6.80 per share of Common Stock or pursuant to an alternative cashless exercise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to cover over-allotments, if any, the Company has granted Aegis Capital Corp. (“Aegis”) a 45-day option to purchase (i) additional shares of Common Stock of up to 15.0% of the number of Common Units sold in the offering and/or (ii) additional Common Warrants of up to 30.0% of the number of Common Units sold in the offering. The purchase price to be paid per additional share of Common Stock will be equal to the public offering price of one Common Unit (less $0.00001 allocated to each full warrant), less the underwriting discount. The purchase price to be paid per additional Common Warrant will be $0.00001.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Aegis Capital Corp. acted as the sole book-running manager for the offering. Hunter Taubman Fischer &amp; Li LLC acted as counsel to the Company. Kaufman &amp; Canoles, P.C. acted as counsel to Aegis Capital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registration statement on Form S-1 (No. 333-299744) previously filed with the U.S. Securities and Exchange Commission (the “SEC”) on October 30, 2026, was declared effective by the SEC on November 3, 2026, and a related registration statement on Form S-1MEF (File No. 333-299848) was filed pursuant to Rule 462(b) under the Securities Act of 1933, which became effective immediately upon filing on November 5, 2026. The offering was made only by means of a prospectus. A final prospectus describing the terms of the offering will be filed with the SEC and will be available on the SEC’s website located at www.sec.gov. Electronic copies of the final prospectus may be obtained, when available, by contacting Aegis Capital Corp., Attention: Syndicate Department, 1345 Avenue of the Americas, 27th floor, New York, NY 10105, by email at syndicate@aegiscap.com, or by telephone at +1 (212) 813-1010. Before investing in this offering, interested parties should read the prospectus in its entirety, which provides more information about the Company and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Parabolic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Parabolic builds agentic applications that power the future of business. We believe that the future of enterprise software will be agentic applications that are net-beneficiaries of AI transformation, and we focus on building, acquiring, and investing in those and related businesses. We have over 150,000 customers including Amazon, Dell, Salesforce, Aflac, Thermo Fisher Scientific, RBC Wealth Management, and Fitch Group. Learn more at </w:t>
      </w:r>
      <w:r>
        <w:rPr>
          <w:rFonts w:ascii="Times New Roman;Times;Serif" w:hAnsi="Times New Roman;Times;Serif"/>
          <w:b w:val="false"/>
          <w:i w:val="false"/>
          <w:caps w:val="false"/>
          <w:smallCaps w:val="false"/>
          <w:sz w:val="20"/>
          <w:u w:val="single"/>
        </w:rPr>
        <w:t>www.parabolic.io</w:t>
      </w:r>
      <w:r>
        <w:rPr>
          <w:rFonts w:ascii="Times New Roman;Times;Serif" w:hAnsi="Times New Roman;Times;Serif"/>
          <w:b w:val="false"/>
          <w:i w:val="false"/>
          <w:caps w:val="false"/>
          <w:smallCaps w:val="false"/>
          <w:sz w:val="20"/>
        </w:rPr>
        <w:t xml:space="preserve">. For investors, please visit </w:t>
      </w:r>
      <w:r>
        <w:rPr>
          <w:rFonts w:ascii="Times New Roman;Times;Serif" w:hAnsi="Times New Roman;Times;Serif"/>
          <w:b w:val="false"/>
          <w:i w:val="false"/>
          <w:caps w:val="false"/>
          <w:smallCaps w:val="false"/>
          <w:sz w:val="20"/>
          <w:u w:val="single"/>
        </w:rPr>
        <w:t>ir.banzai.io</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Parabolic Technologies, Inc.’s (the “Company’s”): future financial, business and operating performance and goals; annualized recurring revenue and customer retention; ongoing, future or ability to maintain or improve its financial position, cash flows, and liquidity and its expected financial needs; potential financing and ability to obtain financing; acquisition strategy and proposed acquisitions and, if completed, their potential success and financial contributions; strategy and strategic goals, including being able to capitalize on opportunities; expectations relating to the Company’s industry, outlook and market trends; total addressable market and serviceable addressable market and related projections; plans, strategies and expectations for retaining existing or acquiring new customers, increasing revenue and executing growth initiatives; and product areas of focus and additional products that may be sold in the future. 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206 414-1777</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ir.banzai.io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Witkowski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Director Financial Reporting</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media@parabolic.io</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4" w:name="ex99-2.htm"/>
      <w:bookmarkStart w:id="35" w:name="ksex992"/>
      <w:bookmarkEnd w:id="34"/>
      <w:bookmarkEnd w:id="3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28775" cy="49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28775" cy="495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Parabolic Technologies, Inc. Announces Pricing of $13.5 Million Underwritten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SEATTLE, WA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November 4, 2026 (GLOBE NEWSWIRE)</w:t>
      </w:r>
      <w:r>
        <w:rPr>
          <w:rFonts w:ascii="Times New Roman;Times;Serif" w:hAnsi="Times New Roman;Times;Serif"/>
          <w:b w:val="false"/>
          <w:i w:val="false"/>
          <w:caps w:val="false"/>
          <w:smallCaps w:val="false"/>
          <w:sz w:val="20"/>
        </w:rPr>
        <w:t xml:space="preserve"> — Parabolic Technologies, Inc. (Nasdaq: PARA) (the “Company”), a leading AI-powered agentic applications technology company, today announced the pricing of a firm commitment underwritten public offering with gross proceeds to the Company expected to be approximately $13.5 million, before deducting underwriting fees and other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consists of 4,963,235 Common Units (or Pre-Funded Units), each consisting of (i) one (1) share of Class A Common Stock or one (1) Pre-Funded Warrant and (ii) two (2) Common Warrants to purchase one (1) share of Common Stock per warrant at an exercise price of $6.80. The public offering price per Common Unit is $2.72 (or $2.71999 for each Pre-Funded Unit, which is equal to the public offering price per Common Unit to be sold in the offering minus an exercise price of $0.00001 per Pre-Funded Warrant). The Pre-Funded Warrants will be immediately exercisable and may be exercised at any time until exercised in full. For each Pre-Funded Unit sold in the offering, the number of Common Units in the offering will be decreased on a one-for-one basis. The initial exercise price of each Common Warrant is $6.80 per share of Common Stock or pursuant to an alternative cashless exercise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to cover over-allotments, if any, the Company has granted Aegis Capital Corp. (“Aegis”) a 45-day option to purchase (i) additional shares of Common Stock of up to 15.0% of the number of Common Units sold in the offering and/or (ii) additional Common Warrants of up to 30.0% of the number of Common Units sold in the offering. The purchase price to be paid per additional share of Common Stock will be equal to the public offering price of one Common Unit (less $0.00001 allocated to each full warrant), less the underwriting discount. The purchase price to be paid per additional Common Warrant will be $0.00001.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gross proceeds to the Company are expected to be approximately $13.5 million. The transaction is expected to close on or about November 5, 2026, subject to the satisfaction of customary closing conditions. The Company expects to use the net proceeds from the offering, together with its existing cash, for general corporate purposes, working capital and the repayment of certain outstanding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Aegis Capital Corp. is acting as the sole book-running manager for the offering. Hunter Taubman Fischer &amp; Li LLC is acting as counsel to the Company. Kaufman &amp; Canoles, P.C. is acting as counsel to Aegis Capital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registration statement on Form S-1 (No. 333-299744) previously filed with the U.S. Securities and Exchange Commission (the “SEC”) on October 30, 2026, was declared effective by the SEC on November 3, 2026. The offering is being made only by means of a prospectus. A final prospectus describing the terms of the proposed offering will be filed with the SEC and will be available on the SEC’s website located at www.sec.gov. Electronic copies of the final prospectus may be obtained, when available, by contacting Aegis Capital Corp., Attention: Syndicate Department, 1345 Avenue of the Americas, 27th floor, New York, NY 10105, by email at syndicate@aegiscap.com, or by telephone at +1 (212) 813-1010. Before investing in this offering, interested parties should read the prospectus in its entirety, which provides more information about the Company and such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Parabolic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Parabolic builds agentic applications that power the future of business. We believe that the future of enterprise software will be agentic applications that are net-beneficiaries of AI transformation, and we focus on building, acquiring, and investing in those and related businesses. We have over 150,000 customers including Amazon, Dell, Salesforce, Aflac, Thermo Fisher Scientific, RBC Wealth Management, and Fitch Group. Learn more at </w:t>
      </w:r>
      <w:r>
        <w:rPr>
          <w:rFonts w:ascii="Times New Roman;Times;Serif" w:hAnsi="Times New Roman;Times;Serif"/>
          <w:b w:val="false"/>
          <w:i w:val="false"/>
          <w:caps w:val="false"/>
          <w:smallCaps w:val="false"/>
          <w:sz w:val="20"/>
          <w:u w:val="single"/>
        </w:rPr>
        <w:t>www.parabolic.io</w:t>
      </w:r>
      <w:r>
        <w:rPr>
          <w:rFonts w:ascii="Times New Roman;Times;Serif" w:hAnsi="Times New Roman;Times;Serif"/>
          <w:b w:val="false"/>
          <w:i w:val="false"/>
          <w:caps w:val="false"/>
          <w:smallCaps w:val="false"/>
          <w:sz w:val="20"/>
        </w:rPr>
        <w:t xml:space="preserve">. For investors, please visit </w:t>
      </w:r>
      <w:r>
        <w:rPr>
          <w:rFonts w:ascii="Times New Roman;Times;Serif" w:hAnsi="Times New Roman;Times;Serif"/>
          <w:b w:val="false"/>
          <w:i w:val="false"/>
          <w:caps w:val="false"/>
          <w:smallCaps w:val="false"/>
          <w:sz w:val="20"/>
          <w:u w:val="single"/>
        </w:rPr>
        <w:t>ir.banzai.io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Parabolic Technologies, Inc.’s (the “Company’s”): future financial, business and operating performance and goals; annualized recurring revenue and customer retention; ongoing, future or ability to maintain or improve its financial position, cash flows, and liquidity and its expected financial needs; potential financing and ability to obtain financing; acquisition strategy and proposed acquisitions and, if completed, their potential success and financial contributions; strategy and strategic goals, including being able to capitalize on opportunities; expectations relating to the Company’s industry, outlook and market trends; total addressable market and serviceable addressable market and related projections; plans, strategies and expectations for retaining existing or acquiring new customers, increasing revenue and executing growth initiatives; and product areas of focus and additional products that may be sold in the future. 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206 414-1777</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ir.banzai.io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Witkowski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Director Financial Reporting</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media@parabolic.io</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c>
          <w:tcPr>
            <w:tcW w:w="9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38113</Words>
  <Characters>201997</Characters>
  <CharactersWithSpaces>240245</CharactersWithSpaces>
  <Paragraphs>1553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