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424b3.htm"/>
      <w:bookmarkStart w:id="1" w:name="ksform424b3"/>
      <w:bookmarkEnd w:id="0"/>
      <w:bookmarkEnd w:id="1"/>
      <w:r>
        <w:rPr>
          <w:caps w:val="false"/>
          <w:smallCaps w:val="false"/>
        </w:rPr>
        <w:t> </w:t>
      </w:r>
    </w:p>
    <w:tbl>
      <w:tblPr>
        <w:tblW w:w="5080" w:type="dxa"/>
        <w:jc w:val="left"/>
        <w:tblInd w:w="0" w:type="dxa"/>
        <w:tblLayout w:type="fixed"/>
        <w:tblCellMar>
          <w:top w:w="0" w:type="dxa"/>
          <w:left w:w="0" w:type="dxa"/>
          <w:bottom w:w="0" w:type="dxa"/>
          <w:right w:w="0" w:type="dxa"/>
        </w:tblCellMar>
      </w:tblPr>
      <w:tblGrid>
        <w:gridCol w:w="1715"/>
        <w:gridCol w:w="3365"/>
      </w:tblGrid>
      <w:tr>
        <w:trPr/>
        <w:tc>
          <w:tcPr>
            <w:tcW w:w="1715" w:type="dxa"/>
            <w:tcBorders/>
            <w:vAlign w:val="center"/>
          </w:tcPr>
          <w:p>
            <w:pPr>
              <w:pStyle w:val="TableContents"/>
              <w:bidi w:val="0"/>
              <w:spacing w:before="0" w:after="283"/>
              <w:jc w:val="left"/>
              <w:rPr/>
            </w:pPr>
            <w:r>
              <w:rPr>
                <w:b/>
              </w:rPr>
              <w:t>PROSPECTUS</w:t>
            </w:r>
            <w:r>
              <w:rPr/>
              <w:t xml:space="preserve"> </w:t>
            </w:r>
          </w:p>
        </w:tc>
        <w:tc>
          <w:tcPr>
            <w:tcW w:w="3365" w:type="dxa"/>
            <w:tcBorders/>
            <w:vAlign w:val="center"/>
          </w:tcPr>
          <w:p>
            <w:pPr>
              <w:pStyle w:val="TableContents"/>
              <w:bidi w:val="0"/>
              <w:spacing w:before="0" w:after="283"/>
              <w:jc w:val="right"/>
              <w:rPr/>
            </w:pPr>
            <w:r>
              <w:rPr>
                <w:b/>
              </w:rPr>
              <w:t>Filed pursuant to Rule 424(b)(3)</w:t>
            </w:r>
            <w:r>
              <w:rPr/>
              <w:t xml:space="preserve"> </w:t>
            </w:r>
          </w:p>
        </w:tc>
      </w:tr>
      <w:tr>
        <w:trPr/>
        <w:tc>
          <w:tcPr>
            <w:tcW w:w="1715" w:type="dxa"/>
            <w:tcBorders/>
            <w:vAlign w:val="center"/>
          </w:tcPr>
          <w:p>
            <w:pPr>
              <w:pStyle w:val="TableContents"/>
              <w:bidi w:val="0"/>
              <w:spacing w:before="0" w:after="283"/>
              <w:jc w:val="left"/>
              <w:rPr/>
            </w:pPr>
            <w:r>
              <w:rPr/>
              <w:t xml:space="preserve">  </w:t>
            </w:r>
          </w:p>
        </w:tc>
        <w:tc>
          <w:tcPr>
            <w:tcW w:w="3365" w:type="dxa"/>
            <w:tcBorders/>
            <w:vAlign w:val="center"/>
          </w:tcPr>
          <w:p>
            <w:pPr>
              <w:pStyle w:val="TableContents"/>
              <w:bidi w:val="0"/>
              <w:spacing w:before="0" w:after="283"/>
              <w:jc w:val="right"/>
              <w:rPr/>
            </w:pPr>
            <w:r>
              <w:rPr>
                <w:b/>
              </w:rPr>
              <w:t>Registration No. 333-292024</w:t>
            </w:r>
            <w:r>
              <w:rPr/>
              <w:t xml:space="preserve"> </w:t>
            </w:r>
          </w:p>
        </w:tc>
      </w:tr>
    </w:tbl>
    <w:p>
      <w:pPr>
        <w:pStyle w:val="TextBody"/>
        <w:bidi w:val="0"/>
        <w:jc w:val="center"/>
        <w:rPr/>
      </w:pPr>
      <w:r>
        <w:rPr/>
        <w:t> </w:t>
      </w:r>
    </w:p>
    <w:p>
      <w:pPr>
        <w:pStyle w:val="TextBody"/>
        <w:bidi w:val="0"/>
        <w:spacing w:before="0" w:after="0"/>
        <w:jc w:val="center"/>
        <w:rPr>
          <w:caps w:val="false"/>
          <w:smallCaps w:val="false"/>
        </w:rPr>
      </w:pPr>
      <w:r>
        <w:rPr>
          <w:caps w:val="false"/>
          <w:smallCaps w:val="false"/>
        </w:rPr>
        <w:drawing>
          <wp:inline distT="0" distB="0" distL="0" distR="0">
            <wp:extent cx="1047750" cy="2381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047750" cy="23812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2,076,842 shares</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of Class A Common Stock underlying Convertible Notes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Banzai International, Inc. is filing this prospectus for the offer and sale from time to time by the selling securityholders named in this prospectus (the “Selling Securityholders”) of up to 2,076,842 shares of our Class A Common Stock, par value $0.0001 per share (the “Class A Common Stock”), issuable upon the conversion of that certain convertible promissory note (as amended, the “2024 CP BF Convertible Note”) originally issued by the Company to CP BF Lending, LLC, c/o Columbia Pacific Advisors (“CP BF”), pursuant to the Loan Agreement, dated as of February 19, 2021, as amended by the Second Amendment to Loan Agreement, dated as of September 23, 2024, and further amended by the Letter Agreement, dated October 10, 2025 between the Company and CP BF.</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receive any proceeds from the sale of shares of Class A Common Stock by the Selling Securityholders pursuant to this prospectus. However, we will pay the expenses, other than underwriting discounts and commissions and expenses incurred by the Selling Securityholders for brokerage, accounting, tax or legal services or any other expenses incurred by the Selling Securityholders in disposing of the securities, associated with the sale of securities pursuant to this prospectus. Additional details regarding the securities to which this prospectus relates and the Selling Securityholders is set forth in this prospectus in the Prospectus Summary under the heading “</w:t>
      </w:r>
      <w:r>
        <w:rPr>
          <w:rFonts w:ascii="Times New Roman;Times;Serif" w:hAnsi="Times New Roman;Times;Serif"/>
          <w:b w:val="false"/>
          <w:i/>
          <w:caps w:val="false"/>
          <w:smallCaps w:val="false"/>
          <w:sz w:val="20"/>
        </w:rPr>
        <w:t>Information Related to Offered Securities</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Description of Securities</w:t>
      </w:r>
      <w:r>
        <w:rPr>
          <w:rFonts w:ascii="Times New Roman;Times;Serif" w:hAnsi="Times New Roman;Times;Serif"/>
          <w:b w:val="false"/>
          <w:i w:val="false"/>
          <w:caps w:val="false"/>
          <w:smallCaps w:val="false"/>
          <w:sz w:val="20"/>
        </w:rPr>
        <w:t>.”</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registering the securities for resale pursuant to the Selling Securityholders’ registration rights under certain agreements between us and the Selling Securityholders. Our registration of the securities covered by this prospectus does not mean that the Selling Securityholders will offer or sell any of the shares of Class A Common Stock. The Selling Securityholders may offer, sell, or distribute all or a portion of their shares of Class A Common Stock publicly or through private transactions at prevailing market prices or at negotiated prices. We will not receive any proceeds from the sale of shares of Class A Common Stock by the Selling Securityholders pursuant to this prospectus. We provide more information about how the Selling Securityholders may sell the shares in the section entitled “Plan of Distribution.”</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a substantial number of shares of Class A Common Stock in the public market, including the resale of the shares of Class A Common Stock held by our stockholders pursuant to this prospectus or pursuant to Rule 144, could occur at any time. These sales, or the perception in the market that the holders of a large number of shares of Class A Common Stock intend to sell shares, could reduce the market price of the Class A Common Stock and make it more difficult for you to sell your holdings at times and prices that you determine are appropriate. We expect that, because there is a large number of shares being registered pursuant to the registration statement of which this prospectus forms a part, the Selling Securityholders will continue to offer the securities covered thereby pursuant to this prospectus or pursuant to Rule 144 for a significant period of time, the precise duration of which cannot be predicted. Accordingly, the adverse market and price pressures resulting from an offering pursuant to the registration statement may continue for an extended period of time.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See the section entitled “Risk Factors” beginning on page 10 of this prospectus to read about factors you should consider before buying our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securities commission has approved or disapproved of these securities or determined if this prospectus is truthful or complete. Any representation to the contrary is a criminal offense.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date of this prospectus is April 27, 2026.</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9925" w:type="dxa"/>
        <w:jc w:val="left"/>
        <w:tblInd w:w="0" w:type="dxa"/>
        <w:tblLayout w:type="fixed"/>
        <w:tblCellMar>
          <w:top w:w="0" w:type="dxa"/>
          <w:left w:w="0" w:type="dxa"/>
          <w:bottom w:w="0" w:type="dxa"/>
          <w:right w:w="0" w:type="dxa"/>
        </w:tblCellMar>
      </w:tblPr>
      <w:tblGrid>
        <w:gridCol w:w="9470"/>
        <w:gridCol w:w="455"/>
      </w:tblGrid>
      <w:tr>
        <w:trPr/>
        <w:tc>
          <w:tcPr>
            <w:tcW w:w="9470" w:type="dxa"/>
            <w:tcBorders/>
            <w:vAlign w:val="center"/>
          </w:tcPr>
          <w:p>
            <w:pPr>
              <w:pStyle w:val="TableContents"/>
              <w:bidi w:val="0"/>
              <w:spacing w:before="0" w:after="283"/>
              <w:jc w:val="both"/>
              <w:rPr>
                <w:caps w:val="false"/>
                <w:smallCaps w:val="false"/>
              </w:rPr>
            </w:pPr>
            <w:r>
              <w:rPr>
                <w:caps w:val="false"/>
                <w:smallCaps w:val="false"/>
              </w:rPr>
              <w:t> </w:t>
            </w:r>
          </w:p>
        </w:tc>
        <w:tc>
          <w:tcPr>
            <w:tcW w:w="45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9470" w:type="dxa"/>
            <w:tcBorders/>
            <w:shd w:fill="CCEEFF" w:val="clear"/>
            <w:vAlign w:val="center"/>
          </w:tcPr>
          <w:p>
            <w:pPr>
              <w:pStyle w:val="TableContents"/>
              <w:bidi w:val="0"/>
              <w:spacing w:before="0" w:after="283"/>
              <w:jc w:val="both"/>
              <w:rPr/>
            </w:pPr>
            <w:hyperlink w:anchor="Y-001">
              <w:r>
                <w:rPr>
                  <w:rStyle w:val="InternetLink"/>
                  <w:rFonts w:ascii="Times New Roman;Times;Serif" w:hAnsi="Times New Roman;Times;Serif"/>
                  <w:b w:val="false"/>
                  <w:i w:val="false"/>
                  <w:caps w:val="false"/>
                  <w:smallCaps w:val="false"/>
                  <w:sz w:val="20"/>
                </w:rPr>
                <w:t>ABOUT THIS PROSPECTUS</w:t>
              </w:r>
            </w:hyperlink>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r>
      <w:tr>
        <w:trPr/>
        <w:tc>
          <w:tcPr>
            <w:tcW w:w="9470" w:type="dxa"/>
            <w:tcBorders/>
            <w:shd w:fill="FFFFFF" w:val="clear"/>
            <w:vAlign w:val="center"/>
          </w:tcPr>
          <w:p>
            <w:pPr>
              <w:pStyle w:val="TableContents"/>
              <w:bidi w:val="0"/>
              <w:spacing w:before="0" w:after="283"/>
              <w:jc w:val="both"/>
              <w:rPr/>
            </w:pPr>
            <w:hyperlink w:anchor="Y-002">
              <w:r>
                <w:rPr>
                  <w:rStyle w:val="InternetLink"/>
                  <w:rFonts w:ascii="Times New Roman;Times;Serif" w:hAnsi="Times New Roman;Times;Serif"/>
                  <w:b w:val="false"/>
                  <w:i w:val="false"/>
                  <w:caps w:val="false"/>
                  <w:smallCaps w:val="false"/>
                  <w:sz w:val="20"/>
                </w:rPr>
                <w:t>CAUTIONARY NOTE REGARDING FORWARD-LOOKING STATEMENTS</w:t>
              </w:r>
            </w:hyperlink>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r>
      <w:tr>
        <w:trPr/>
        <w:tc>
          <w:tcPr>
            <w:tcW w:w="9470" w:type="dxa"/>
            <w:tcBorders/>
            <w:shd w:fill="CCEEFF" w:val="clear"/>
            <w:vAlign w:val="center"/>
          </w:tcPr>
          <w:p>
            <w:pPr>
              <w:pStyle w:val="TableContents"/>
              <w:bidi w:val="0"/>
              <w:spacing w:before="0" w:after="283"/>
              <w:jc w:val="both"/>
              <w:rPr/>
            </w:pPr>
            <w:hyperlink w:anchor="Y-003">
              <w:r>
                <w:rPr>
                  <w:rStyle w:val="InternetLink"/>
                  <w:rFonts w:ascii="Times New Roman;Times;Serif" w:hAnsi="Times New Roman;Times;Serif"/>
                  <w:b w:val="false"/>
                  <w:i w:val="false"/>
                  <w:caps w:val="false"/>
                  <w:smallCaps w:val="false"/>
                  <w:sz w:val="20"/>
                </w:rPr>
                <w:t>PROSPECTUS SUMMARY</w:t>
              </w:r>
            </w:hyperlink>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9470" w:type="dxa"/>
            <w:tcBorders/>
            <w:shd w:fill="FFFFFF" w:val="clear"/>
            <w:vAlign w:val="center"/>
          </w:tcPr>
          <w:p>
            <w:pPr>
              <w:pStyle w:val="TableContents"/>
              <w:bidi w:val="0"/>
              <w:spacing w:before="0" w:after="283"/>
              <w:jc w:val="both"/>
              <w:rPr/>
            </w:pPr>
            <w:hyperlink w:anchor="Y-004">
              <w:r>
                <w:rPr>
                  <w:rStyle w:val="InternetLink"/>
                  <w:rFonts w:ascii="Times New Roman;Times;Serif" w:hAnsi="Times New Roman;Times;Serif"/>
                  <w:b w:val="false"/>
                  <w:i w:val="false"/>
                  <w:caps w:val="false"/>
                  <w:smallCaps w:val="false"/>
                  <w:sz w:val="20"/>
                </w:rPr>
                <w:t>RISK FACTORS</w:t>
              </w:r>
            </w:hyperlink>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r>
      <w:tr>
        <w:trPr/>
        <w:tc>
          <w:tcPr>
            <w:tcW w:w="9470" w:type="dxa"/>
            <w:tcBorders/>
            <w:shd w:fill="CCEEFF" w:val="clear"/>
            <w:vAlign w:val="center"/>
          </w:tcPr>
          <w:p>
            <w:pPr>
              <w:pStyle w:val="TableContents"/>
              <w:bidi w:val="0"/>
              <w:spacing w:before="0" w:after="283"/>
              <w:jc w:val="both"/>
              <w:rPr/>
            </w:pPr>
            <w:hyperlink w:anchor="Y-005">
              <w:r>
                <w:rPr>
                  <w:rStyle w:val="InternetLink"/>
                  <w:rFonts w:ascii="Times New Roman;Times;Serif" w:hAnsi="Times New Roman;Times;Serif"/>
                  <w:b w:val="false"/>
                  <w:i w:val="false"/>
                  <w:caps w:val="false"/>
                  <w:smallCaps w:val="false"/>
                  <w:sz w:val="20"/>
                </w:rPr>
                <w:t>USE OF PROCEEDS</w:t>
              </w:r>
            </w:hyperlink>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r>
      <w:tr>
        <w:trPr/>
        <w:tc>
          <w:tcPr>
            <w:tcW w:w="9470" w:type="dxa"/>
            <w:tcBorders/>
            <w:shd w:fill="FFFFFF" w:val="clear"/>
            <w:vAlign w:val="center"/>
          </w:tcPr>
          <w:p>
            <w:pPr>
              <w:pStyle w:val="TableContents"/>
              <w:bidi w:val="0"/>
              <w:spacing w:before="0" w:after="283"/>
              <w:jc w:val="both"/>
              <w:rPr/>
            </w:pPr>
            <w:hyperlink w:anchor="Y-006">
              <w:r>
                <w:rPr>
                  <w:rStyle w:val="InternetLink"/>
                  <w:rFonts w:ascii="Times New Roman;Times;Serif" w:hAnsi="Times New Roman;Times;Serif"/>
                  <w:b w:val="false"/>
                  <w:i w:val="false"/>
                  <w:caps w:val="false"/>
                  <w:smallCaps w:val="false"/>
                  <w:sz w:val="20"/>
                </w:rPr>
                <w:t>MARKET INFORMATION FOR CLASS A COMMON STOCK AND DIVIDEND POLICY</w:t>
              </w:r>
            </w:hyperlink>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r>
      <w:tr>
        <w:trPr/>
        <w:tc>
          <w:tcPr>
            <w:tcW w:w="9470" w:type="dxa"/>
            <w:tcBorders/>
            <w:shd w:fill="CCEEFF" w:val="clear"/>
            <w:vAlign w:val="center"/>
          </w:tcPr>
          <w:p>
            <w:pPr>
              <w:pStyle w:val="TableContents"/>
              <w:bidi w:val="0"/>
              <w:spacing w:before="0" w:after="283"/>
              <w:jc w:val="left"/>
              <w:rPr/>
            </w:pPr>
            <w:hyperlink w:anchor="Y-007">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r>
      <w:tr>
        <w:trPr/>
        <w:tc>
          <w:tcPr>
            <w:tcW w:w="9470" w:type="dxa"/>
            <w:tcBorders/>
            <w:shd w:fill="FFFFFF" w:val="clear"/>
            <w:vAlign w:val="center"/>
          </w:tcPr>
          <w:p>
            <w:pPr>
              <w:pStyle w:val="TableContents"/>
              <w:bidi w:val="0"/>
              <w:spacing w:before="0" w:after="283"/>
              <w:jc w:val="both"/>
              <w:rPr/>
            </w:pPr>
            <w:hyperlink w:anchor="sd_001">
              <w:r>
                <w:rPr>
                  <w:rStyle w:val="InternetLink"/>
                  <w:rFonts w:ascii="Times New Roman;Times;Serif" w:hAnsi="Times New Roman;Times;Serif"/>
                  <w:b w:val="false"/>
                  <w:i w:val="false"/>
                  <w:caps w:val="false"/>
                  <w:smallCaps w:val="false"/>
                  <w:sz w:val="20"/>
                </w:rPr>
                <w:t>BUSINESS</w:t>
              </w:r>
            </w:hyperlink>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r>
      <w:tr>
        <w:trPr/>
        <w:tc>
          <w:tcPr>
            <w:tcW w:w="9470" w:type="dxa"/>
            <w:tcBorders/>
            <w:shd w:fill="CCEEFF" w:val="clear"/>
            <w:vAlign w:val="center"/>
          </w:tcPr>
          <w:p>
            <w:pPr>
              <w:pStyle w:val="TableContents"/>
              <w:bidi w:val="0"/>
              <w:spacing w:before="0" w:after="283"/>
              <w:jc w:val="both"/>
              <w:rPr/>
            </w:pPr>
            <w:hyperlink w:anchor="sd_002">
              <w:r>
                <w:rPr>
                  <w:rStyle w:val="InternetLink"/>
                  <w:rFonts w:ascii="Times New Roman;Times;Serif" w:hAnsi="Times New Roman;Times;Serif"/>
                  <w:b w:val="false"/>
                  <w:i w:val="false"/>
                  <w:caps w:val="false"/>
                  <w:smallCaps w:val="false"/>
                  <w:sz w:val="20"/>
                </w:rPr>
                <w:t>MANAGEMENT</w:t>
              </w:r>
            </w:hyperlink>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r>
      <w:tr>
        <w:trPr/>
        <w:tc>
          <w:tcPr>
            <w:tcW w:w="9470" w:type="dxa"/>
            <w:tcBorders/>
            <w:shd w:fill="FFFFFF" w:val="clear"/>
            <w:vAlign w:val="center"/>
          </w:tcPr>
          <w:p>
            <w:pPr>
              <w:pStyle w:val="TableContents"/>
              <w:bidi w:val="0"/>
              <w:spacing w:before="0" w:after="283"/>
              <w:jc w:val="both"/>
              <w:rPr/>
            </w:pPr>
            <w:hyperlink w:anchor="sd_003">
              <w:r>
                <w:rPr>
                  <w:rStyle w:val="InternetLink"/>
                  <w:rFonts w:ascii="Times New Roman;Times;Serif" w:hAnsi="Times New Roman;Times;Serif"/>
                  <w:b w:val="false"/>
                  <w:i w:val="false"/>
                  <w:caps w:val="false"/>
                  <w:smallCaps w:val="false"/>
                  <w:sz w:val="20"/>
                </w:rPr>
                <w:t>EXECUTIVE AND DIRECTOR COMPENSATION</w:t>
              </w:r>
            </w:hyperlink>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w:t>
            </w:r>
          </w:p>
        </w:tc>
      </w:tr>
      <w:tr>
        <w:trPr/>
        <w:tc>
          <w:tcPr>
            <w:tcW w:w="9470" w:type="dxa"/>
            <w:tcBorders/>
            <w:shd w:fill="CCEEFF" w:val="clear"/>
            <w:vAlign w:val="center"/>
          </w:tcPr>
          <w:p>
            <w:pPr>
              <w:pStyle w:val="TableContents"/>
              <w:bidi w:val="0"/>
              <w:spacing w:before="0" w:after="283"/>
              <w:jc w:val="both"/>
              <w:rPr/>
            </w:pPr>
            <w:hyperlink w:anchor="sd_004">
              <w:r>
                <w:rPr>
                  <w:rStyle w:val="InternetLink"/>
                  <w:rFonts w:ascii="Times New Roman;Times;Serif" w:hAnsi="Times New Roman;Times;Serif"/>
                  <w:b w:val="false"/>
                  <w:i w:val="false"/>
                  <w:caps w:val="false"/>
                  <w:smallCaps w:val="false"/>
                  <w:sz w:val="20"/>
                </w:rPr>
                <w:t>CERTAIN RELATIONSHIPS AND RELATED PARTY TRANSACTIONS</w:t>
              </w:r>
            </w:hyperlink>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w:t>
            </w:r>
          </w:p>
        </w:tc>
      </w:tr>
      <w:tr>
        <w:trPr/>
        <w:tc>
          <w:tcPr>
            <w:tcW w:w="9470" w:type="dxa"/>
            <w:tcBorders/>
            <w:shd w:fill="FFFFFF" w:val="clear"/>
            <w:vAlign w:val="center"/>
          </w:tcPr>
          <w:p>
            <w:pPr>
              <w:pStyle w:val="TableContents"/>
              <w:bidi w:val="0"/>
              <w:spacing w:before="0" w:after="283"/>
              <w:jc w:val="both"/>
              <w:rPr/>
            </w:pPr>
            <w:hyperlink w:anchor="sd_005">
              <w:r>
                <w:rPr>
                  <w:rStyle w:val="InternetLink"/>
                  <w:rFonts w:ascii="Times New Roman;Times;Serif" w:hAnsi="Times New Roman;Times;Serif"/>
                  <w:b w:val="false"/>
                  <w:i w:val="false"/>
                  <w:caps w:val="false"/>
                  <w:smallCaps w:val="false"/>
                  <w:sz w:val="20"/>
                </w:rPr>
                <w:t>PRINCIPAL SECURITYHOLDER</w:t>
              </w:r>
            </w:hyperlink>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w:t>
            </w:r>
          </w:p>
        </w:tc>
      </w:tr>
      <w:tr>
        <w:trPr/>
        <w:tc>
          <w:tcPr>
            <w:tcW w:w="9470" w:type="dxa"/>
            <w:tcBorders/>
            <w:shd w:fill="CCEEFF" w:val="clear"/>
            <w:vAlign w:val="center"/>
          </w:tcPr>
          <w:p>
            <w:pPr>
              <w:pStyle w:val="TableContents"/>
              <w:bidi w:val="0"/>
              <w:spacing w:before="0" w:after="283"/>
              <w:jc w:val="both"/>
              <w:rPr/>
            </w:pPr>
            <w:hyperlink w:anchor="sd_006">
              <w:r>
                <w:rPr>
                  <w:rStyle w:val="InternetLink"/>
                  <w:rFonts w:ascii="Times New Roman;Times;Serif" w:hAnsi="Times New Roman;Times;Serif"/>
                  <w:b w:val="false"/>
                  <w:i w:val="false"/>
                  <w:caps w:val="false"/>
                  <w:smallCaps w:val="false"/>
                  <w:sz w:val="20"/>
                </w:rPr>
                <w:t>SELLING SECURITYHOLDER</w:t>
              </w:r>
            </w:hyperlink>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w:t>
            </w:r>
          </w:p>
        </w:tc>
      </w:tr>
      <w:tr>
        <w:trPr/>
        <w:tc>
          <w:tcPr>
            <w:tcW w:w="9470" w:type="dxa"/>
            <w:tcBorders/>
            <w:shd w:fill="FFFFFF" w:val="clear"/>
            <w:vAlign w:val="center"/>
          </w:tcPr>
          <w:p>
            <w:pPr>
              <w:pStyle w:val="TableContents"/>
              <w:bidi w:val="0"/>
              <w:spacing w:before="0" w:after="283"/>
              <w:jc w:val="both"/>
              <w:rPr/>
            </w:pPr>
            <w:hyperlink w:anchor="sd_007">
              <w:r>
                <w:rPr>
                  <w:rStyle w:val="InternetLink"/>
                  <w:rFonts w:ascii="Times New Roman;Times;Serif" w:hAnsi="Times New Roman;Times;Serif"/>
                  <w:b w:val="false"/>
                  <w:i w:val="false"/>
                  <w:caps w:val="false"/>
                  <w:smallCaps w:val="false"/>
                  <w:sz w:val="20"/>
                </w:rPr>
                <w:t>PLAN OF DISTRIBUTION</w:t>
              </w:r>
            </w:hyperlink>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w:t>
            </w:r>
          </w:p>
        </w:tc>
      </w:tr>
      <w:tr>
        <w:trPr/>
        <w:tc>
          <w:tcPr>
            <w:tcW w:w="9470" w:type="dxa"/>
            <w:tcBorders/>
            <w:shd w:fill="CCEEFF" w:val="clear"/>
            <w:vAlign w:val="center"/>
          </w:tcPr>
          <w:p>
            <w:pPr>
              <w:pStyle w:val="TableContents"/>
              <w:bidi w:val="0"/>
              <w:spacing w:before="0" w:after="283"/>
              <w:jc w:val="both"/>
              <w:rPr/>
            </w:pPr>
            <w:hyperlink w:anchor="sd_009">
              <w:r>
                <w:rPr>
                  <w:rStyle w:val="InternetLink"/>
                  <w:rFonts w:ascii="Times New Roman;Times;Serif" w:hAnsi="Times New Roman;Times;Serif"/>
                  <w:b w:val="false"/>
                  <w:i w:val="false"/>
                  <w:caps w:val="false"/>
                  <w:smallCaps w:val="false"/>
                  <w:sz w:val="20"/>
                </w:rPr>
                <w:t>DESCRIPTION OF SECURITIES</w:t>
              </w:r>
            </w:hyperlink>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w:t>
            </w:r>
          </w:p>
        </w:tc>
      </w:tr>
      <w:tr>
        <w:trPr/>
        <w:tc>
          <w:tcPr>
            <w:tcW w:w="9470" w:type="dxa"/>
            <w:tcBorders/>
            <w:shd w:fill="FFFFFF" w:val="clear"/>
            <w:vAlign w:val="center"/>
          </w:tcPr>
          <w:p>
            <w:pPr>
              <w:pStyle w:val="TableContents"/>
              <w:bidi w:val="0"/>
              <w:spacing w:before="0" w:after="283"/>
              <w:jc w:val="both"/>
              <w:rPr/>
            </w:pPr>
            <w:hyperlink w:anchor="sd_010">
              <w:r>
                <w:rPr>
                  <w:rStyle w:val="InternetLink"/>
                  <w:rFonts w:ascii="Times New Roman;Times;Serif" w:hAnsi="Times New Roman;Times;Serif"/>
                  <w:b w:val="false"/>
                  <w:i w:val="false"/>
                  <w:caps w:val="false"/>
                  <w:smallCaps w:val="false"/>
                  <w:sz w:val="20"/>
                </w:rPr>
                <w:t>MATERIAL UNITED STATES FEDERAL INCOME TAX CONSEQUENCES</w:t>
              </w:r>
            </w:hyperlink>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w:t>
            </w:r>
          </w:p>
        </w:tc>
      </w:tr>
      <w:tr>
        <w:trPr/>
        <w:tc>
          <w:tcPr>
            <w:tcW w:w="9470" w:type="dxa"/>
            <w:tcBorders/>
            <w:shd w:fill="CCEEFF" w:val="clear"/>
            <w:vAlign w:val="center"/>
          </w:tcPr>
          <w:p>
            <w:pPr>
              <w:pStyle w:val="TableContents"/>
              <w:bidi w:val="0"/>
              <w:spacing w:before="0" w:after="283"/>
              <w:jc w:val="both"/>
              <w:rPr/>
            </w:pPr>
            <w:hyperlink w:anchor="sd_011">
              <w:r>
                <w:rPr>
                  <w:rStyle w:val="InternetLink"/>
                  <w:rFonts w:ascii="Times New Roman;Times;Serif" w:hAnsi="Times New Roman;Times;Serif"/>
                  <w:b w:val="false"/>
                  <w:i w:val="false"/>
                  <w:caps w:val="false"/>
                  <w:smallCaps w:val="false"/>
                  <w:sz w:val="20"/>
                </w:rPr>
                <w:t>LEGAL MATTERS</w:t>
              </w:r>
            </w:hyperlink>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w:t>
            </w:r>
          </w:p>
        </w:tc>
      </w:tr>
      <w:tr>
        <w:trPr/>
        <w:tc>
          <w:tcPr>
            <w:tcW w:w="9470" w:type="dxa"/>
            <w:tcBorders/>
            <w:shd w:fill="FFFFFF" w:val="clear"/>
            <w:vAlign w:val="center"/>
          </w:tcPr>
          <w:p>
            <w:pPr>
              <w:pStyle w:val="TableContents"/>
              <w:bidi w:val="0"/>
              <w:spacing w:before="0" w:after="283"/>
              <w:jc w:val="both"/>
              <w:rPr/>
            </w:pPr>
            <w:hyperlink w:anchor="sd_012">
              <w:r>
                <w:rPr>
                  <w:rStyle w:val="InternetLink"/>
                  <w:rFonts w:ascii="Times New Roman;Times;Serif" w:hAnsi="Times New Roman;Times;Serif"/>
                  <w:b w:val="false"/>
                  <w:i w:val="false"/>
                  <w:caps w:val="false"/>
                  <w:smallCaps w:val="false"/>
                  <w:sz w:val="20"/>
                </w:rPr>
                <w:t>EXPERTS</w:t>
              </w:r>
            </w:hyperlink>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w:t>
            </w:r>
          </w:p>
        </w:tc>
      </w:tr>
      <w:tr>
        <w:trPr/>
        <w:tc>
          <w:tcPr>
            <w:tcW w:w="9470" w:type="dxa"/>
            <w:tcBorders/>
            <w:shd w:fill="CCEEFF" w:val="clear"/>
            <w:vAlign w:val="center"/>
          </w:tcPr>
          <w:p>
            <w:pPr>
              <w:pStyle w:val="TableContents"/>
              <w:bidi w:val="0"/>
              <w:spacing w:before="0" w:after="283"/>
              <w:jc w:val="both"/>
              <w:rPr/>
            </w:pPr>
            <w:hyperlink w:anchor="sd_013">
              <w:r>
                <w:rPr>
                  <w:rStyle w:val="InternetLink"/>
                  <w:rFonts w:ascii="Times New Roman;Times;Serif" w:hAnsi="Times New Roman;Times;Serif"/>
                  <w:b w:val="false"/>
                  <w:i w:val="false"/>
                  <w:caps w:val="false"/>
                  <w:smallCaps w:val="false"/>
                  <w:sz w:val="20"/>
                </w:rPr>
                <w:t>WHERE YOU CAN FIND MORE INFORMATION</w:t>
              </w:r>
            </w:hyperlink>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w:t>
            </w:r>
          </w:p>
        </w:tc>
      </w:tr>
      <w:tr>
        <w:trPr/>
        <w:tc>
          <w:tcPr>
            <w:tcW w:w="9470" w:type="dxa"/>
            <w:tcBorders/>
            <w:shd w:fill="FFFFFF" w:val="clear"/>
            <w:vAlign w:val="center"/>
          </w:tcPr>
          <w:p>
            <w:pPr>
              <w:pStyle w:val="TableContents"/>
              <w:bidi w:val="0"/>
              <w:spacing w:before="0" w:after="283"/>
              <w:jc w:val="both"/>
              <w:rPr/>
            </w:pPr>
            <w:hyperlink w:anchor="jw_001">
              <w:r>
                <w:rPr>
                  <w:rStyle w:val="InternetLink"/>
                  <w:rFonts w:ascii="Times New Roman;Times;Serif" w:hAnsi="Times New Roman;Times;Serif"/>
                  <w:b w:val="false"/>
                  <w:i w:val="false"/>
                  <w:caps w:val="false"/>
                  <w:smallCaps w:val="false"/>
                  <w:sz w:val="20"/>
                </w:rPr>
                <w:t>INDEX TO FINANCIAL STATEMENTS</w:t>
              </w:r>
            </w:hyperlink>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You should rely only on the information contained in or incorporated by reference in this prospectus or in any free writing prospectus that we may provide to you in connection with this offering. We have not authorized anyone to provide you with information different from, or in addition to, that contained in or incorporated by reference in this prospectus or any such free writing prospectus. If anyone provides you with different or inconsistent information, you should not rely on it. We can provide no assurance as to the reliability of any other information that others may give you. We are not making an offer to sell or seeking offers to buy these securities in any jurisdiction where or to any person to whom the offer or sale is not permitted. The information in this prospectus is accurate only as of the date on the front cover of this prospectus, and the information in any free writing prospectus that we may provide you in connection with this offering is accurate only as of the date of such free writing prospectus. Our business, financial condition, results of operations and prospects may have changed since those dates.</w:t>
      </w:r>
    </w:p>
    <w:p>
      <w:pPr>
        <w:pStyle w:val="TextBody"/>
        <w:bidi w:val="0"/>
        <w:spacing w:before="0" w:after="0"/>
        <w:ind w:left="0" w:right="0" w:hanging="0"/>
        <w:jc w:val="center"/>
        <w:rPr>
          <w:caps w:val="false"/>
          <w:smallCaps w:val="false"/>
        </w:rPr>
      </w:pPr>
      <w:r>
        <w:rPr>
          <w:caps w:val="false"/>
          <w:smallCaps w:val="false"/>
        </w:rPr>
        <w:t> </w:t>
      </w:r>
    </w:p>
    <w:tbl>
      <w:tblPr>
        <w:tblW w:w="110" w:type="dxa"/>
        <w:jc w:val="left"/>
        <w:tblInd w:w="0" w:type="dxa"/>
        <w:tblLayout w:type="fixed"/>
        <w:tblCellMar>
          <w:top w:w="0" w:type="dxa"/>
          <w:left w:w="0" w:type="dxa"/>
          <w:bottom w:w="0" w:type="dxa"/>
          <w:right w:w="0" w:type="dxa"/>
        </w:tblCellMar>
      </w:tblPr>
      <w:tblGrid>
        <w:gridCol w:w="110"/>
      </w:tblGrid>
      <w:tr>
        <w:trPr/>
        <w:tc>
          <w:tcPr>
            <w:tcW w:w="110" w:type="dxa"/>
            <w:tcBorders/>
            <w:vAlign w:val="center"/>
          </w:tcPr>
          <w:p>
            <w:pPr>
              <w:pStyle w:val="TableContents"/>
              <w:bidi w:val="0"/>
              <w:spacing w:before="0" w:after="283"/>
              <w:jc w:val="center"/>
              <w:rPr/>
            </w:pPr>
            <w:r>
              <w:rPr/>
              <w:t>i</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Y-001"/>
      <w:bookmarkEnd w:id="2"/>
      <w:r>
        <w:rPr>
          <w:rFonts w:ascii="Times New Roman;Times;Serif" w:hAnsi="Times New Roman;Times;Serif"/>
          <w:b/>
          <w:i w:val="false"/>
          <w:caps w:val="false"/>
          <w:smallCaps w:val="false"/>
          <w:sz w:val="20"/>
        </w:rPr>
        <w:t>ABOUT THIS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authorized anyone to provide you with any information or to make any representations other than those contained in this prospectus or any applicable prospectus supplement or any free writing prospectuses prepared by or on behalf of us or to which we have referred you. We do not take responsibility for, or provide any assurance as to the reliability of, any other information that others may give you. We will not make an offer to sell these securities in any jurisdiction where the offer or sale is not permitted.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also provide a prospectus supplement or post-effective amendment to the registration statement to add information to, or update or change information contained in, this prospectus. You should read both this prospectus and any applicable prospectus supplement or post-effective amendment to the registration statement together with the additional information to which we refer you in the sections of this prospectus entitled “Where You Can Find More Information.”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context indicates otherwise, references in this prospectus to the “Company,” “Banzai,” “we,” “us,” “our” and similar terms refer to Banzai International, Inc. (f/k/a 7GC &amp; Co. Holdings Inc.) and its consolidated subsidiaries (including Legacy Banzai). References to “7GC” refer to our predecessor company prior to the consummation of the Business Combination.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Except as otherwise indicated, all references to our common stock, share data, per share data and related information depict the effect of the 1-for-10 reverse stock split of the shares of our outstanding common stock, effective as of July 8, 2025 (the “July Reverse Stock Split”), as if it had occurred at the beginning of the earliest period presented. The July Reverse Stock Split combined each ten shares of our outstanding shares of common stock into one share of common stock, without any change in the par value per share, and the July Reverse Stock Split correspondingly adjusted, among other things, the number of shares of outstanding common stock.</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ii</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 w:name="Y-002"/>
      <w:bookmarkEnd w:id="3"/>
      <w:r>
        <w:rPr>
          <w:rFonts w:ascii="Times New Roman;Times;Serif" w:hAnsi="Times New Roman;Times;Serif"/>
          <w:b/>
          <w:i w:val="false"/>
          <w:caps w:val="false"/>
          <w:smallCaps w:val="false"/>
          <w:sz w:val="20"/>
        </w:rPr>
        <w:t>CAUTIONARY NOTE REGARDING FORWARD-LOOKING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and in documents incorporated herein by reference contain forward-looking statements within the meaning of the Private Securities Litigation Reform Act of 1995. Forward-looking statements often use words such as “believe,” “may,” “will,” “estimate,” “target,” “continue,” “anticipate,” “intend,” “expect,” “should,” “would,” “propose,” “plan,” “project,” “forecast,” “predict,” “potential,” “seek,” “future,” “outlook,” and similar variations and expressions. Forward-looking statements are those that do not relate strictly to historical or current facts. Examples of forward-looking statements may include, among others, statements regarding the Company’s: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financial, business and operating performance and goals;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annualized recurring revenue and customer retention;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ongoing, future or ability to maintain or improve its financial position, cash flows, and liquidity and its expected financial needs;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financing and ability to obtain financing;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acquisition strategy and proposed acquisitions and, if completed, their potential success and financial contributions;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continued listing with Nasdaq;</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strategy and strategic goals, including being able to capitalize on opportunities;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expectations relating to the Company’s industry, outlook and market trends;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addressable market and serviceable addressable market and related projections;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plans, strategies and expectations for retaining existing or acquiring new customers, increasing revenue and executing growth initiatives;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areas of focus and additional products that may be sold in the future.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forward-looking statements relate to the future, they are subject to inherent uncertainties, risks and changes in circumstances that are difficult to predict and many of which are outside of our control. Forward-looking statements are not guarantees of future performance, and our actual results of operations, financial condition and liquidity and development of the industry in which the Company operates may differ materially from those made in or suggested by the forward-looking statements. Therefore, investors should not rely on any of these forward-looking statements. Factors that may cause actual results to differ materially include changes in the markets in which the Company operates, customer demand, the financial markets, economic, business and regulatory and other factors, such as the Company’s ability to execute on its strategy. More detailed information about risk factors can be found in our 2025 Annual Report and the Company’s Quarterly Reports on Form 10-Q under the heading “Risk Factors,” and in other reports filed by the Company, including reports on Form 8-K. The Company does not undertake any duty to update forward-looking statements after the date they are made, except as required by law.</w:t>
      </w:r>
    </w:p>
    <w:p>
      <w:pPr>
        <w:pStyle w:val="TextBody"/>
        <w:bidi w:val="0"/>
        <w:spacing w:before="0" w:after="0"/>
        <w:ind w:left="0" w:right="0" w:hanging="0"/>
        <w:jc w:val="center"/>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iii</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Y-003"/>
      <w:bookmarkEnd w:id="4"/>
      <w:r>
        <w:rPr>
          <w:rFonts w:ascii="Times New Roman;Times;Serif" w:hAnsi="Times New Roman;Times;Serif"/>
          <w:b/>
          <w:i w:val="false"/>
          <w:caps w:val="false"/>
          <w:smallCaps w:val="false"/>
          <w:sz w:val="20"/>
        </w:rPr>
        <w:t>PROSPECTUS SUMMARY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summary highlights selected information appearing in this prospectus. Because it is a summary, it may not contain all of the information that may be important to you. To understand this offering fully, you should read this entire prospectus carefully, including the information set forth in the sections entitled “Risk Factors,” “Management’s Discussion and Analysis of Financial Condition and Results of Operations,” “Business” and the consolidated financial statements and related notes included elsewhere in this prospectus before making an investment decision.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Company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Banzai International, Inc. is a Software as a Service (“SaaS”) company operating in the marketing technology (“MarTech”) industry. We provide our customers with tools to help them market and sell with greater efficiency and impact. To date, Banzai has supported over 150,000 global customers, including entrepreneurs and Fortune 500 companies. Our customers include Amazon, Dell, Salesforce, Aflac, Thermo Fisher Scientific, RBC Wealth Management, Fitch Group, and many other globally recognized brands.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Banzai grows in three ways: acquiring new customers through our sales and marketing efforts, expanding our platform through the development and acquisition of MarTech products, and cross-selling additional solutions to our existing customers. When evaluating acquisitions, we look for profitable businesses with customer profiles that align with our values and growth strategy. When considering additional products to purchase and offer, we look at customer satisfaction levels because we believe that is a good indicator of a product’s trajectory.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vision is to build a suite of mission-critical solutions that address a broad spectrum of customer needs. By integrating these tools, we aim to create efficiencies and unlock shared data and assets that power more advanced AI capabilities. In December 2024 we acquired ClearDoc, Inc. (d/b/a OpenReel “OpenReel”), in January 2025 we acquired Vidello Limited (“Vidello”), and in November 2025 we acquired the assets of Superblocks, in order to expand our product offerings and customer base. Our </w:t>
      </w:r>
      <w:r>
        <w:rPr>
          <w:rFonts w:ascii="Times New Roman;Times;Serif" w:hAnsi="Times New Roman;Times;Serif"/>
          <w:b w:val="false"/>
          <w:i w:val="false"/>
          <w:caps w:val="false"/>
          <w:smallCaps w:val="false"/>
          <w:sz w:val="20"/>
          <w:shd w:fill="FFFFFF" w:val="clear"/>
        </w:rPr>
        <w:t xml:space="preserve">platform currently includes several products, ranging across demand generation, webinar hosting, video creation and email newsletters.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sell most of our products using a recurring subscription license model typical in SaaS businesses, with customer contracts that vary in term length from single months to multiple years. As of December 31, 2025, our customer base included customers operating in 90 countries, across numerous different industries, including healthcare, financial services, e-commerce, technology, media and others. No single customer represents more than 10% of our revenue. </w:t>
      </w:r>
      <w:r>
        <w:rPr>
          <w:rFonts w:ascii="Times New Roman;Times;Serif" w:hAnsi="Times New Roman;Times;Serif"/>
          <w:b w:val="false"/>
          <w:i w:val="false"/>
          <w:caps w:val="false"/>
          <w:smallCaps w:val="false"/>
          <w:sz w:val="20"/>
          <w:shd w:fill="FFFFFF" w:val="clear"/>
        </w:rPr>
        <w:t>Since 2021, we have focused on increasing mid-market and enterprise customers f</w:t>
      </w:r>
      <w:r>
        <w:rPr>
          <w:rFonts w:ascii="Times New Roman;Times;Serif" w:hAnsi="Times New Roman;Times;Serif"/>
          <w:b w:val="false"/>
          <w:i w:val="false"/>
          <w:caps w:val="false"/>
          <w:smallCaps w:val="false"/>
          <w:sz w:val="20"/>
        </w:rPr>
        <w:t>or Demio.</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were originally known as 7GC &amp; Co. Holdings Inc (“7GC”). On December 14, 2023, Banzai International, Inc. became a publicly traded company as a result of completing the business combination, recapitalization and other transactions with Banzai Operating Co LLC (f/k/a Banzai International, Inc.) (“Legacy Banzai”), and 7GC (collectively, the “Business Combination”). Legacy Banzai operates under the name “Banzai Operating Co Inc.” (the “Operating Company”) and is one of our three wholly owned subsidiaries. Legacy Banzai was incorporated in Delaware in September 2015.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of holders of our Class A Common Stock and the warrants issued pursuant to our initial public offering (the “Public Warrants”) are governed by our second amended and restated certificate of incorporation, as amended (the “Charter”), our second amended and restated bylaws (the “Bylaws”) and the Delaware General Corporation Law (the “DGCL”), and, in the case of the Public Warrants, the Warrant Agreement, dated December 22, 2020 (the “Warrant Agreement”), between 7GC and the Continental Stock Transfer &amp; Trust Company, as the warrant agent.</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Developments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23, 2026, the Company announced that it reached an agreement on terms to acquire assets of ConnectAndSell, Inc. (“ConnectandSell”), an AI-powered sales enablement platform serving B2B organizations across financial services, healthcare, technology, and other industries. The acquisition is expected to increase Banzai’s annual revenue. The two companies have executed a non-binding letter of intent. As the parties continue to negotiate material terms of the transaction, management currently anticipates that the transaction will close in the second half of fiscal 2026. However, since the transaction is also subject to execution of a definitive agreement and closing conditions, we cannot accurately estimate the actual closing date at this time. There can be no assurance that we will be able to complete this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Exchange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27, 2026, February 9, 2026, February 25, 2026, and March 30, 2026, the Company entered into exchange agreements with Agile pursuant to which the Company issued an aggregate of approximately 586,000 shares of its Class A Common Stock in exchange for aggregate reductions of approximately $660,000 in the outstanding balance of the March Agile Note. Following these exchanges, the outstanding balance of the March Agile Note was reduced to approximately $1.3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Vesting of Employee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March 31, 2026, approximately 684,000 RSUs granted to employees vested into shares of Class A Common Stock. In addition, the Company will issue 446,004 shares of Class B Common Stock to the Company’s CEO, of which, approximately 297,336 shares relate to a tranche of the CEO Award vesting upon achieving a market capitalization threshold, and the remaining 148,668 shares relate to the CEO’s 2025 bonus payment. See Note 16, </w:t>
      </w:r>
      <w:r>
        <w:rPr>
          <w:rFonts w:ascii="Times New Roman;Times;Serif" w:hAnsi="Times New Roman;Times;Serif"/>
          <w:b w:val="false"/>
          <w:i/>
          <w:caps w:val="false"/>
          <w:smallCaps w:val="false"/>
          <w:sz w:val="20"/>
        </w:rPr>
        <w:t>Stock-Based Compensation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Yorkville Advanced Notice Settlements and Conversions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 January 1, 2026 and March 31, 2026, the Company issued Advance Notices to Yorkville pursuant to the SEPA in which the Company requested the purchase of approximately 635,000 shares of the Company’s Class A Common Stock at an aggregate gross value of approximately $700 thousand, and net proceeds of approximately $670 thousand were applied against the outstanding Yorkville Convertible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Private Placement Offering (3i, 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13, 2026, the parties held an additional closing pursuant to the terms of the Purchase Agreement (the “February Closing”). The Company issued an additional note in the original principal amount of $2,333,333, with an initial conversion price equal to $1.11 per share and issuance date of February 13, 2026 (the “February 3i Note,” together with the August Note, the October Note, and the Initial Note, are collectively referred to herein as the “Notes”), and additional warrants to purchase up to 420,000 shares of Common Stock, at an initial exercise price equal to $2.50 per share (the “February Warrants,” together with the August Warrant, the October Warrants, August Warrants and the Initial Buyer Warrants, are collectively referred to herein as the “Buyer Warrants”), in the February Closing. The February Note matures on February 13, 2027. Other than the maturity date of the February Note and February Warrants, respectively, the February Note and February Warrants have the same terms as those issued on the August Closing, the October Closing and the Initial Closing Date. Upon the issuance of the February Note, the Company received proceeds of approximately $1.6 million, net of original issue discount and issuance fees and costs.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February Note was issued with an original issue discount of 10.0% (the “OID”), as were the other Notes issued on the August Closing, the October Closing and the Initial Closing Date and accrue interest at a rate of 10.0% per annum. The Notes mature 12 months from the date of issuance (the “Maturity Date”), unless extended pursuant to the terms thereof. The Notes are convertible (in whole or in part) at any time prior to the Maturity Date into the number of shares of Common Stock equal to quotient of the Conversion Amount divided by (y) the Conversion Price (the “Conversion Rate”). At no time may the Buyer hold more than 4.99% (or up to 9.99% at the election of the Buyers pursuant to the Notes) of the outstanding Common Stock. The conversion price of the February Note is subject to a floor price of $0.254.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1800 Diagonal Issuance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12, 2026 and March 17, 2026, the Company issued the eleventh and twelfth promissory notes (the “January 1800 Diagonal Note and “March 1800 Diagonal Note,” respectively) for an aggregate principal amount of approximately $296 thousand and $180 thousand, respectively, and received net proceeds of approximately $250 thousand and $157 thousand, respectively, after discount and transaction fees. The notes have maturity dates of October 15, 2026 and December 15, 2026, respectively and bear interest at 14% per annum.</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 Issuances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3i, LP Conversions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 January 1, 2026 and March 31, 2026, the Buyer exercised its contractual conversion option multiple times under the August 3i Note, the October 3i Note, and the February 3i Note and received an aggregate of approximately 2.9 million shares of Class A Common Stock at conversion prices per share ranging from $0.83 to $1.10 in satisfaction of approximately $2.7 million of the Company’s obligations under the respective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1800 Diagonal Conversions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 January 1, 2026 and March 31, 2026, the Lender exercised its contractual conversion option multiple times under the July 1800 Diagonal Note and September 1800 Diagonal Note and received an aggregate of approximately 476 thousand shares of Class A Common Stock at conversion prices ranging from $0.825 to $0.930 in satisfaction of approximately $392 thousand of the Company’s obligations under the respective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At the Market Offering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to December 31, 2025, the Company issued approximately 2.1 million shares under the ATM Agreement for net proceeds of approximately $2.7 million. The aggregate market value of the shares of Class A Common Stock eligible for sale under the ATM Prospectus Supplement is approximately $1.5 million as of March 31, 2026, which is based on the limitations of General Instruction I.B.6 of Form S-3.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14, 2023, 7GC, Legacy Banzai and Yorkville entered into the Original SEPA and, on February 5, 2024, the Company and Yorkville entered into the Supplemental SEPA Agreement, pursuant to which Yorkville has committed to purchase up to $100 million of Common Stock, subject to certain limitations and conditions set forth in the SEPA, including certain beneficial ownership limitations, at our request any time pursuant to Advance Notices delivered by the Company any time during the commitment period terminating on the 36-month anniversary of the Original SEPA; provided that any Advance Notice may only be made if (x) no amount remains outstanding on the Yorkville Promissory Notes, (y) there is an effective Resale Registration Statement filed with the SEC for the resale under the Securities Act of the shares of Common Stock to be issued pursuant to such Advance Notice, and (z) the Company complies with other customary conditions precedent.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SEPA, Yorkville advanced to the Company the Pre-Paid Advance in a principal amount equal to $4.5 million, which amount is evidenced by promissory notes convertible into shares of Common Stock. The first Pre-Paid Advance in a principal amount of $2.0 million (less a 10% discount) was advanced at the Closing and was evidenced by issuance by the Company on December 14, 2023 to Yorkville of the First Yorkville Promissory Note having a principal amount of $2.0 million, the Second Tranche of $1.0 million (less a 10% discount) was advanced on February 5, 2024 and is evidenced by the issuance by the Company on February 5, 2024 of the Second Yorkville Promissory Note having a principal amount of $1.0 million and the Third Tranche of $1.5 million (less a 10% discount) was advanced on March 26, 2024 and is evidenced by the issuance by the Company on March 26, 2024 to Yorkville of the Third Promissory Note having a principal amount of $1.5 million. As of June 30, 2025, these notes were fully repaid.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Yorkville Promissory Notes shall be convertible by Yorkville into shares of Common Stock at an aggregate purchase price based on a price per share equal to the lower of (a) the Fixed Price of $103.83 per share or (b) the Variable Price of 90% of the lowest daily VWAP of the shares of Common Stock on The Nasdaq Capital Market during the ten trading days immediately prior to each conversion, but which Variable Price shall not be lower than the Floor Price then in effect. The “Floor Price” is $5.00 per share (subject to adjustment from time to time). Additionally, the Company, at its option, shall have the right, but not the obligation, to redeem early a portion or all amounts outstanding under the Promissory Notes at a redemption amount equal to the outstanding principal balance being repaid or redeemed, plus a 10% prepayment premium, plus all accrued and unpaid interest; provided that (i) the Company provides Yorkville with no less than five (5) trading days’ prior written notice thereof and (ii) on the date such notice is issued, the VWAP of the shares of Common Stock is less than $103.83 (subject to adjustment from time to time, the “Fixed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Yorkville Promissory Notes accrue interest on the outstanding principal balances at an annual rate equal to 0%, subject to an increase to 18% upon an event of default as described in the Yorkville Promissory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Yorkville Promissory Notes each mature on June 14, 2024, which maturity is expected to be extended to the date that is 120 days after the repayment of a portion of the Yorkville Promissory Notes described under the heading “Summary-Recent Developments” in this prospectus is completed and which maturity may be extended at the option of the 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Within seven trading days of an Amortization Event (as defined in the Yorkville Promissory Notes), the Company will be obligated to make monthly cash payments in an amount equal to the sum of (i) $1.0 million of principal of the Yorkville Promissory Notes (or the outstanding principal if less than such amount) (the “Amortization Principal Amount”), plus (ii) a payment premium of 10% in respect of such Amortization Principal Amount, plus (iii) accrued and unpaid interest thereunder. The obligation of the Company to make monthly prepayments shall cease (with respect to any payment that has not yet come due) if at any time after an Amortization Event (a) the Company reduces the Floor Price to an amount no more than 75% of the closing price of the shares of Common Stock on the trading day immediately prior to such reset notice (and no greater than the initial Floor Price), or (b) the daily VWAP is greater than the Floor Price for a period of ten consecutive trading days, unless a subsequent Amortization Event occurs.</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during the Commitment Period and provided that a balance under a Yorkville Promissory Note is outstanding, Yorkville may, by providing an Investor Notice to the Company, require the Company to issue and sell shares to Yorkville as set out in the relevant Investor Notice, subject to certain limitations as set forth in the SEPA. The purchase price of the shares delivered pursuant to an Investor Notice shall be equal to the Conversion Price and shall be paid by offsetting the amount of the aggregate purchase price to be paid by Yorkville against an equal amount outstanding under the Promissory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Otherwise, Common Stock to be issued to Yorkville from time to time under the SEPA will be issued at one of two pricing options, at the election of the Company. Under Pricing Option 1, the Company will sell Common Stock at 95% of the VWAP of Common Stock during the period commencing (i) if submitted to Yorkville prior to 9:00 a.m. Eastern Time on a trading day, the open of trading on such day or (ii) if submitted to Yorkville after 9:00 a.m. on a trading day, upon receipt by the Company of written confirmation of acceptance of such Advance Notice by Yorkville (or the open of regular trading hours, if later), and which confirmation shall specify such commencement time, and, in either case, ending on 4:00 p.m. New York City time on the applicable date of the Advance Notice. Under Pricing Option 2, the Company will sell Common Stock at 96% of the lowest daily VWAP of Common Stock during the period commencing (i) if submitted to Yorkville prior to 9:00 a.m. Eastern Time, the three consecutive trading days commencing on the date of the Advance Notice or (ii) if submitted to Yorkville after 9:00 a.m. Eastern Time, the three consecutive trading days commencing on the trading day immediately following the date of the Advance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ability to deliver Advance Notices to Yorkville is subject to the satisfaction or waiver of certain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SEPA does not require Yorkville to subscribe for or acquire any shares of Common Stock under the SEPA if those shares of Common Stock, when aggregated with all other shares of Common Stock acquired by Yorkville under the SEPA, would result in Yorkville beneficially owning more than 9.99% of the then outstanding shares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Prior SEPA Registration Statements have been fully utilized and as of the date hereof, nothing remains available under the SEPA.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22, 2024, the Company entered into an Amended and Restated Debt Repayment Agreement (the “</w:t>
      </w:r>
      <w:r>
        <w:rPr>
          <w:rFonts w:ascii="Times New Roman;Times;Serif" w:hAnsi="Times New Roman;Times;Serif"/>
          <w:b/>
          <w:i w:val="false"/>
          <w:caps w:val="false"/>
          <w:smallCaps w:val="false"/>
          <w:sz w:val="20"/>
        </w:rPr>
        <w:t>Amended Debt Repayment Agreement</w:t>
      </w:r>
      <w:r>
        <w:rPr>
          <w:rFonts w:ascii="Times New Roman;Times;Serif" w:hAnsi="Times New Roman;Times;Serif"/>
          <w:b w:val="false"/>
          <w:i w:val="false"/>
          <w:caps w:val="false"/>
          <w:smallCaps w:val="false"/>
          <w:sz w:val="20"/>
        </w:rPr>
        <w:t>”) with Yorkville with respect to the unsecured promissory note in the principal amount of $2,000,000 issued to Yorkville on December 14, 2023 (the “</w:t>
      </w:r>
      <w:r>
        <w:rPr>
          <w:rFonts w:ascii="Times New Roman;Times;Serif" w:hAnsi="Times New Roman;Times;Serif"/>
          <w:b/>
          <w:i w:val="false"/>
          <w:caps w:val="false"/>
          <w:smallCaps w:val="false"/>
          <w:sz w:val="20"/>
        </w:rPr>
        <w:t>December Promissory Note</w:t>
      </w:r>
      <w:r>
        <w:rPr>
          <w:rFonts w:ascii="Times New Roman;Times;Serif" w:hAnsi="Times New Roman;Times;Serif"/>
          <w:b w:val="false"/>
          <w:i w:val="false"/>
          <w:caps w:val="false"/>
          <w:smallCaps w:val="false"/>
          <w:sz w:val="20"/>
        </w:rPr>
        <w:t>”) and the unsecured promissory note in the principal amount of $1,500,000 issued to Yorkville on March 26, 2024 (the “</w:t>
      </w:r>
      <w:r>
        <w:rPr>
          <w:rFonts w:ascii="Times New Roman;Times;Serif" w:hAnsi="Times New Roman;Times;Serif"/>
          <w:b/>
          <w:i w:val="false"/>
          <w:caps w:val="false"/>
          <w:smallCaps w:val="false"/>
          <w:sz w:val="20"/>
        </w:rPr>
        <w:t>March Promissory Note</w:t>
      </w:r>
      <w:r>
        <w:rPr>
          <w:rFonts w:ascii="Times New Roman;Times;Serif" w:hAnsi="Times New Roman;Times;Serif"/>
          <w:b w:val="false"/>
          <w:i w:val="false"/>
          <w:caps w:val="false"/>
          <w:smallCaps w:val="false"/>
          <w:sz w:val="20"/>
        </w:rPr>
        <w:t>,” together with the December Promissory Note, the “</w:t>
      </w:r>
      <w:r>
        <w:rPr>
          <w:rFonts w:ascii="Times New Roman;Times;Serif" w:hAnsi="Times New Roman;Times;Serif"/>
          <w:b/>
          <w:i w:val="false"/>
          <w:caps w:val="false"/>
          <w:smallCaps w:val="false"/>
          <w:sz w:val="20"/>
        </w:rPr>
        <w:t>Promissory Notes</w:t>
      </w:r>
      <w:r>
        <w:rPr>
          <w:rFonts w:ascii="Times New Roman;Times;Serif" w:hAnsi="Times New Roman;Times;Serif"/>
          <w:b w:val="false"/>
          <w:i w:val="false"/>
          <w:caps w:val="false"/>
          <w:smallCaps w:val="false"/>
          <w:sz w:val="20"/>
        </w:rPr>
        <w:t>”). The Amended Debt Repayment Agreement amends and restates the Debt Repayment Agreement, dated as of May 3, 2024, by and between the Company and Yorkville. The Company issued the Promissory Notes pursuant to a Standby Equity Purchase Agreement, dated as of December 14, 2023, by and among Yorkville and the Company, as amended from time to time (the “</w:t>
      </w:r>
      <w:r>
        <w:rPr>
          <w:rFonts w:ascii="Times New Roman;Times;Serif" w:hAnsi="Times New Roman;Times;Serif"/>
          <w:b/>
          <w:i w:val="false"/>
          <w:caps w:val="false"/>
          <w:smallCaps w:val="false"/>
          <w:sz w:val="20"/>
        </w:rPr>
        <w:t>SEPA</w:t>
      </w:r>
      <w:r>
        <w:rPr>
          <w:rFonts w:ascii="Times New Roman;Times;Serif" w:hAnsi="Times New Roman;Times;Serif"/>
          <w:b w:val="false"/>
          <w:i w:val="false"/>
          <w:caps w:val="false"/>
          <w:smallCaps w:val="false"/>
          <w:sz w:val="20"/>
        </w:rPr>
        <w:t>”). As of the date hereof, there is no outstanding balance under the Promissory Notes.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Under the Amended Debt Repayment Agreement, the Company and Yorkville also agreed to extend the maturity date of the Promissory Notes to September 25, 2024, and to satisfy the $75,000 payment premium due in connection with an early redemption through the issuance of an Advance Notice (as defined in the </w:t>
      </w:r>
      <w:r>
        <w:rPr>
          <w:rFonts w:ascii="Times New Roman;Times;Serif" w:hAnsi="Times New Roman;Times;Serif"/>
          <w:b/>
          <w:i w:val="false"/>
          <w:caps w:val="false"/>
          <w:smallCaps w:val="false"/>
          <w:sz w:val="20"/>
        </w:rPr>
        <w:t>SEPA</w:t>
      </w:r>
      <w:r>
        <w:rPr>
          <w:rFonts w:ascii="Times New Roman;Times;Serif" w:hAnsi="Times New Roman;Times;Serif"/>
          <w:b w:val="false"/>
          <w:i w:val="false"/>
          <w:caps w:val="false"/>
          <w:smallCaps w:val="false"/>
          <w:sz w:val="20"/>
        </w:rPr>
        <w:t>) for shares of the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16, 2025, we entered into a Convertible Promissory Note (the “</w:t>
      </w:r>
      <w:r>
        <w:rPr>
          <w:rFonts w:ascii="Times New Roman;Times;Serif" w:hAnsi="Times New Roman;Times;Serif"/>
          <w:b/>
          <w:i w:val="false"/>
          <w:caps w:val="false"/>
          <w:smallCaps w:val="false"/>
          <w:sz w:val="20"/>
        </w:rPr>
        <w:t>September 2025 Note</w:t>
      </w:r>
      <w:r>
        <w:rPr>
          <w:rFonts w:ascii="Times New Roman;Times;Serif" w:hAnsi="Times New Roman;Times;Serif"/>
          <w:b w:val="false"/>
          <w:i w:val="false"/>
          <w:caps w:val="false"/>
          <w:smallCaps w:val="false"/>
          <w:sz w:val="20"/>
        </w:rPr>
        <w:t>”) in the principal amount of $2,000,000 (the “</w:t>
      </w:r>
      <w:r>
        <w:rPr>
          <w:rFonts w:ascii="Times New Roman;Times;Serif" w:hAnsi="Times New Roman;Times;Serif"/>
          <w:b/>
          <w:i w:val="false"/>
          <w:caps w:val="false"/>
          <w:smallCaps w:val="false"/>
          <w:sz w:val="20"/>
        </w:rPr>
        <w:t>Original Principal Amount</w:t>
      </w:r>
      <w:r>
        <w:rPr>
          <w:rFonts w:ascii="Times New Roman;Times;Serif" w:hAnsi="Times New Roman;Times;Serif"/>
          <w:b w:val="false"/>
          <w:i w:val="false"/>
          <w:caps w:val="false"/>
          <w:smallCaps w:val="false"/>
          <w:sz w:val="20"/>
        </w:rPr>
        <w:t>”) with Yorkville, to be used as an advance under the SEPA. The Company received $890,000 from Yorkville on that same date (“Advance #1), which reflects 50% of the Original Principal Amount, 10% discount and certain fees owed at such time. Upon the effectiveness of the registration statement on Form S-1, originally filed with the SEC on September 12, 2025 (File No. 333-290241) and the delivery of a closing statement, Yorkville shall remit an amount equal to 50% of the remaining Original Principal Amount, or $1,000,000, less a discount equal to 10% of the Original Principal Amount, netted from the purchase price due and structured as a purchase discount (“</w:t>
      </w:r>
      <w:r>
        <w:rPr>
          <w:rFonts w:ascii="Times New Roman;Times;Serif" w:hAnsi="Times New Roman;Times;Serif"/>
          <w:b/>
          <w:i w:val="false"/>
          <w:caps w:val="false"/>
          <w:smallCaps w:val="false"/>
          <w:sz w:val="20"/>
        </w:rPr>
        <w:t>Advance #2</w:t>
      </w:r>
      <w:r>
        <w:rPr>
          <w:rFonts w:ascii="Times New Roman;Times;Serif" w:hAnsi="Times New Roman;Times;Serif"/>
          <w:b w:val="false"/>
          <w:i w:val="false"/>
          <w:caps w:val="false"/>
          <w:smallCaps w:val="false"/>
          <w:sz w:val="20"/>
        </w:rPr>
        <w:t>”). As of the date of this prospectus, the Company received net proceeds of $900,000 from Yorkville (“</w:t>
      </w:r>
      <w:r>
        <w:rPr>
          <w:rFonts w:ascii="Times New Roman;Times;Serif" w:hAnsi="Times New Roman;Times;Serif"/>
          <w:b/>
          <w:i w:val="false"/>
          <w:caps w:val="false"/>
          <w:smallCaps w:val="false"/>
          <w:sz w:val="20"/>
        </w:rPr>
        <w:t>Advance #2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September 2025 Note was issued on September 16, 2025 (the “</w:t>
      </w:r>
      <w:r>
        <w:rPr>
          <w:rFonts w:ascii="Times New Roman;Times;Serif" w:hAnsi="Times New Roman;Times;Serif"/>
          <w:b/>
          <w:i w:val="false"/>
          <w:caps w:val="false"/>
          <w:smallCaps w:val="false"/>
          <w:sz w:val="20"/>
        </w:rPr>
        <w:t>Issuance Date</w:t>
      </w:r>
      <w:r>
        <w:rPr>
          <w:rFonts w:ascii="Times New Roman;Times;Serif" w:hAnsi="Times New Roman;Times;Serif"/>
          <w:b w:val="false"/>
          <w:i w:val="false"/>
          <w:caps w:val="false"/>
          <w:smallCaps w:val="false"/>
          <w:sz w:val="20"/>
        </w:rPr>
        <w:t>”) and the maturity date of the Note is March 16, 2026, but may be extended at the option of the Company (the “</w:t>
      </w:r>
      <w:r>
        <w:rPr>
          <w:rFonts w:ascii="Times New Roman;Times;Serif" w:hAnsi="Times New Roman;Times;Serif"/>
          <w:b/>
          <w:i w:val="false"/>
          <w:caps w:val="false"/>
          <w:smallCaps w:val="false"/>
          <w:sz w:val="20"/>
        </w:rPr>
        <w:t>Maturity Date</w:t>
      </w:r>
      <w:r>
        <w:rPr>
          <w:rFonts w:ascii="Times New Roman;Times;Serif" w:hAnsi="Times New Roman;Times;Serif"/>
          <w:b w:val="false"/>
          <w:i w:val="false"/>
          <w:caps w:val="false"/>
          <w:smallCaps w:val="false"/>
          <w:sz w:val="20"/>
        </w:rPr>
        <w:t>”). Beginning on the 30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from the Issuance Date, and continuing on the same day of each successive calendar month thereafter, (each, an “</w:t>
      </w:r>
      <w:r>
        <w:rPr>
          <w:rFonts w:ascii="Times New Roman;Times;Serif" w:hAnsi="Times New Roman;Times;Serif"/>
          <w:b/>
          <w:i w:val="false"/>
          <w:caps w:val="false"/>
          <w:smallCaps w:val="false"/>
          <w:sz w:val="20"/>
        </w:rPr>
        <w:t>Installment Date</w:t>
      </w:r>
      <w:r>
        <w:rPr>
          <w:rFonts w:ascii="Times New Roman;Times;Serif" w:hAnsi="Times New Roman;Times;Serif"/>
          <w:b w:val="false"/>
          <w:i w:val="false"/>
          <w:caps w:val="false"/>
          <w:smallCaps w:val="false"/>
          <w:sz w:val="20"/>
        </w:rPr>
        <w:t>”), the Company shall repay a portion of the outstanding balance of the Note in an amount equal to the sum of (i) $500,000 of principal (or the outstanding Principal if less than such amount), plus (ii) a payment premium in an amount equal to 4% of the Principal amount being paid (the “</w:t>
      </w:r>
      <w:r>
        <w:rPr>
          <w:rFonts w:ascii="Times New Roman;Times;Serif" w:hAnsi="Times New Roman;Times;Serif"/>
          <w:b/>
          <w:i w:val="false"/>
          <w:caps w:val="false"/>
          <w:smallCaps w:val="false"/>
          <w:sz w:val="20"/>
        </w:rPr>
        <w:t>Payment Premium</w:t>
      </w:r>
      <w:r>
        <w:rPr>
          <w:rFonts w:ascii="Times New Roman;Times;Serif" w:hAnsi="Times New Roman;Times;Serif"/>
          <w:b w:val="false"/>
          <w:i w:val="false"/>
          <w:caps w:val="false"/>
          <w:smallCaps w:val="false"/>
          <w:sz w:val="20"/>
        </w:rPr>
        <w:t>”), and (iii) accrued and unpaid interest hereunder as of each Installment Date (collectively, the “</w:t>
      </w:r>
      <w:r>
        <w:rPr>
          <w:rFonts w:ascii="Times New Roman;Times;Serif" w:hAnsi="Times New Roman;Times;Serif"/>
          <w:b/>
          <w:i w:val="false"/>
          <w:caps w:val="false"/>
          <w:smallCaps w:val="false"/>
          <w:sz w:val="20"/>
        </w:rPr>
        <w:t>Installment Amount</w:t>
      </w:r>
      <w:r>
        <w:rPr>
          <w:rFonts w:ascii="Times New Roman;Times;Serif" w:hAnsi="Times New Roman;Times;Serif"/>
          <w:b w:val="false"/>
          <w:i w:val="false"/>
          <w:caps w:val="false"/>
          <w:smallCaps w:val="false"/>
          <w:sz w:val="20"/>
        </w:rPr>
        <w:t>”). The Company maintains the right to pay each Installment Amount in cash or via an Advance Notice pursuant to the SEPA or any combination thereof. The September 2025 Note bears an interest annual rate of 6%, which shall increase to 18% upon the occurrence of an Event of Default, as defined in the September 2025 Note. The September 2025 Note is convertible into shares of the Company’s Class A common stock, at a conversion price of $2.50 per share (the “</w:t>
      </w:r>
      <w:r>
        <w:rPr>
          <w:rFonts w:ascii="Times New Roman;Times;Serif" w:hAnsi="Times New Roman;Times;Serif"/>
          <w:b/>
          <w:i w:val="false"/>
          <w:caps w:val="false"/>
          <w:smallCaps w:val="false"/>
          <w:sz w:val="20"/>
        </w:rPr>
        <w:t>Conversion Price</w:t>
      </w:r>
      <w:r>
        <w:rPr>
          <w:rFonts w:ascii="Times New Roman;Times;Serif" w:hAnsi="Times New Roman;Times;Serif"/>
          <w:b w:val="false"/>
          <w:i w:val="false"/>
          <w:caps w:val="false"/>
          <w:smallCaps w:val="false"/>
          <w:sz w:val="20"/>
        </w:rPr>
        <w:t>”). Yorkville may elect to convert part or all of the outstanding balance of the September 2025 Note at any time or from time to time after the Issuance Date. The Company maintains the right to redeem all or any part of the September 2025 Note, at any time, provided that (i) the Company provides Yorkville with at least 10 trading days’ prior written notice (each, a “</w:t>
      </w:r>
      <w:r>
        <w:rPr>
          <w:rFonts w:ascii="Times New Roman;Times;Serif" w:hAnsi="Times New Roman;Times;Serif"/>
          <w:b/>
          <w:i w:val="false"/>
          <w:caps w:val="false"/>
          <w:smallCaps w:val="false"/>
          <w:sz w:val="20"/>
        </w:rPr>
        <w:t>Redemption Notice</w:t>
      </w:r>
      <w:r>
        <w:rPr>
          <w:rFonts w:ascii="Times New Roman;Times;Serif" w:hAnsi="Times New Roman;Times;Serif"/>
          <w:b w:val="false"/>
          <w:i w:val="false"/>
          <w:caps w:val="false"/>
          <w:smallCaps w:val="false"/>
          <w:sz w:val="20"/>
        </w:rPr>
        <w:t>”) of its desire to prepay the outstanding amount (an “</w:t>
      </w:r>
      <w:r>
        <w:rPr>
          <w:rFonts w:ascii="Times New Roman;Times;Serif" w:hAnsi="Times New Roman;Times;Serif"/>
          <w:b/>
          <w:i w:val="false"/>
          <w:caps w:val="false"/>
          <w:smallCaps w:val="false"/>
          <w:sz w:val="20"/>
        </w:rPr>
        <w:t>Optional Redemption</w:t>
      </w:r>
      <w:r>
        <w:rPr>
          <w:rFonts w:ascii="Times New Roman;Times;Serif" w:hAnsi="Times New Roman;Times;Serif"/>
          <w:b w:val="false"/>
          <w:i w:val="false"/>
          <w:caps w:val="false"/>
          <w:smallCaps w:val="false"/>
          <w:sz w:val="20"/>
        </w:rPr>
        <w:t>”), and (ii) on the date the Redemption Notice is issued, the VWAP of the Class A Common Stock is less than the Conversion Price.</w:t>
      </w:r>
    </w:p>
    <w:p>
      <w:pPr>
        <w:pStyle w:val="TextBody"/>
        <w:bidi w:val="0"/>
        <w:spacing w:before="0" w:after="0"/>
        <w:ind w:left="0" w:right="0" w:firstLine="36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2025, the Company issued multiple Advance Notices to Yorkville pursuant to the SEPA, pursuant to which Yorkville purchased an aggregate of 437,000 shares of the Company’s Class A Common Stock for total gross proceeds of approximately $874,665, with such proceeds applied against outstanding balances under the Yorkville Convertible Notes. The shares were issued at per-share prices ranging from $1.23 to $3.08, with settlements occurring between October and December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21, 2026, the Company issued an Advance Notice to Yorkville pursuant to the SEPA in which the Company requested the purchase of 70,000 shares of the Company’s Class A Common Stock at a purchase price of $1.2148 for a total purchase price of $85,036 to be applied against the outstanding Yorkville Convertible Notes. Upon the settlement on January 26, 2026, the Company issued to Yorkville 70,000 shares of Class A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9, 2026, the Company issued an Advance Notice to Yorkville pursuant to the SEPA in which the Company requested the purchase of 300,000 shares of the Company’s Class A Common Stock at a purchase price of $1.131 for a total purchase price of $339,300 to be applied against the outstanding Yorkville Convertible Notes. Upon the settlement on February 10, 2026, the Company issued to Yorkville 300,000 shares of Class A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25, 2026, the Company issued an Advance Notice to Yorkville pursuant to the SEPA in which the Company requested the purchase of 150,000 shares of the Company’s Class A Common Stock at a purchase price of $1.0856 for a total purchase price of $162,840 to be applied against the outstanding Yorkville Convertible Notes. Upon the settlement on February 26, 2026, the Company issued to Yorkville 150,000 shares of Class A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11, 2026, the Company issued an Advance Notice to Yorkville pursuant to the SEPA in which the Company requested the purchase of 65,000 shares of the Company’s Class A Common Stock at a purchase price of $1.0345 for a total purchase price of $67,243 to be applied against the outstanding Yorkville Convertible Notes. Upon the settlement on March 16, 2026, the Company issued to Yorkville 65,000 shares of Class A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26, 2026, the Company issued an Advance Notice to Yorkville pursuant to the SEPA in which the Company requested the purchase of 50,000 shares of the Company’s Class A Common Stock at a purchase price of $0.9258 for a total purchase price of $46,292 to be applied against the outstanding Yorkville Convertible Notes. Upon the settlement on March 26, 2026, the Company issued to Yorkville 50,000 shares of Class A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Termination of the SEPA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earlier terminated as provided in the SEPA, the SEPA will terminate automatically on the earlier to occur of:</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first day of the month next following the 36-month anniversary of the date of the SEPA, provided that if a Yorkville Promissory Note is then outstanding, such termination shall be delayed until such date that the Yorkville Promissory Note that was outstanding has been repaid (and/or converted);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on which Yorkville shall have made payment of Advances pursuant to the SEPA for shares of Common Stock equal to the commitment amount of $100.0 million.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conditions, we have the right to unilaterally terminate the SEPA upon five trading days’ prior written notice to Yorkville. The SEPA may also be terminated at any time by mutual written consent.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Effect of Issuances of Common Stock Under the SEPA on our Stockholders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shares of Common Stock that may be issued by us to Yorkville under the SEPA that were registered under the Securities Act for resale by Yorkville on the Prior SEPA Registration Statements are expected to be freely tradable. The shares of Common Stock registered for resale under the SEPA may be issued by us to Yorkville from time to time at our discretion during the commitment period or are issued following a conversion of a Yorkville Promissory Note. The resale by Yorkville of a significant amount of shares registered for resale at any given time, or the perception that these sales may occur, could cause the market price of our Common Stock to decline. Issuances of shares of Common Stock, if any, to Yorkville under the SEPA will depend upon market conditions and other factors. We may ultimately decide to issue to Yorkville all, some, or none of the shares of Common Stock that may be available for issuance to Yorkville pursuant to the SEPA.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 subscription price per shares of Common Stock to be paid by Yorkville for Common Stock will fluctuate based on the market prices of our Common Stock during the applicable pricing period, as of the date of this prospectus we cannot reliably predict the number of shares of Common Stock that we will issue to Yorkville under the SEPA, the actual subscription price per share of Common Stock to be paid by Yorkville for those shares of Common Stock, or the actual gross proceeds to be raised by us from those issuances, if 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issuance, if any, of shares of Common Stock to Yorkville pursuant to the SEPA would not affect the rights or privileges of our existing stockholders, except that the economic and voting interests of each of our existing stockholders would be diluted. Although the number of shares of Common Stock that our existing stockholders own would not decrease as a result of issuances, if any, under the SEPA, the shares of Common Stock owned by our existing stockholders would represent a smaller percentage of our total issued shares of Common Stock after any such issuance.</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CP BF Letter Agreement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reported on February 19, 2021, the Company, along with Joe Davy and Demio, Inc. (the “Guarantors”), issued a convertible promissory note (the “First Senior Convertible Note”) in an aggregate principal amount of $1,500,000 to CP BF Lending, LLC (“CP BF”) in connection with a loan agreement, dated February 19, 2021, between the Company and CP BF (the “Loan Agreement”). On October 10, 2022, the Loan Agreement was amended, whereby CP BF waived payment by the Company of four months of cash interest with respect to the term loan under the Loan Agreement in replacement for a convertible promissory note (the “Second Senior Convertible Note” and, together with the First Senior Convertible Note, the “Senior Convertible Notes”) issued by the Company in an aggregate principal amount of $321,345. On August 24, 2023, the Company and CP BF entered into a forbearance agreement (the “Original Forbearance Agreement”), as amended by the First Amendment to Forbearance Agreement, dated as of December 14, 2023 (collectively, the “Forbearance Agreement”), pursuant to which they agreed to amend and restate the Senior Convertible Notes so that they would not convert at the closing of a business combination as a “Change of Control” event. After the closing of the business combination that occurred on December 14, 2023, the Senior Convertible Notes became convertible, at CP BF’s option on 5 days’ written notice to the Company, into shares of the Company’s Class A Common Stock, par value $0.0001 (the “Class A Common Stock”). The Senior Convertible Notes provide that, at all times after a SPAC Transaction (as defined in the Senior Convertible Notes), the conversion price for any such conversion is approximately $4.35 per share, subject to adjustment as set forth therein.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5, 2024, the Company entered into a Side Letter to the Loan Agreement whereby the Company agreed to enter into definitive transaction documents with CP BF and the Guarantors, where by each agreed that substantially all of the outstanding obligations of the Company and Guarantors with regard to the Loan Agreement shall be consolidated and evidenced by a single convertible note (the “Convertible Note”), and that, absent an event of default, the Convertible Note shall accrue interest at a rate of 15.5%, which interest shall be paid in kind monthly (collectively, the “Rate Reduction”). In exchange for agreeing to the Rate Reduction, CP BF subscribed (the “Subscription”) for, and the Company agreed to issue to CP BF, 7,000 Shares; the Company also agreed to register those shares in a registration statement.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23, 2024, the Company entered into such definitive transaction documents with CP BF, including a Securities Purchase Agreement (the “CP BF SPA”), a Registration Rights Agreement (the “RRA”), a Lock-Up Agreement (the “Lock Up”) and issued CP BF a Common Stock Purchase Warrant (the “Warrant”) and a Pre-Funded Warrant (the “Pre-Funded Warrant,” together with the CP BF SPA, RRA, Lock Up and Warrant, the “CP BF Transaction Documents”). Pursuant to the CP BF SPA, CP BF agreed to convert $2,000,000 in debt into $2,200,000 in equity, consisting of 26,085 shares of Class A Common Stock, Warrants to purchase up to 56,555 shares of Class A Common Stock and Pre-Funded Warrants to purchase up to 30,470 shares of Class A Common Stock (all such securities and shares collectively referred to as the “CP BF Registrable Securities”). Under the CP BF SPA, CP BF elected to purchase Pre-Funded Warrants in lieu of shares of Common Stock in such manner to result in them paying the full Subscription Amount ($2,000,000) to the Company. The Warrant can be exercised at an initial exercise price of $38.90 per share, subject to adjustment for a term of five years. Neither warrant may be exercised if the holder, together with its affiliates, would beneficially own more than 19.99% of the number of shares of Common Stock outstanding immediately after giving effect to such exercise. Both warrants may be exercised via cash or cashless exercise. Pursuant to the RRA, the Company agreed to file a registration statement to register the CP BF Registrable Securities and for the registration statement to become effective on or before December 9, 2024.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the Note had a principal amount of $10,758,774.75, taking into account the purchase and sale pursuant to the CP BF SPA, the Company continued to owe $8,758,775 to CP BF. CP BF agreed to convert such debt into a consolidated convertible loan, evidenced by a convertible note (the “Note”), via the Second Amendment to Loan Agreement, dated as of September 23, 2024 (the “Amended Loan Agreement”). Pursuant to the Amended Loan Agreement, interest shall accrue as payable-in-kind at an annual interest rate of 15.5% per annum, which shall increase to 20% upon the occurrence of an event of default. The Company shall also pay CP BF a $900 monthly servicing fee, which may increase by 7% annually if certain fees increase in cost and paid CP BF a one-time origination fee in the amount of $160,000. The Amended Loan Agreement also provides certain instances in which the Company must prepay the loan. Until such time as the loan is paid in full, CP BF maintains the right to appoint one representative to the Company’s Board of Directors to attend and observe the Board of Director meetings. Adding in a 1% exit fee on the Note, we agreed to register an aggregate of 227,927 shares of Class A Common Stock underlying the Note in a registration statement. The Note may be converted into shares of the Company’s Class A Common Stock at a conversion price of $38.90 per share and matures on February 19, 2027.</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October 14, 2025, there was an aggregate of $4,861,926.46 outstanding under the Note (the “Balance”). As per the terms of the prior agreements, shares of our Common Stock, are registered on Form S-1 with registration number 333-282306 (the “Registered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14, 2025, the Company and CP BF executed a letter agreement dated October 10, 2025, pursuant to which they amended certain terms of the Loan Agreement and Note (as amended on October 15, 2025, the “Letter Agreement”). The Letter Agreement includes the following amendments to the Loan Agreement and Note:</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Conversion Price is reduced to a price equal to 95% of the price of the Class A Common Stock on the trading day (each a “Trading Day”) immediately preceding delivery of any Conversion Notice, subject to a floor price of $2.50 (the “Floor Price”).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CP BF shall take commercially reasonable actions to partially convert the Balance into shares of Class A Common Stock at the new conversion price. However, the Letter Agreement limits the amount of shares CP BF can sell (or convert) to 5% of the aggregate daily trading volume and we maintain the right to waive or increase such limitation.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 the time that we pay at least $2,000,000 of the Balance until the earlier of (a) 60 days following the date of the Letter Agreement and (b) our receipt of $10,000,000 in gross proceeds for the sale of our securities, (such period, the “Suspension Period”), we are no longer required to prepay a certain percentage of other proceeds we receive from securities offerings to CP BF, as originally required in the Loan Agreement.</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per the Letter Agreement, we agreed to use an agreed upon portion of other debt to partially prepay the Balance. We also agreed to reserve that number of shares of Class A Common Stock equal to 120% of the number of shares of Class A Common Stock issuable upon full conversion of the Balance at the new conversion price and to register 100% of all such shares with the Securities and Exchange Commission within 60 days of the Letter Agreement. As per the Letter Agreement, subject to their receipt of $2,000,000 and the filing of the registration statement, CP BF also agreed to waive certain events of default that may have occurred or be occurring as of the date of the Letter Agreement; CP BF also agreed that until December 31, 2025, it shall not exercise any right or remedy associated with any failure on our part to comply with certain financial covenants set forth in the Loan Agreement, as they relate to the period ending September 30,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failure to comply with the Letter Agreement shall constitute an Event of Default under the Loan Agreement.</w:t>
      </w:r>
    </w:p>
    <w:p>
      <w:pPr>
        <w:pStyle w:val="TextBody"/>
        <w:bidi w:val="0"/>
        <w:spacing w:before="0" w:after="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Associated with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implement our business strategy is subject to numerous risks that you should be aware of before making an investment decision. These risks are described more fully in the section entitled “Risk Factors,” immediately following this prospectus summary. These risks include the following, among others: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Related to our Business and Industry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incurred significant operating losses in the past and may never achieve or maintain profitability.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substantial doubt about our ability to continue as a going concern, and holders of our securities could suffer a total loss of investment. We may need to raise additional capital to continue our operations. Such capital may not be available to us or may not be available at terms we deem acceptable, either of which could reduce our ability to compete and could negatively affect our business.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 limited operating history with our current offerings, which makes it difficult to evaluate our current and future business prospects and increases the risk of your investment.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revenue growth rate depends on existing customers renewing and maintaining or expanding their subscriptions, and if we fail to retain our customers at current or expanded subscriptions, our business will be harmed.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attract new customers on a cost-effective basis, our business will be harmed.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fail to effectively manage our growth, our business, results of operations, and financial condition may be harmed.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unable to successfully execute on our growth initiatives, business strategies, or operating plans.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assumptions, analyses, and estimates upon which our forecasts, projections and outlook are based prove to be incorrect or inaccurate, our actual results may differ materially from those forecasted or projected.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fail to attract and retain qualified personnel, our business could be harmed.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team has a limited history working together operating the Company and, as a result, our past results may not be indicative of future operating performance.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successfully develop or introduce new and enhanced products that achieve market acceptance, or successfully integrate acquired products or services with our existing products, and our business could be harmed and our revenue could suffer as a result.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do not adequately fund our development efforts, we may not be able to compete effectively and our business and operating results may be harmed.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acquisitions of, and investments in, other businesses, products, or technologies may not yield expected benefits and our inability to successfully integrate acquisitions may negatively impact our business, financial condition, and results of operations.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face significant competition from both established and new companies offering marketing, sales, and engagement software and other related applications, as well as internally developed software, which may harm our ability to add new customers, retain existing customers, and grow our business.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results of operations, and financial condition may fluctuate on a quarterly and annual basis, which may result in a decline in our stock price if such fluctuations result in a failure to meet any projections that we may provide or the expectations of securities analysts or investors.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we recognize revenue from subscriptions for our product offerings over the terms of the subscriptions, our financial results in any period may not be indicative of our financial health and future performance.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sales cycle can be lengthy and unpredictable, which may cause our operating results to vary significantly.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Covenant restrictions in our existing or future debt instruments may limit our flexibility to operate and grow our business, and if we are not able to comply with such covenants or pay amounts when due, our lenders could accelerate our indebtedness, proceed against certain collateral or exercise other remedies, which could have a material adverse effect on us.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impacts of geopolitical, macroeconomic, and market conditions, including pandemics, epidemics and other public health crises, have had, and may continue to have, a significant effect on our industry, which in turn affects how we and our customers are operating our respective businesses. Our business is susceptible to declines or disruptions in the demand for meetings and events, including those due to economic downturns, natural disasters, geopolitical upheaval, and global pandemics.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Cybersecurity and data security breaches and ransomware attacks may create financial liabilities for us, damage our reputation, and harm our business.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Privacy and data security laws and regulations could impose additional costs and reduce demand for our solutions.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product offerings, solutions, and internal systems, as well as external internet infrastructure, may be subject to disruption that could harm our reputation and future sales or result in claims against us.</w:t>
            </w:r>
          </w:p>
        </w:tc>
      </w:tr>
    </w:tbl>
    <w:p>
      <w:pPr>
        <w:pStyle w:val="TextBody"/>
        <w:bidi w:val="0"/>
        <w:spacing w:before="0" w:after="283"/>
        <w:jc w:val="left"/>
        <w:rPr/>
      </w:pPr>
      <w:r>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Undetected defects in our product offerings could harm our reputation or decrease market acceptance of our product offerings, which would harm our business and results of operations.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internet infrastructure, bandwidth providers, data center providers, other third parties, and our own systems for providing solutions to our customers, and any failure or interruption in the services provided by these third parties or our own systems could expose us to litigation and negatively impact our relationships with customers, adversely affecting our brand and our business.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fail to effectively maintain and enhance our brands, our business may suffer.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use our net operating loss to offset future taxable income may be subject to certain limitations.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need to continue making significant investments in software development and equipment to improve our business.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 litigation results could have a material adverse impact on our business.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protect or enforce our intellectual property rights could harm our business and results of operations.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Third parties may initiate legal proceedings alleging that we are infringing or otherwise violating their intellectual property rights, the outcome of which would be uncertain and could harm our business.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use of open source software could adversely affect our ability to offer our solutions and subject us to possible litigation.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Related to Ownership of Our Securities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support the growth of our business and repay our indebtedness, we will need to seek capital through new equity or debt financings or incur additional indebtedness under our credit facilities, which sources of additional capital may not be available to us on acceptable terms or at all.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sales of shares of Class A Common Stock may depress their stock price.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Issuances of shares of Class A Common Stock pursuant to any Advances under the SEPA (as defined below), exercise of the GEM Warrant (as defined below) and conversion of any amounts under the Notes would result in substantial dilution of our stockholders and may have a negative impact on the market price of our Class A Common Stock.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(as defined below) may delist our securities from trading on its exchange, which could limit investors’ ability to make transactions in our securities and subject us to additional trading restrictions.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Class A Common Stock ceases to be listed on a national securities exchange it will become subject to the so-called “penny stock” rules that impose restrictive sales practice requirements.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dual class common stock structure has the effect of concentrating voting power with our Chief Executive Officer and Co-Founder, Joseph Davy, which may limit an investor’s ability to influence the outcome of important transactions, including a change in control.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predict the impact our dual class structure will have on the market price of Class A Common Stock.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price of Class A Common Stock is likely to be highly volatile, and you may lose some or all of your investment.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Volatility in the price of Class A Common Stock could subject us to securities class action litigation.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securities or industry analysts do not publish research or reports about us, or publish negative reports, then our stock price and trading volume could decline.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incur increased costs and demands upon management as a result of complying with the laws and regulations affecting public companies, which could adversely affect our business, results of operations, and financial condition.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identified material weaknesses in our internal control over financial reporting. If we are unable to remediate these material weaknesses, or if we identify additional material weaknesses in the future or otherwise fail to maintain an effective system of internal controls, we may not be able to accurately or timely report our financial condition or results of operations, which may adversely affect our business and stock price.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executive officers and directors collectively beneficially own approximately 27.5% of the voting power of our outstanding Common Stock and may have significant influence over the outcome of important transactions, including a change in control.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not currently anticipated that we will pay dividends on shares of Class A Common Stock, and, consequently, your ability to achieve a return on your investment will depend on appreciation, if any, in the market price of Class A Common Stock.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Delaware General Corporation Law (“DGCL”) and our Second Amended and Restated Certificate of Incorporation (“Charter”) and Second Amended and Restated Bylaws (“Bylaws”) contain certain provisions, including anti-takeover provisions, that limit the ability of stockholders to take certain actions and could delay or discourage takeover attempts that stockholders may consider favorable.</w:t>
            </w:r>
          </w:p>
        </w:tc>
      </w:tr>
    </w:tbl>
    <w:p>
      <w:pPr>
        <w:pStyle w:val="TextBody"/>
        <w:bidi w:val="0"/>
        <w:spacing w:before="0" w:after="283"/>
        <w:jc w:val="left"/>
        <w:rPr/>
      </w:pPr>
      <w:r>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Charter designates the Court of Chancery of the State of Delaware and, to the extent enforceable, the federal district courts of the United States of America as the exclusive forums for substantially all disputes between us and our stockholders, which restricts our stockholders’ ability to choose the judicial forum for disputes with us or our directors, officers, or employees.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exclusive forum clause set forth in certain of the agreements covering certain outstanding warrants may have the effect of limiting an investor’s rights to bring legal action and could limit the investor’s ability to obtain a favorable judicial forum.</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smaller reporting company. We cannot be certain whether the reduced disclosure requirements applicable to smaller reporting companies will make our Class A Common Stock less attractive to investors or otherwise limit our ability to raise additional funds.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estimates or judgments relating to our critical accounting policies prove to be incorrect or financial reporting standards or interpretations change, our results of operations could be adversely affected.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Outstanding warrants may never be in the money and they may expire worthless and therefore we may not receive cash proceeds from the exercise of the Warrants. The terms of the warrants may be amended in a manner adverse to a holder if holders of at least 50% of the then outstanding public warrants approve of such amendment.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redeem your unexpired Public Warrants (as hereinafter defined) prior to their exercise at a time that is disadvantageous to you, thereby making your Public Warrants worthless.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additional shares of Class A Common Stock or Preferred Stock, including under our equity incentive plan. Any such issuances would dilute the interest of our stockholders and likely present other risks.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a substantial number of shares of Class A Common Stock in the public market pursuant to our effective registration statement could reduce the market price of Class A Common Stock.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stock is subject to minimum requirements to remain listed on the Nasdaq Capital Market, including a minimum bid price requirement and stockholders’ equity requirement, and may be delisted if it does not maintain or regain, as applicable, compliance with those requirements.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convertible promissory notes have certain rights upon an event of default under their respective agreements that could harm our business, financial condition and results of operations and could require us to curtail or cease our operations.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Information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7GC, our predecessor company, was incorporated in the State of Delaware in September 2020 for the purpose of effecting a merger, capital stock exchange, asset acquisition, stock purchase, reorganization or similar business combination involving 7GC and one or more businesses. 7GC completed its IPO in December 2020. In December 2023, First Merger Sub merged with and into Legacy Banzai, and Legacy Banzai, as the Surviving Corporation, merged with and into Second Merger Sub, with Second Merger Sub being the surviving entity, which ultimately resulted in Legacy Banzai becoming a wholly-owned direct subsidiary of 7GC. In connection with the Mergers, 7GC changed its name to Banzai International,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principal executive offices are located at 435 Ericksen Ave NE, Suite 250, Bainbridge Island, WA 98110. Our telephone number is (206) 414-1777. Our website address is www.banzai.io. The information on our corporate website is not part of, and is not incorporated by reference into, this prospectus.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Implications of Being a Smaller Reporting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“smaller reporting company” as defined in the Securities Exchange Act of 1934, as amended (the “Exchange Act”). We may take advantage of certain of the scaled disclosures available to smaller reporting companies and will be able to take advantage of these scaled disclosures for so long as the market value of our voting and non-voting Common Stock held by non-affiliates is less than $250.0 million measured on the last business day of our second fiscal quarter, or our annual revenue is less than $100.0 million during the most recently completed fiscal year and the market value of our voting and non-voting Common Stock held by non-affiliates is less than $700.0 million measured on the last business day of our second fiscal quarter.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the information in this prospectus and that we provide to our investors in the future may be different than what you might receive from other public reporting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OFFERING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39"/>
        <w:gridCol w:w="60"/>
        <w:gridCol w:w="7206"/>
      </w:tblGrid>
      <w:tr>
        <w:trPr/>
        <w:tc>
          <w:tcPr>
            <w:tcW w:w="29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0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Banzai International, Inc.</w:t>
            </w:r>
          </w:p>
        </w:tc>
      </w:tr>
      <w:tr>
        <w:trPr/>
        <w:tc>
          <w:tcPr>
            <w:tcW w:w="293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0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9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of Common Stock offered by Selling Securityholder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0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2,076,842 shares of Class A Common Stock underlying Convertible Notes with a balance of $4,725,921, issued in October 2025.</w:t>
            </w:r>
          </w:p>
        </w:tc>
      </w:tr>
      <w:tr>
        <w:trPr/>
        <w:tc>
          <w:tcPr>
            <w:tcW w:w="293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0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9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A Common Stock outstanding on April 14, 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18,492,103</w:t>
            </w:r>
          </w:p>
        </w:tc>
      </w:tr>
      <w:tr>
        <w:trPr/>
        <w:tc>
          <w:tcPr>
            <w:tcW w:w="293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0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9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 of proceeds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0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receive any of the proceeds received from the Selling Securityholder.</w:t>
            </w:r>
          </w:p>
        </w:tc>
      </w:tr>
      <w:tr>
        <w:trPr/>
        <w:tc>
          <w:tcPr>
            <w:tcW w:w="293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0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9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 factors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0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the section entitled “Risk Factors” and other information included in this prospectus for a discussion of factors you should consider before investing in our securities.</w:t>
            </w:r>
          </w:p>
        </w:tc>
      </w:tr>
      <w:tr>
        <w:trPr/>
        <w:tc>
          <w:tcPr>
            <w:tcW w:w="293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0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9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Symbol</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0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A Common Stock is currently traded on The Nasdaq Capital Market under the symbol “BNZI.”</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of our Class A Common Stock that are and will be outstanding immediately before and after this registration statement is effective is based on 18,492,103 shares of our Class A Common Stock outstanding as of April 14, 2026, which excludes: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23,000 shares issuable upon exercise of outstanding Public Warrants with an exercise price of $5,750.00;</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1,657 shares issuable upon exercise of the warrant issued on December 14, 2023 (the “GEM Warrant”), to GEM Global Yield LLC SCS and GEM Yield Bahamas Limited (collectively, “GEM”), with an exercise price of $3,407.25 per share, which will be adjusted downward to 105% of the per share consideration received in this offering pursuant to anti-dilution price protections contained within those warrants;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5,258 shares issuable within sixty days from report date upon exercise of outstanding stock options with a weighted average exercise price of $786.79 granted through April 14, 2026;</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1,037,644 shares issuable within sixty days from report date upon vesting of outstanding restricted stock units granted through April 14, 2026;</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677,118 shares issuable upon conversion of outstanding shares of Class B common stock;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27,778 shares issuable upon exercise of outstanding common stock purchase warrants with an exercise price of $90.00 that were issued May 2024 pursuant to a “best efforts” offering of our Class A common stock (“Best Efforts Offering”);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1,667 shares issuable upon exercise of warrants issued to the placement agent of the Best Efforts Offering with an exercise price of $100.00 per share;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56,555 shares are issuable upon exercise of the CPBF common stock warrant with an exercise price of $2.50 per share;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133,134 shares are issuable upon exercise of the Alco common stock warrant with an exercise price of $40.20 per share;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117,647 shares issuable upon exercise of outstanding Class A common stock purchase warrants that were issued on November 6, 2024, with an exercise price of $25.00;</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117,647 shares issuable upon exercise of outstanding Class B common stock purchase warrants that were issued on November 6, 2024, with an exercise price of $25.00;</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8,824 shares issuable upon exercise of warrants issued to the placement agent pursuant to the “PIPE” that closed in June 2025, with an exercise price of $53.13;</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399,120 shares issuable upon exercise of common stock purchase of 3i LP warrants issued on June 30, 2025, with an exercise price of $1.11 as per exercise adjusted and reset as of February 13, 2026;</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50,157 shares issuable upon exercise of warrants issued to the financial advisor of the transaction that closed on June 30, 2025, with an exercise price of $3.4891;</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396,396 shares issuable upon exercise of common stock purchase of 3i LP warrants issued on August 19, 2025, with an exercise price of $1.11 as per exercise price adjusted and reset as of February 13, 2026;</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40,125 shares issuable upon exercise of warrants issued to the financial advisor of 3i LP of the transaction that closed on August 19, 2025, with an exercise price of $4.36;</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450,450 shares issuable upon exercise of common stock purchase of 3i LP warrants issued on October 8, 2025, with an exercise price of $1.11 as per exercise price adjusted and reset as of February 13, 2026;</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63,636 shares issuable upon exercise of warrants issued to the financial advisor of 3i LP of the transaction that closed on October 8, 2025, with an exercise price of $3.13;</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420,420 shares issuable upon exercise of common stock purchase of 3i LP warrants issued on February 13, 2026, with an exercise price of $1.11;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133,771 shares issuable upon exercise of warrants issued to the financial advisor of 3i LP of the transaction that closed on February 13, 2026 with an exercise price of $1.39.</w:t>
            </w:r>
          </w:p>
        </w:tc>
      </w:tr>
    </w:tbl>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 w:name="Y-004"/>
      <w:bookmarkEnd w:id="5"/>
      <w:r>
        <w:rPr>
          <w:rFonts w:ascii="Times New Roman;Times;Serif" w:hAnsi="Times New Roman;Times;Serif"/>
          <w:b/>
          <w:i w:val="false"/>
          <w:caps w:val="false"/>
          <w:smallCaps w:val="false"/>
          <w:sz w:val="20"/>
        </w:rPr>
        <w:t>RISK FACTORS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Investing in our securities involves risks. Before you make a decision to buy our securities, in addition to the risks and uncertainties discussed above under “Cautionary Note Regarding Forward-Looking Statements,” you should carefully consider the specific risks set forth herein. If any of these risks actually occur, it may materially harm our business, financial condition, liquidity and results of operations. As a result, the market price of our securities could decline, and you could lose all or part of your investment. Additionally, the risks and uncertainties described in this prospectus or any prospectus supplement are not the only risks and uncertainties that we face. Additional risks and uncertainties not presently known to us or that we currently believe to be immaterial may become material and adversely affect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Business and Industry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incurred significant operating losses in the past and may never achieve or maintain profitability.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incurred significant operating losses since our inception, including operating losses of $18.5 million, and $13.5 million, in the years ended December 31, 2025, and 2024, respectively. We expect our costs will increase substantially in the foreseeable future and our losses will continue as we expect to invest significant additional funds towards growing our business and operating as a public company and as we continue to invest in increasing our customer base, expanding our operations, hiring additional sales and other personnel, developing future products, and potentially acquiring complementary technology and businesses. These efforts may prove more expensive than we currently anticipate, and we may not succeed in increasing our revenue sufficiently to offset these higher expenses. We are unable to accurately predict when, or if, we will be able to achieve profitability. Even if we achieve profitability in the future, we may not be able to sustain profitability in subsequent periods. To date, we have financed our operations principally from the sale of our equity, revenue from sales, and the incurrence of indebtedness. Our cash flow from operations was negative for the years ended December 31, 2025, and 2024, and we may not generate positive cash flow from operations in any given period. If we are not able to achieve or maintain positive cash flow in the long term, we may require additional financing, which may not be available on favorable terms or at all and/or which would be dilutive to our stockholders. If we are unable to successfully address these risks and challenges as we encounter them, our business may be harmed. Our failure to achieve or maintain profitability or positive cash flow could negatively impact the value of our Class A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There is substantial doubt about our ability to continue as a going concern, and holders of our securities could suffer a total loss of their investment. We may need to raise additional capital to continue our operations. Such capital may not be available to us or may not be available at terms we deem acceptable, either of which could reduce our ability to compete and could negatively affect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has concluded, and the report of our auditors included in our 2025 Annual Report reflect, that there is substantial doubt about our ability to continue as a going concern within 12 months after the date of that Report. The reaction of investors to the inclusion of a going concern statement by management and our auditors and our potential inability to continue as a going concern may materially adversely affect the price of our publicly traded securities and our ability to raise new capital or enter into partnerships. If we are unable to continue as a going concern, we may have to liquidate our assets and may receive less than the value at which those assets are carried on our financial statements, and it is likely that investors will lose all or part of their investment. Further, the perception that we may be unable to continue as a going concern may impede our ability to pursue strategic opportunities or operate our business due to concerns regarding our ability to fulfill our contractual obligations. In addition, if there remains substantial doubt about our ability to continue as a going concern, investors or other financing sources may be unwilling to provide additional funding to us on commercially reasonable terms, or at all.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can be no assurance that we will be able to achieve our forecast or to raise additional capital in sufficient amounts or on favorable terms, or at all. If we are unable to meet or exceed our forecast or raise adequate additional capital when required or in sufficient amounts or on terms acceptable to us, we may have to significantly reduce expenses, sell assets (potentially at a loss), cease operations altogether, pursue an acquisition of our company at a price that may result in up to a total loss on investment for our securityholders, file for bankruptcy or seek other protection from creditors, or liquidate all of our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a limited operating history with our current offerings, which makes it difficult to evaluate our current and future business prospects and increases the risk of your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While we served our first customer in 2017 (operating as Legacy Banzai), we have significantly altered our product offerings over the past few years. Our limited operating history with respect to our current product offerings makes it difficult to effectively assess or forecast our future prospects. For example, </w:t>
      </w:r>
      <w:r>
        <w:rPr>
          <w:rFonts w:ascii="Times New Roman;Times;Serif" w:hAnsi="Times New Roman;Times;Serif"/>
          <w:b w:val="false"/>
          <w:i w:val="false"/>
          <w:caps w:val="false"/>
          <w:smallCaps w:val="false"/>
          <w:color w:val="212529"/>
          <w:sz w:val="20"/>
          <w:shd w:fill="FFFFFF" w:val="clear"/>
        </w:rPr>
        <w:t>i</w:t>
      </w:r>
      <w:r>
        <w:rPr>
          <w:rFonts w:ascii="Times New Roman;Times;Serif" w:hAnsi="Times New Roman;Times;Serif"/>
          <w:b w:val="false"/>
          <w:i w:val="false"/>
          <w:caps w:val="false"/>
          <w:smallCaps w:val="false"/>
          <w:sz w:val="20"/>
        </w:rPr>
        <w:t>n 2021, we acquired Demio, a webinar platform startup, and integrated Demio’s platform into our service offerings, in 2023, we launched Boost, a tool used by Demio customers to enhance participation in their Demio webinars, and in 2025, we acquired Vidello, a technology provider of video hosting and marketing suite solutions for businesses. You should consider our business and prospects in light of the risks and difficulties we encounter or may encounter. These risks and difficulties include our ability to cost-effectively acquire new customers, retain existing customers, and expand the scope of the platform we sell to new and existing customers. Furthermore, in pursuit of our growth strategy, we may enter into new partnerships to further penetrate our targeted markets and adoption of our solutions, but it is uncertain whether these efforts will be successful. If we fail to address the risks and difficulties that we may face, including those associated with the challenges listed above, our business, prospects, financial condition, and operating results may be materially and adversely harmed. It is difficult to predict our future revenues and appropriately budget for our expenses, and we have limited insight into trends that may emerge and affect our business. In the event that actual results differ from our estimates, or we adjust our estimates in future periods, our operating results and financial position could be materially affected.</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revenue growth rate depends on existing customers renewing and maintaining or expanding their subscriptions, and if we fail to retain our customers at current or expanded subscriptions, our business will be harmed.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customers have no obligation to renew their subscriptions for our product offerings after the expiration of their subscription periods. Our customers may not renew. Our renewal and reactivation rates may decline because of a number of factors, including, among other things, customer dissatisfaction, customers’ spending levels, decreased return on investment, increased competition, or pricing changes. If our customers do not renew their subscriptions or downgrade the products purchased under their subscriptions, our revenue may decline, and our business may be harmed. We also face customer retention issues associated with mergers and acquisitions. Acquiring businesses and integrating acquired businesses presents significant business risk, including the risk of lost customers. In the past, we have seen varying customer renewal rates, and our forecast for future customer renewals may not materialize. Our future success also depends in part on existing customers expanding their subscriptions. If our efforts to sell upgrades to our customers are not successful, it may decrease our revenue growth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are unable to attract new customers on a cost-effective basis, our business will be harmed.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grow our business, we must continue to grow our customer base in a cost-effective manner. Increasing our customer base and achieving broader market acceptance of our product offerings will depend, to a significant extent, on our ability to effectively expand our sales and marketing activities. We may not be able to recruit qualified personnel, train them to perform, and achieve an acceptable level of sales production from them on a timely basis or at all. In addition, the cost to attract new customers may increase as we market our existing and new products to different market segments. If we are unable to maintain effective sales and marketing activities, our ability to attract new customers could be harmed, our sales and marketing expenses could increase substantially, and our business may be harmed. Further, to the extent there is a sustained general economic downturn and our customers and potential customers experience delays or reductions in general customer engagement technology spending, potential customers may be unwilling to take on the additional cost associated with adopting our product offerings as an alternative to their existing products or service providers, and if they choose to adopt our products, they may not purchase additional products and services in the future due to budget limitations.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fail to effectively manage our growth, our business, results of operations, and financial condition would likely be harmed.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continue to experience growth in our headcount and operations, which will continue to place significant demands on our management and our administrative, operational, and financial reporting resources. Our growth will require hiring additional employees and making significant expenditures, particularly in sales and marketing but also in our technology, professional services, finance, and administration teams. Our recent acquisitions also present significant business risk, including the risk of lost customers and revenue, and the risk of increased legal, management, and regulatory expenses. Our ability to effectively manage our growth will require the allocation of management and employee resources along with improvements to operational and financial controls and reporting procedures and systems. Our expenses may increase more than we plan, and we may fail to hire qualified personnel, expand our customer base, enhance our existing products, develop new products, integrate any acquisitions, satisfy the requirements of our existing customers, respond to competitive challenges, or otherwise execute our strategies. If we are unable to effectively manage our growth, our business, results of operations, and financial condition would likely be harmed.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unable to successfully execute on our growth initiatives, business strategies, or operating plans.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continually executing on growth initiatives, strategies, and operating plans designed to enhance our business and extend our existing and future offerings to address evolving needs. The anticipated benefits from these efforts are based on several assumptions that may prove to be inaccurate. Moreover, we may not be able to successfully complete these growth initiatives, strategies, and operating plans and realize all of the benefits, including growth targets and cost savings, that we expect to achieve, or it may be more costly to do so than we anticipate. A variety of risks could cause us not to realize some or all of the expected benefits. These risks include, among others, delays in the anticipated timing of activities related to such growth initiatives, strategies, and operating plans, increased difficulty, and cost in implementing these efforts, including difficulties in complying with new regulatory requirements, the incurrence of other unexpected costs associated with operating our business, and lack of acceptance by our customers. Moreover, our continued implementation of these programs may disrupt our operations and performance. As a result, we cannot assure you that we will realize these benefits. If, for any reason, the benefits we realize are less than our estimates or the implementation of these growth initiatives, strategies, and operating plans adversely affect our operations or cost more or take longer to effectuate than we expect, or if our assumptions prove inaccurate, our business may be harmed.</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Any forecasts, projections, or outlook we may provide are based upon certain assumptions, analyses, and estimates. If these assumptions, analyses, or estimates prove to be incorrect or inaccurate, our actual results may differ materially from those forecasted or projected.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forecasts, projections, or outlook, including projected annual recurring revenue, revenue growth, cost of goods sold, operating expense, gross margin, and anticipated organic and inorganic growth, are subject to significant uncertainty and are based on certain assumptions, analyses, and estimates, including with reference to third-party forecasts, any, or all of which may prove to be incorrect or inaccurate. These may include assumptions, analyses, and estimates about future pricing, and future costs, all of which are subject to a wide variety of business, regulatory, and competitive risks, and uncertainties. If these assumptions, analyses, or estimates prove to be incorrect or inaccurate, our actual results may differ materially from those forecasted or projected and may adversely affect the value of our Class A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fail to attract and retain qualified personnel, our business could be harmed.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success depends in large part on our ability to attract, integrate, motivate, and retain highly qualified personnel at a reasonable cost on the terms we desire, particularly sales and marketing personnel, software developers, and technical and customer support. Competition for skilled personnel, particularly in the technology industry, is intense and we may not be successful in attracting, motivating, and retaining needed personnel. We also may be unable to attract or integrate into our operations qualified personnel on the schedule we desire. We have from time to time experienced, and we expect to continue to experience, difficulty in attracting, integrating, motivating, and retaining highly qualified personnel, which could harm our business. In addition, dealing with the loss of the services of our executive officers or other key personnel and the process to replace any of our executive officers or other key personnel may involve significant time and expense, take longer than anticipated, and significantly delay or prevent the achievement of our business objectives, which may harm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management team has a limited history working together operating the Company and, as a result, our past results may not be indicative of future operating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 limited history working together operating the Company, which makes it difficult to forecast our future results. Our strategy of acquiring and integrating new operating businesses further compounds this risk. You should not rely on our past quarterly operating results as indicators of future performance. In addition, you should consider and evaluate our prospects in light of the risks and uncertainties frequently encountered by companies in rapidly evolving markets like ours, as well as the information included in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successfully develop or introduce new and enhanced products that achieve market acceptance, or successfully integrate acquired products or services with our existing products, and our business could be harmed, and our revenue could suffer as a result.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attract new customers and increase revenue from existing customers will likely depend upon the successful development, introduction, and customer acceptance of new and enhanced versions of our product offerings and on our ability to integrate any products and services that we may acquire, as well as our ability to add new functionality and respond to technological advancements. Moreover, if we are unable to expand our product offerings, our customers could migrate to competitors. Our business could be harmed if we fail to deliver new versions, upgrades, or other enhancements to our existing products to meet customer needs on a timely and cost-effective basis. Unexpected delays in releasing new or enhanced versions of our product offerings, or errors following their release, could result in loss of sales, delay in market acceptance, or customer claims against us, any of which could harm our business. The success of any new product depends on several factors, including timely completion, adequate quality testing, and market acceptance. We may not be able to develop new products successfully or to introduce and gain market acceptance of new solutions in a timely manner, or at all. If we are unable to develop new applications or products that address our customers’ needs, or to enhance and improve our product offerings in a timely manner, we may not be able to maintain or increase customer use of our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ability to introduce new products and features is dependent on adequate development resources. If we do not adequately fund our development efforts, we may not be able to compete effectively, and our business and operating results may be harmed.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remain competitive, we must continue to develop new product offerings, applications, features, and enhancements to our existing product offerings. Maintaining adequate development personnel and resources to meet the demands of the market is essential. If we are unable to develop our product offerings internally due to certain constraints, such as high employee turnover, lack of management ability, or a lack of other research and development resources, we may miss market opportunities. Further, many of our competitors expend a considerably greater amount of funds on their development programs, and those that do not may be acquired by larger companies that would allocate greater resources to our competitors’ development programs. Our failure to maintain adequate development resources or to compete effectively with the development programs of our competitors could materially adversely affect our business.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acquisitions of, and investments in, other businesses, products, or technologies may not yield expected benefits and our inability to successfully integrate acquisitions may negatively impact our business, financial condition,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past, we have pursued acquisitions of technology and expertise to enhance the products and services we offer, including OpenReel in 2024 and Vidello in 2025. We anticipate that we will continue to make acquisitions of or investments in businesses, products, and technologies in the future. We may not realize the anticipated benefits, or any benefits, from our past or future acquisitions. In addition, if we finance acquisitions by incurring debt or by issuing equity or convertible or other debt securities, our then-existing stockholders may be diluted, or we could face constraints related to the repayment of indebtedness. To the extent that the acquisition consideration is paid in the form of an earnout on future financial results, the success of such an acquisition will not be fully realized by us for a period of time as it is shared with the sellers. Further, if we fail to properly evaluate and execute acquisitions or investments, our business and prospects may be harmed, and the value of your investment may decline. For us to realize the benefits of past and future acquisitions, we must successfully integrate the acquired businesses, products, or technologies with ours. Some of the challenges to successful integration of our acquisitions include:</w:t>
      </w:r>
    </w:p>
    <w:p>
      <w:pPr>
        <w:pStyle w:val="TextBody"/>
        <w:bidi w:val="0"/>
        <w:spacing w:before="0" w:after="0"/>
        <w:ind w:left="0" w:right="0" w:firstLine="360"/>
        <w:jc w:val="both"/>
        <w:rPr>
          <w:caps w:val="false"/>
          <w:smallCaps w:val="false"/>
        </w:rPr>
      </w:pPr>
      <w:r>
        <w:rPr>
          <w:caps w:val="false"/>
          <w:smallCaps w:val="false"/>
        </w:rPr>
        <w:t> </w:t>
      </w:r>
    </w:p>
    <w:tbl>
      <w:tblPr>
        <w:tblW w:w="9565" w:type="dxa"/>
        <w:jc w:val="left"/>
        <w:tblInd w:w="0" w:type="dxa"/>
        <w:tblLayout w:type="fixed"/>
        <w:tblCellMar>
          <w:top w:w="0" w:type="dxa"/>
          <w:left w:w="0" w:type="dxa"/>
          <w:bottom w:w="0" w:type="dxa"/>
          <w:right w:w="0" w:type="dxa"/>
        </w:tblCellMar>
      </w:tblPr>
      <w:tblGrid>
        <w:gridCol w:w="75"/>
        <w:gridCol w:w="110"/>
        <w:gridCol w:w="9380"/>
      </w:tblGrid>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93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unanticipated costs or liabilities resulting from our acquisitions;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38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93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retention of key employees from acquired businesses;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38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93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difficulties integrating acquired operations, personnel, technologies, or products;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38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93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diversion of management attention from existing business operations and strategy;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38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93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diversion of resources that are needed in other parts of our business, including integration of other acquisitions;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38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93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write-offs of acquired assets;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38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93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inability to maintain relationships with customers and partners of the acquired businesses;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38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93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difficulty of transitioning acquired technology and related infrastructures into our existing product offerings;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38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93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difficulty maintaining security and privacy standards of acquired technology consistent with our existing products;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38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93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financial and credit risks associated with the acquired businesses or their customers;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38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93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need to implement internal controls, procedures, and policies at the acquired companies;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38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93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need to comply with additional laws and regulations applicable to the acquired businesses;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38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93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income and indirect tax impacts of any such acquisitions.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failure to address these risks or other problems encountered in connection with our past or future acquisitions and investments could cause us to fail to realize the anticipated benefits of such acquisitions or investments and negatively impact our business, financial condition,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be able to find attractive targets for future acquisitions.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strategy of growing by acquiring and integrating businesses may prove to be more challenging due to market conditions including lack of attractive acquisition targets, challenges financing acquisitions, challenges negotiating acceptable terms for acquisitions, and challenges working with present management of newly acquired businesses. There is no guarantee we will be able to make future acquisitions or if we do, that we will be able to successfully integrate them into our other product offerings, or will be operated effectively under new management. This could adversely impact our business and our stock price.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face significant competition from both established and new companies offering marketing, sales, and engagement software and other related applications, as well as internally developed software, which may harm our ability to add new customers, retain existing customers, and grow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marketing, sales, customer service, operations, and engagement software market is evolving, highly competitive, and significantly fragmented. With the introduction of new technologies and the potential entry of new competitors into the market, we expect competition to persist and intensify in the future, which could harm our ability to increase sales, maintain or increase renewals, and maintain our prices.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face intense competition from other software companies that develop marketing, sales, customer service, operations, and engagement management software and from marketing services companies that provide interactive marketing services. Competition could significantly impede our ability to sell subscriptions to our products on terms favorable to us. Our current and potential competitors may develop and market new technologies that render our existing or future products less competitive or obsolete. In addition, if these competitors develop products with similar or superior functionality to our platform, we may need to decrease the prices or accept less favorable terms for our platform subscriptions in order to remain competitive. If we are unable to maintain our pricing due to competitive pressures, our margins will be reduced, and our operating results will be negatively affected.</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competitors include:</w:t>
      </w:r>
    </w:p>
    <w:p>
      <w:pPr>
        <w:pStyle w:val="TextBody"/>
        <w:bidi w:val="0"/>
        <w:spacing w:before="0" w:after="0"/>
        <w:ind w:left="0" w:right="0" w:firstLine="360"/>
        <w:jc w:val="both"/>
        <w:rPr>
          <w:caps w:val="false"/>
          <w:smallCaps w:val="false"/>
        </w:rPr>
      </w:pPr>
      <w:r>
        <w:rPr>
          <w:caps w:val="false"/>
          <w:smallCaps w:val="false"/>
        </w:rPr>
        <w:t> </w:t>
      </w:r>
    </w:p>
    <w:tbl>
      <w:tblPr>
        <w:tblW w:w="6520" w:type="dxa"/>
        <w:jc w:val="left"/>
        <w:tblInd w:w="0" w:type="dxa"/>
        <w:tblLayout w:type="fixed"/>
        <w:tblCellMar>
          <w:top w:w="0" w:type="dxa"/>
          <w:left w:w="0" w:type="dxa"/>
          <w:bottom w:w="0" w:type="dxa"/>
          <w:right w:w="0" w:type="dxa"/>
        </w:tblCellMar>
      </w:tblPr>
      <w:tblGrid>
        <w:gridCol w:w="75"/>
        <w:gridCol w:w="110"/>
        <w:gridCol w:w="6335"/>
      </w:tblGrid>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63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Vimeo, Zoom, and GoToWebinar with respect to video platforms;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633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63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Mailchimp and Constant Contact with respect to email marketing;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633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63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Marketo, Hubspot, and Braze with respect to marketing automation platforms.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compete across five distinct categories within the B2B (as defined below) MarTech landscape: digital events and webinars, demand generation, creative development, engagement platforms and marketing automation, and measurement and attribution. Our current and potential competitors within any or all of such categories may have significantly more financial, technical, marketing, and other resources than we have, be able to devote greater resources to the development, promotion, sale, and support of their products and services, may have more extensive customer bases and broader customer relationships than we have, and may have longer operating histories and greater name recognition than we have. As a result, these competitors may respond faster to new technologies and undertake more extensive marketing campaigns for their products. In a few cases, these vendors may also be able to offer additional software at little or no additional cost by bundling it with their existing suite of applications. To the extent any of our competitors has existing relationships with potential customers for either marketing software or other applications, those customers may be unwilling to purchase our products because of their existing relationships with our competitor. If we are unable to compete with such companies, the demand for our product offerings could substantially decline.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if one or more of our competitors were to merge or partner with another of our competitors, our ability to compete effectively could be adversely affected. Our competitors may also establish or strengthen cooperative relationships with our current or future strategic distribution and technology partners or other parties with whom we have relationships, thereby limiting our ability to promote and implement our product offerings. We may not be able to compete successfully against current or future competitors, and competitive pressures may harm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results of operations, and financial condition may fluctuate on a quarterly and annual basis, which may result in a decline in our stock price if such fluctuations result in a failure to meet any projections that we may provide or the expectations of securities analysts or investors.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operating results have in the past and could in the future vary significantly from quarter-to-quarter and year-to-year and may fail to match our past performance, our projections, or the expectations of securities analysts because of a variety of factors, many of which are outside of our control and, as a result, should not be relied upon as an indicator of future performance. As a result, we may not be able to accurately forecast our operating results and growth rate. Any of these events could cause the market price of Class A Common Stock to fluctuate. Factors that may contribute to the variability of our operating results include:</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attract new customers and retain existing customers;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condition of our current and potential customers;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our sales and implementation cycles;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introductions and expansions of our product offerings, or challenges with their introduction;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our pricing or fee structures or those of our competitors;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and success of new offering introductions by us or our competitors or any other change in the competitive landscape of our industry;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increases in operating expenses that we may incur to grow and expand our operations and to remain competitive;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successfully expand our business;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breaches of information security or privacy;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stock-based compensation expenses;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and timing of operating costs and capital expenditures related to the expansion of our business;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 litigation judgments, settlements, or other litigation-related costs;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and potential outcomes of ongoing or future regulatory investigations or examinations, or of future litigation;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our effective tax rate;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make accurate accounting estimates and appropriately recognize revenue for our existing and future offerings;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accounting standards, policies, guidance, interpretations, or principles;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instability in the financial markets;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economic conditions, both domestic and international;</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volatility in the global financial markets;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political, economic, and social instability, including terrorist activities and outbreaks of public health threats, such as coronavirus, influenza, or other highly communicable diseases or viruses, and any disruption these events may cause to the global economy;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business or macroeconomic conditions.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one or more of the foregoing and other factors may cause our operating results to vary significantly. As such, we believe that quarter-to-quarter and year-to-year comparisons of our operating results may not be meaningful and should not be relied upon as an indication of future performance.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Since we recognize revenue from subscriptions for our product offerings over the terms of the subscriptions, our financial results in any period may not be indicative of our financial health and future performance.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generally recognize revenue from subscription fees paid by customers ratably over the terms of their subscription agreements. As a result, most of the subscription revenue we report in each quarter is the result of agreements entered into during previous quarters. Consequently, a decline in new or renewed subscriptions in any one quarter will not be fully reflected in our revenue results for that quarter. Any such decline, however, will negatively affect our revenue in future quarters. Our subscription model also makes it difficult for us to rapidly increase our revenue through additional sales in any period, as subscription revenue from new customers must be recognized over the applicable subscription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sales cycle can be lengthy and unpredictable, which may cause our operating results to vary significantly.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sales cycle, which is the time between initial contact with a potential new customer and the ultimate sale to that customer, is often lengthy and unpredictable. Potential new customers typically spend significant time and resources evaluating product offering solutions, which requires us to expend substantial time, effort, and money educating them about the value of our platform. Accordingly, it is difficult for us to forecast when or if a sale will close or the size of any specific sales to new customers. In addition, customers may delay their purchases from one quarter to another as they wait for us to develop new features, assess their budget constraints, or forecast future business activity. Any delay in closing, or failure to close, sales in a particular quarter or year could significantly harm our projected growth rates and could cause our operating results to vary significantly.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Covenant restrictions in our existing or future debt instruments may limit our flexibility to operate and grow our business, and if we are not able to comply with such covenants or pay amounts when due, our lenders could accelerate our indebtedness, proceed against certain collateral, or exercise other remedies, which could have a material adverse effect on 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party to, and may in the future enter into, debt and other financing instruments that contain operating and financial covenants and other restrictions, and such instruments may also include equity-linked features, such as warrants. These covenants and restrictions, subject to certain exceptions, may limit our ability to, among other things, incur additional indebtedness, pay dividends or make distributions, redeem or repurchase our securities, make certain investments, grant liens on our assets, sell or dispose of material assets, or engage in acquisitions, mergers, or other strategic transactions. As a result, covenant restrictions in our existing or future debt instruments may limit our flexibility to operate and grow our business. In addition, these arrangements may include affirmative covenants that require us to take, or cause to be taken, specific actions by specified dates, and our ability to comply with such covenants depends on our future operating performance and other factors, including events outside of our control. In the past, we have been required to seek waivers, amendments, or forbearance from lenders or other counterparties, and we may be required to do so again in the future. There can be no assurance that any such waivers, amendments, or forbearance will be obtained on acceptable terms, or at all.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Complying with these covenants, as well as those that may be contained in any future debt agreements, may limit our ability to finance our future operations or working capital needs or to take advantage of future business opportunities. If we fail to comply with applicable covenants, reporting requirements, or other terms and conditions, and any default is not cured or waived, our lenders could accelerate our indebtedness, proceed against certain collateral, or exercise other remedies. If amounts are accelerated, we may not have sufficient liquidity to repay the obligations when due, and we may not be able to obtain additional financing or refinancing on acceptable terms, or at all. Any of the foregoing could materially and adversely affect our liquidity, business, results of operations, and financial condition.</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impacts of geopolitical, macroeconomic, and market conditions, including pandemics, epidemics, and other public health crises, have had, and may continue to have, a significant effect on our industry, which in turn affects how we and our customers are operating our respective businesses. Our business is susceptible to declines or disruptions in the demand for meetings and events, including those due to economic downturns, natural disasters, geopolitical upheaval, and global pandemics.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macroeconomic impacts of geopolitical events, such as pandemics, inflation, labor shortages, lack of access to capital, lack of consumer confidence, supply chain disruptions, and market volatility can pose risks to our and our customers’ business. Uncertainty about the duration of these negative macroeconomic conditions has impacted fiscal and monetary policy, including increases in interest rates, increased labor costs, and decreased corporate and consumer spending. The effects from a broadening or protracted extension of these conditions could result in a decrease in overall economic activity, hinder economic growth, or cause a recession in the United States or in the global economy. We sell our products throughout the United States and in other countries to commercial and non-profit customers. As a result, our business may be harmed by factors in the United States and other countries such as disruptions in financial markets; reductions in spending, or downturns in economic activity in specific countries or regions, or in the various industries in which we operate; social, political, or labor conditions in specific countries or regions; or adverse changes in the availability and cost of capital, interest rates, tax rates, or regulations. Further economic weakness and uncertainty may result in significantly decreased spending on our event marketing and management solutions, which may adversely affect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depends on discretionary corporate spending. Negative macroeconomic conditions may adversely affect our customers’ businesses and reduce our customers’ operating expense budgets, which could result in reduced demand for our product offerings or cancellations, increased demands for pricing accommodations or higher rates of delays in collection of, or losses on, our accounts receivable, which could adversely affect our results of operations and financial position. During periods of economic slowdown and recession, consumers have historically reduced their discretionary spending, and our ability to sign new customers, and to upsell to and renew contracts with our existing customers may be significantly impacted. Additionally, challenging economic conditions also may impair the ability of our customers to pay for products and services they have purchased. As a result, our cash flow may be negatively impacted and our allowance for credit losses and write-offs of accounts receivable may increase. If we are unable to offset any decrease in revenue by increasing sales to new or existing customers, or otherwise offset higher costs through price increases, our revenue may decline. The extent to which the ongoing impacts of these negative macroeconomic conditions will impact our business, results of operations, and financial position is uncertain and will depend on political, social, economic, and regulatory factors that are outside of our control, including actions that may be taken by regulators and businesses (including our customers) in response to the macroeconomic uncertainty. Our business and financial performance may be unfavorably impacted in future periods if a significant number of our customers are unable to continue as viable businesses or they significantly reduce their operating budgets, or if there is a reduction in business confidence and activity, a decrease in government, corporate and consumer spending, or a decrease in growth in the overall market, among other factors.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and financial performance are affected by the health of the worldwide meetings and events industry. Meetings and events are sensitive to business-related discretionary spending levels and tend to grow more slowly or even decline during economic downturns. Decreased expenditures by marketers and participants could also result in decreased demand for our product offerings, thereby causing a reduction in our sales. The impact of economic slowdowns on our business is difficult to predict but has and may continue to result in reductions in events and our ability to generate revenue.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Cybersecurity and data security breaches and ransomware attacks may create financial liabilities for us, damage our reputation, and harm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customers provide us with information that our solutions store, some of which is confidential information. In addition, we store personal information about our employees. We have security systems and information technology infrastructure designed to protect against unauthorized access to such information and money, but we may not be successful in protecting against all security breaches and cyber-attacks. Threats to and breaches of our information technology security can take various forms, including viruses, worms, ransomware, and other malicious software programs, or actions or omissions by an employee. Significant cybersecurity or data security breaches could result in the loss of business, litigation, regulatory investigations, loss of customers, and penalties that could damage our reputation and adversely affect the growth of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some cases, we must rely on the safeguards put in place by third parties to protect against security threats. These third parties, including vendors that provide products and services for our operations and our network of business application providers, could also be a source of security risk to us in the event of a failure of their own security systems and infrastructure, whether unintentionally or through a malicious backdoor. We do not review the software code included in third-party integrations in all instances.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 techniques used to obtain unauthorized access, sabotage systems, or otherwise access data and/or data backups change frequently and generally are not recognized until launched against a target, we or these third parties have been and, in the future, may be unable to anticipate these techniques or to implement adequate preventative measures. With the increasing frequency of cyber-related frauds to obtain inappropriate payments, we need to ensure our internal controls related to authorizing the transfer of funds are adequate. We may also be required to expend resources to remediate cyber-related incidents or to enhance and strengthen our cybersecurity. Any of these occurrences could create liability for us, put our reputation in jeopardy, and harm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Privacy and data security laws and regulations could impose additional costs and reduce demand for our solutions.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store and transmit personal information relating to our employees, customers, prospective customers, and other individuals, and our customers use our technology platform to store and transmit a significant amount of personal information relating to their customers, vendors, employees, and other industry participants. Federal, state, and foreign government bodies and agencies have adopted, and are increasingly adopting, laws and regulations regarding the collection, use, processing, storage, and disclosure of personal or identifying information obtained from customers and other individuals. These obligations have and will likely continue to increase the cost and complexity of delivering our services.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government regulation, privacy advocates and industry groups may propose various self-regulatory standards that may legally or contractually apply to our business. As new laws, regulations, and industry standards take effect, and as we offer new services in new markets, market segments and, potentially, new industries, we will need to understand and comply with various new requirements, which may impede our plans for growth or result in significant additional costs. These laws, regulations, and industry standards have had, and will likely continue to have, negative effects on our business, including by increasing our costs and operating expenses, and/or delaying or impeding our deployment of new or existing core functionality. Failure to comply with these laws, regulations, and industry standards could result in negative publicity, subject us to fines or penalties, expose us to litigation, or result in demands that we modify or cease existing business practices. Furthermore, privacy and data security concerns may cause our customers’ customers, vendors, employees, and other industry participants to resist providing the personal information necessary to allow our customers to use our applications effectively, which could reduce overall demand for our product offerings. Any of these outcomes could harm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product offerings, solutions, and internal systems, as well as external internet infrastructure, may be subject to disruption that could harm our reputation and future sales or result in claims against 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our operations involve delivering engagement solutions to our customers through a cloud-based software platform, our continued growth depends in part on the ability of our platform and related computer equipment, third-party data centers, infrastructure, and systems to continue to support our product offerings. In addition, in delivering our products to customers, we are reliant on internet infrastructure limitations. In the past, we have experienced temporary and limited platform disruptions, outages in our product functionality, and degraded levels of performance due to human and software errors, file corruption, and first and third-party capacity constraints associated with the number of customers accessing our products simultaneously. While our past experiences have not materially impacted us, in the future we may face more extensive disruptions, outages, or performance problems. In addition, malicious third parties may also conduct attacks designed to sabotage, impede the performance, or temporarily deny customers access to, our product offerings. If an actual or perceived disruption, outage, performance problem, or attack occurs, it could harm our reputation and the market perception of our product offerings; divert the efforts of our technical and management personnel; impair our ability to operate our business; cause us to lose customer information; or harm our customers’ businesses. Any of these events may increase non-renewals, limit our ability to acquire new customers, result in delayed or withheld payments from customers, or result in claims against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Undetected defects in our product offerings could harm our reputation or decrease market acceptance of our product offerings, which would harm our business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product offerings may contain undetected defects, such as errors or bugs. We have experienced such defects in the past in connection with new solutions and solution upgrades, and we expect that such defects may be found from time to time in the future. Despite testing by us, defects may not be found in our product offerings until they are deployed to or used by our customers. In the past, we have discovered software defects in our product offerings after they have been deployed to customers.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Defects, disruptions in service, or other performance problems may damage our customers’ business and could hurt our reputation. We may be required, or may choose, for customer relations or other reasons, to expend additional resources to correct actual or perceived defects in our product offerings. If defects are detected or perceived to exist in our product offerings, we may experience negative publicity, loss of competitive position, or diversion of the attention of our key personnel; our customers may delay or withhold payment to us or elect not to renew their subscriptions; other significant customer relations problems may arise; or we may be subject to liability claims for damages. A material liability claim or other occurrence that harms our reputation or decreases market acceptance of our product offerings may harm our business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rely on internet infrastructure, bandwidth providers, data center providers, other third parties, and our own systems for providing solutions to our customers, and any failure or interruption in the services provided by these third parties or our own systems could expose us to litigation and negatively impact our relationships with customers, adversely affecting our brand and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deliver our solutions is dependent on the development and maintenance of the infrastructure of the Internet and other telecommunications services by third parties. We currently host our technology platform, serve our customers and members, and support our operations primarily using third-party data centers and telecommunications solutions, including cloud infrastructure services such as Amazon Web Services (“AWS”) and Google Cloud. We do not have control over the operations of the facilities of our data center providers, AWS, or Google Cloud. These facilities are vulnerable to damage or interruption from earthquakes, hurricanes, floods, fires, cybersecurity attacks, terrorist attacks, power losses, telecommunications failures, and other events. The occurrence of a natural disaster or an act of terrorism, a decision to close the facilities without adequate notice, or other unanticipated problems could result in lengthy interruptions in our product offerings. The facilities also could be subject to break-ins, computer viruses, sabotage, intentional acts of vandalism, and other misconduct. Any errors, failures, interruptions, or delays experienced in connection with these third-party technologies and information services, or our own systems could negatively impact our relationships with customers and harm our business and could expose us to third-party liabilities.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some of these services, we may not maintain redundant systems or facilities. Our technology platform’s continuing and uninterrupted performance is critical to our success. Members may become dissatisfied by any system failure that interrupts our ability to provide our solutions to them. We may not be able to easily switch our AWS and Google Cloud operations to another cloud service provider if there are disruptions or interference with our use of AWS or Google Cloud. Sustained or repeated system failures would reduce the attractiveness of our technology platform to customers and members and result in contract terminations, thereby reducing revenue. Moreover, negative publicity arising from these types of disruptions could damage our reputation and may adversely impact use of our existing and future offerings. We may not carry sufficient business interruption insurance to compensate us for losses that may occur as a result of any events that cause interruptions in our service. Neither our third-party data and call center providers nor AWS or Google Cloud have an obligation to renew their agreements with us on commercially reasonable terms, or at all. If we are unable to renew our agreements with these providers on commercially reasonable terms, if our agreements with our providers are prematurely terminated, or if in the future we add additional data or call center providers or cloud service providers, we may experience costs or downtime in connection with the transfer to, or the addition of, new providers. If these providers were to increase the cost of their services, we may have to increase the price of our existing and future offerings. Any such increased costs or pricing may have a negative effect on our customer relationships and may adversely affect our business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fail to effectively maintain and enhance our brands, our business may suffer.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continuing to strengthen our brands will be critical to achieving widespread acceptance of our product offerings and will require continued focus on active marketing efforts. Our brand awareness efforts will require continued investment across our business, particularly as we introduce new solutions that we develop or acquire and as we continue to expand in new markets. Brand promotion activities may not yield increased revenue, and even if they do, any increased revenue may not offset the expenses incurred in building our brand. If we fail to promote and maintain our brands, or if we incur substantial expense in an unsuccessful attempt to promote and maintain our brand, our business could be harmed.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Any failure to offer high-quality customer support services could adversely affect our relationships with our customers and our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customers depend on our support to assist with their needs. We may be unable to accurately predict our customers’ demand for services or respond quickly enough to accommodate short-term increases in customer or member demand for services. Increased customer demand for our product offerings, without a corresponding increase in productivity or revenue, could increase costs and adversely affect our operating results. Any failure to maintain high-quality customer support, or a market perception that we do not maintain high-quality customer support, could adversely affect our reputation, our ability to sell our product offerings to existing and prospective customers, our relationships with third parties and our ability to form new partnerships, and our business and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ability to use our net operating loss to offset future taxable income may be subject to certain limitations.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incurred substantial losses during our history and do not expect to become profitable in the near future and may never achieve profitability. Under current U.S. federal income tax law, unused losses for the tax year ended December 31, 2017 and prior tax years will carry forward to offset future taxable income, if any, until such unused losses expire, and unused federal losses generated after December 31, 2017 will not expire and may be carried forward indefinitely, but will be only deductible to the extent of 80% of current year taxable income in any given year. Many states have similar laws.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both current and future unused net operating loss (“NOL”) carryforwards and other tax attributes may be subject to limitation under Sections 382 and 383 of the Code, if a corporation undergoes an “ownership change,” generally defined as a greater than 50 percentage point change (by value) in equity ownership by certain stockholders over a rolling three-year period. Additional ownership changes in the future could result in additional limitations on our NOL carryforwards. Consequently, even if we achieve profitability, we may not be able to utilize a material portion of our NOL carryforwards and other tax attributes, which could have a material adverse effect on cash flow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need to make significant investments in software development and equipment to improve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improve the scalability, security, performance, efficiency, availability, and failover aspects of our product offerings, and to support the expansion of our product offerings and stay competitive, we may need to make significant capital equipment expenditures and also invest in additional software and infrastructure development. If we experience increasing demand in subscriptions, we may not be able to augment our infrastructure quickly enough to accommodate such increasing demand. To reach the goal of supporting the increasing demand, we will need additional capital to make the investments in software development and equipment either through operations or through financing. Additionally, we are continually updating our software, creating expenses for us. We may also need to review or revise our software architecture and user experience as we grow, which may require significant resources and investments. Any of these factors could negatively impact our business and results of operations.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Adverse litigation results could have a material adverse impact on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have been, and may be involved in regulatory and government investigations and other proceedings, involving competition, intellectual property, data security and privacy, bankruptcy, tax and related compliance, labor and employment, commercial disputes, and other matters. Such claims, suits, actions, regulatory and government investigations, and other proceedings can impose a significant burden on management and employees, could prevent us from offering one or more of our products, services, or features to customers, could require us to change our technology or business practices, or could result in monetary damages, fines, civil or criminal penalties, reputational harm, or other adverse consequences. Adverse outcomes in some or all of these claims may result in significant monetary damages or injunctive relief that could adversely affect our ability to conduct our business. Litigation and other claims are subject to inherent uncertainties and management’s view of the materiality or likely outcome of any such matters may change in the future. A material adverse impact in our consolidated financial statements could occur for the period in which the effect of an unfavorable outcome becomes probable and reasonably estimable.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Failure to protect or enforce our intellectual property rights could harm our business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establish and protect our proprietary rights, we rely on a combination of trademarks and trade secrets, including know-how, license agreements, confidentiality procedures, non-disclosure agreements with third parties, employee disclosure and invention assignment agreements, and other contractual rights. As of December 31, 2025, we held three registered trademarks in the United States: “Banzai,” “Demio” and “OpenReel.” We believe that our intellectual property is an essential asset of our business. If we do not adequately protect our intellectual property, our brand and reputation could be harmed and competitors may be able to use our technologies and erode or negate any competitive advantage we may have, which could harm our business, negatively affect our position in the marketplace, limit our ability to commercialize our technology, and delay or render impossible our achievement of profitability. A failure to protect our intellectual property in a cost-effective and meaningful manner could have a material adverse effect on our ability to compete. We regard the protection of our intellectual property as critical to our success.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strive to protect our intellectual property rights by relying on federal, state, and common law rights and other rights provided under foreign laws. These laws are subject to change at any time and could further restrict our ability to protect or enforce our intellectual property rights. In addition, the existing laws of certain foreign countries in which we operate may not protect our intellectual property rights to the same extent as do the laws of the United States.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generally enter into confidentiality and invention assignment agreements with our employees and contractors, and confidentiality agreements with other parties, with whom we conduct business in order to limit access to, and disclosure and use of, our proprietary information. However, we may not be successful in executing these agreements with every party who has access to our confidential information or contributes to the development of our intellectual property.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agreements that we execute may be breached, and we may not have adequate remedies for any such breach. These contractual arrangements and the other steps we have taken to protect our intellectual property may not prevent the misappropriation of our intellectual property or deter independent development of similar intellectual property by others.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Obtaining and maintaining effective intellectual property rights is expensive, including the costs of monitoring unauthorized use of our intellectual property and defending our rights. We make business decisions about when to seek patent protection for a particular technology and when to rely upon trade secret protection, and the approach we select may ultimately prove to be inadequate. We strive to protect certain of our intellectual property rights through filing applications for trademarks, patents, and domain names in a number of jurisdictions, a process that is expensive and may not be successful in all jurisdictions. However, we do not seek such protection on all intellectual property and when we do apply for such protection there is no assurance that any resulting patents or other intellectual property rights will adequately protect such intellectual property, or provide us with any competitive advantages. Moreover, we cannot guarantee that any of our patent or trademark applications will issue or be approved. Even where we have intellectual property rights, if any, they may later be found to be unenforceable or have a limited scope of enforceability. In addition, we may not seek to pursue such protection in every jurisdiction. The United States Patent and Trademark Office also requires compliance with a number of procedural, documentary, fee payment, and other similar provisions during the patent application process and after a patent has issued. Noncompliance with such requirements and processes may result in abandonment or lapse of the patent or patent application, resulting in partial or complete loss of patent rights in the relevant jurisdiction, if previously issued. In such an event, our competitors might be able to develop and commercialize substantially similar and competing applications, which would harm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it is important to maintain, protect, and enhance our brands. Accordingly, we pursue the registration of domain names and our trademarks and service marks in the United States. Third parties may challenge our use of our trademarks, oppose our trademark applications, or otherwise impede our efforts to protect our intellectual property in certain jurisdictions. In the event that we are unable to register our trademarks in certain jurisdictions, we could be forced to rebrand our solutions, which would result in loss of brand recognition and could require us to devote resources to advertising and marketing new brands. Our competitors and others could also attempt to capitalize on our brand recognition by using domain names or business names similar to ours. Domain names similar to ours have been registered in the United States and elsewhere. We may be unable to prevent third parties from acquiring or using domain names and other trademarks that infringe on, are similar to, or otherwise decrease the value of, our brands, trademarks, or service marks. We also may incur significant costs in enforcing our trademarks against those who attempt to imitate our brand and other valuable trademarks and service marks.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protect our intellectual property rights, we may be required to spend significant resources to monitor and protect these rights. We may not be able to detect infringement or unauthorized use of our intellectual property rights, and defending or enforcing our intellectual property rights, even if successfully detected, prosecuted, enjoined, or remedied, could result in the expenditure of significant financial and managerial resources. Litigation has in the past and may be necessary in the future to enforce our intellectual property rights, protect our proprietary rights, or determine the validity and scope of proprietary rights claimed by others. Any litigation of this nature, regardless of outcome or merit, could result in substantial costs and diversion of management and technical resources, any of which could harm our business. Furthermore, our efforts to enforce our intellectual property rights may be met with defenses, counterclaims, countersuits, and adversarial proceedings such as oppositions, inter partes review, post-grant review, re-examination, or other post-issuance proceedings, that attack the validity and enforceability of our intellectual property rights. An adverse determination of any litigation proceeding could adversely affect our ability to protect the intellectual property associated with our product offerings. Further, because of the substantial amount of discovery required in connection with intellectual property litigation, there is a risk that some of our confidential or sensitive information could be compromised by disclosure in the event of litigation. In addition, during the course of litigation there could be public announcements of the results of hearings, motions, or other interim proceedings or developments. If securities analysts or investors perceive these results to be negative, it could have a substantial adverse effect on the price of Class A Common Stock. If we fail to maintain, protect, and enhance our intellectual property rights, our business may be harmed and the market price of Class A Common Stock could decline.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competitors also may independently develop similar technology that does not infringe on or misappropriate our intellectual property rights. The laws of some foreign countries may not be as protective of intellectual property rights as those in the United States, and mechanisms for enforcement of intellectual property rights may be inadequate. Effective patent, trademark, copyright, and trade secret protection may not be available to us in every country in which our solutions or technology are developed. Further, legal standards relating to the validity, enforceability, and scope of protection of intellectual property rights are uncertain. The laws in the United States and elsewhere change rapidly, and any future changes could adversely affect us and our intellectual property. Our failure to meaningfully protect our intellectual property could result in competitors offering solutions that incorporate our most technologically advanced features, which could seriously reduce demand for existing and future offerings.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Third parties may initiate legal proceedings alleging that we are infringing or otherwise violating their intellectual property rights, the outcome of which would be uncertain and could harm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success depends in part on our ability to develop and commercialize our offerings and use our proprietary technology without infringing the intellectual property or proprietary rights of third parties. Intellectual property disputes can be costly to defend and may cause our business, operating results, and financial condition to suffer. As the MarTech industry in the United States expands and more patents are issued, the risk increases that there may be patents issued to third parties that relate to our offerings and technology of which we are not aware or that we must challenge to continue our operations as currently contemplated. Whether merited or not, we may face allegations that we, our partners, our licensees, or parties indemnified by us have infringed or otherwise violated the patents, trademarks, copyrights, or other intellectual property rights of third parties. Such claims may be made by competitors seeking to obtain a competitive advantage or by other parties.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in recent years, individuals and groups have begun purchasing intellectual property assets for the purpose of making claims of infringement and attempting to extract settlements from companies like ours. We may also face allegations that our employees have misappropriated the intellectual property or proprietary rights of their former employers or other third parties. It may in the future be necessary for us to initiate litigation to defend ourselves in order to determine the scope, enforceability, and validity of third-party intellectual property or proprietary rights, or to establish our respective rights. Regardless of whether claims that we are infringing patents or other intellectual property rights have merit, such claims can be time-consuming, divert management’s attention and financial resources, and can be costly to evaluate and defend. Results of any such litigation are difficult to predict and may require us to stop commercializing or using our solutions or technology, obtain licenses, modify our solutions and technology while we develop non-infringing substitutes, or incur substantial damages, settlement costs, or face a temporary or permanent injunction prohibiting us from marketing or providing the affected solutions. If we require a third-party license, it may not be available on reasonable terms or at all, and we may have to pay substantial royalties, upfront fees, or grant cross-licenses to intellectual property rights for our solutions. We may also have to redesign our solutions so that they do not infringe third-party intellectual property rights, which may not be possible or may require substantial monetary expenditures and time, during which our technology and solutions may not be available for commercialization or use. Even if we have an agreement to indemnify us against such costs, the indemnifying party may be unable to uphold its contractual obligations. If we cannot or do not obtain a third-party license to the infringed technology, license the technology on reasonable terms, or obtain similar technology from another source, our revenue and earnings could be adversely impacted.</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have been and may be subject to legal proceedings and claims in the ordinary course of business with respect to intellectual property. Some third parties may be able to sustain the costs of complex litigation more effectively than we can because they have substantially greater resources. 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material adverse effect on the price of Class A Common Stock. Moreover, any uncertainties resulting from the initiation and continuation of any legal proceedings could have a material adverse effect on our ability to raise the funds necessary to continue our operations. Assertions by third parties that we violate their intellectual property rights could therefore harm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use of open source software could adversely affect our ability to offer our solutions and subject us to possible litigation.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use open source software in connection with our existing offerings and may continue to use open source software in connection with our future offerings. Some of these licenses contain requirements that we make available source code for modifications or derivative works we create based upon the open source software, and that we license such modifications or derivative works under the terms of a particular open source license or other license granting third-parties certain rights of further use. By the terms of certain open source licenses, we could be required to release the source code of our proprietary software and to make our proprietary software available under open source licenses, if we combine and/or distribute our proprietary software with open source software in certain manners. Although we monitor our use of open source software, we cannot be sure that all open source software is reviewed prior to use in our proprietary software, that our programmers have not incorporated open source software into our proprietary software, or that they will not do so in the future. Additionally, the terms of many open source licenses to which we are subject have not been interpreted by U.S. or foreign courts.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a risk that open source software licenses could be construed in a manner that imposes unanticipated conditions or restrictions on our ability to provide our existing and future offerings to our customers and members. In addition, the terms of open source software licenses may require us to provide software that we develop using such open source software, to others, including our competitors, on unfavorable license terms. As a result of our current or future use of open source software, we may face claims or litigation, be required to release our proprietary source code, pay damages for breach of contract, re-engineer our technology, discontinue sales in the event re-engineering cannot be accomplished on a timely basis, or take other remedial action that may divert resources away from our development efforts, any of which could harm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the Ownership of Our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 order to support the growth of our business and repay our indebtedness, we will need to seek capital through new equity or debt financings or incur additional indebtedness under our credit facilities, which sources of additional capital may not be available to us on acceptable terms or at 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operations have consumed substantial amounts of cash since inception, and we intend to continue to make significant investments to support our business growth, respond to business challenges or opportunities, develop new applications and solutions, enhance our existing product offerings, enhance our operating infrastructure, and acquire complementary businesses and technologies. For the years ended December 31, 2025 and 2024, our net cash used in operating activities was $15.7 million and $9.6 million, respectively. As of December 31, 2025 and 2024, we had $0.3 million and $1.1 million of cash, respectively, which were held for working capital purposes. As of December 31, 2025 and 2024, we had borrowings totaling $10.6 million and $12.4 million, respectively, outstanding under our term loans and promissory notes.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capital requirements may be significantly different from previous estimates and will depend on many factors, including the need to:</w:t>
      </w:r>
    </w:p>
    <w:p>
      <w:pPr>
        <w:pStyle w:val="TextBody"/>
        <w:bidi w:val="0"/>
        <w:spacing w:before="0" w:after="0"/>
        <w:ind w:left="0" w:right="0" w:firstLine="360"/>
        <w:jc w:val="both"/>
        <w:rPr>
          <w:caps w:val="false"/>
          <w:smallCaps w:val="false"/>
        </w:rPr>
      </w:pPr>
      <w:r>
        <w:rPr>
          <w:caps w:val="false"/>
          <w:smallCaps w:val="false"/>
        </w:rPr>
        <w:t> </w:t>
      </w:r>
    </w:p>
    <w:tbl>
      <w:tblPr>
        <w:tblW w:w="7285" w:type="dxa"/>
        <w:jc w:val="left"/>
        <w:tblInd w:w="0" w:type="dxa"/>
        <w:tblLayout w:type="fixed"/>
        <w:tblCellMar>
          <w:top w:w="0" w:type="dxa"/>
          <w:left w:w="0" w:type="dxa"/>
          <w:bottom w:w="0" w:type="dxa"/>
          <w:right w:w="0" w:type="dxa"/>
        </w:tblCellMar>
      </w:tblPr>
      <w:tblGrid>
        <w:gridCol w:w="75"/>
        <w:gridCol w:w="110"/>
        <w:gridCol w:w="7100"/>
      </w:tblGrid>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71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finance unanticipated working capital requirements;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71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71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 or enhance our technological infrastructure and our existing product offerings;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71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71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fund strategic relationships, including joint ventures and co-investments;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71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71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fund additional implementation engagements;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71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71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respond to competitive pressures;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71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71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acquire complementary businesses, technologies, products, or services.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we may need to engage in equity or debt financing to secure additional funds. We entered into the Standby Equity Purchase Agreement (“SEPA”) with an entity managed by Yorkville to provide liquidity to us after the Business Combination, but there can be no guarantee that we will be able to affect any advances under the SEPA or to secure additional financing on favorable terms, or at all. To the extent that cash on hand and cash generated from operations are not sufficient to fund capital requirements, or if we do not meet the conditions to sell shares to Yorkville under the SEPA, we may require proceeds from asset sales, additional debt, equity financing, or alternative financing structures. Additional financing may not be available on favorable terms, or at all.</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raise additional funds through further issuances of equity or convertible debt securities, including shares of Class A Common Stock issued in connection with advances under the SEPA or upon exercise of the GEM Warrant, our existing stockholders could suffer significant dilution, and any new equity securities we issue could have rights, preferences, and privileges superior to those of holders of shares of our Class A Common Stock. Any debt financing secured by us in the future could involve additional restrictive covenants relating to our capital-raising activities and other financial and operational matters, which may make it more difficult for us to obtain additional capital and to pursue business opportunities, including potential acquisitions. In addition, during times of economic instability, it has been difficult for many companies to obtain financing in the public markets or to obtain debt financing, and we may not be able to obtain additional financing on commercially reasonable terms, if at all. If we are unable to obtain adequate financing or financing on terms satisfactory to us when we need or want it, it could harm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Future sales of shares of Class A Common Stock may depress the stock price.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sales of shares of Class A Common Stock in the public market, including the resale of shares pursuant to our effective registration statements or pursuant to Rule 144, could depress the stock price. See “</w:t>
      </w:r>
      <w:r>
        <w:rPr>
          <w:rFonts w:ascii="Times New Roman;Times;Serif" w:hAnsi="Times New Roman;Times;Serif"/>
          <w:b w:val="false"/>
          <w:i/>
          <w:caps w:val="false"/>
          <w:smallCaps w:val="false"/>
          <w:sz w:val="20"/>
        </w:rPr>
        <w:t>Risk Factors – Sales of a substantial number of shares of Class A Common Stock in the public market pursuant to our registration statements could reduce the market price of Class A Common Stock.”</w:t>
      </w:r>
      <w:r>
        <w:rPr>
          <w:rFonts w:ascii="Times New Roman;Times;Serif" w:hAnsi="Times New Roman;Times;Serif"/>
          <w:b w:val="false"/>
          <w:i w:val="false"/>
          <w:caps w:val="false"/>
          <w:smallCaps w:val="false"/>
          <w:sz w:val="20"/>
        </w:rPr>
        <w:t xml:space="preserve">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Issuances of shares of our Class A Common Stock pursuant to any equity lines of credit, the conversion or settlement of amounts outstanding under convertible notes, or the exercise of warrants may result in substantial dilution of our stockholders and may have a negative impact on the market price of our Class A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outstanding equity lines of credit, convertible notes, and warrants, pursuant to which we may issue shares of our Class A Common Stock from time to time. The issuance of shares of our Class A Common Stock pursuant to any of these securities could be substantial and would increase the number of shares of our Class A Common Stock outstanding, which could result in significant dilution to our existing stockholders and could have a negative impact on the market price of our Class A Common Stock. The extent of any such dilution will depend on the number of shares issued, the price at which such shares are issued, and other factors, many of which are beyond our control. These transactions are described in </w:t>
      </w:r>
      <w:r>
        <w:rPr>
          <w:rFonts w:ascii="Times New Roman;Times;Serif" w:hAnsi="Times New Roman;Times;Serif"/>
          <w:b w:val="false"/>
          <w:i/>
          <w:caps w:val="false"/>
          <w:smallCaps w:val="false"/>
          <w:sz w:val="20"/>
        </w:rPr>
        <w:t>Note 12 – Debt</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caps w:val="false"/>
          <w:smallCaps w:val="false"/>
          <w:sz w:val="20"/>
        </w:rPr>
        <w:t>Note 15 – Equity</w:t>
      </w:r>
      <w:r>
        <w:rPr>
          <w:rFonts w:ascii="Times New Roman;Times;Serif" w:hAnsi="Times New Roman;Times;Serif"/>
          <w:b w:val="false"/>
          <w:i w:val="false"/>
          <w:caps w:val="false"/>
          <w:smallCaps w:val="false"/>
          <w:sz w:val="20"/>
        </w:rPr>
        <w:t xml:space="preserve"> to the consolidated financial statements elsewhere in our 2025 Annual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It is not possible to predict the actual number of shares we will sell under certain of our outstanding equity facilities, or the actual gross proceeds resulting from those sales. Further, we may not have access to the full amount available under such facilities.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an ATM Agreement and a SEPA, which is similar to an equity line of credit, under which we can sell shares of our Class A Common Stock. Under the SEPA, Yorkville has committed to purchase up to $100 million of Class A Common Stock during the SEPA Commitment Period, subject to the terms and conditions of the SEPA. Under the ATM Agreement, we may sell shares of our Class A Common Stock up to an aggregate market value of $7,525,033, subject to the terms and conditions of the ATM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generally have the right to control the timing and amount of any sales of shares of Class A Common Stock under the SEPA and the ATM Agreement, there are various terms and conditions that may limit our ability to utilize these agreements when needed. For example, under the SEPA, we may only sell shares to Yorkville if there is an effective Resale Registration Statement filed with the SEC for the resale under the Securities Act, and if there are Yorkville promissory notes outstanding, Yorkville may require us to issue shares of our Class A Common Stock in satisfaction of amounts outstanding thereunder.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sales of Class A Common Stock under the SEPA and under the ATM Agreement, will depend upon market conditions and other factors to be determined by us, and we may ultimately elect to utilize less than the full amounts available under the respective programs.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because the purchase price per share for shares that we may elect to sell under the SEPA or the ATM Agreement fluctuates based on the market price of our Class A Common Stock, it is not possible for us to predict the number of shares we will ultimately sell or the aggregate gross proceeds from such sales, and the gross proceeds we receive may be substantially less than the amounts available to us under the SEPA or the ATM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stock is subject to requirements to remain listed on the Nasdaq Capital Market, including a minimum bid price requirement and stockholders’ equity requirement, and may be delisted if it does not maintain or regain, as applicable, compliance with those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Marketplace Rule 5550(a)(2) requires a minimum bid price of $1.00 per share for primary equity securities listed on the Nasdaq Capital Market (the “Minimum Bid Price Requirement”). To regain compliance with the Minimum Bid Price Requirement, we effected the September Reverse Stock Split on September 19, 2024 and subsequently we effected the July Reverse Stock Split on July 8, 2025. Following the July Reverse Stock Split, the bid price of our Class A Common Stock surpassed $1.00 per share.</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Nasdaq rules do not impose a specific limit on the number of times a listed company may effect a reverse stock split to maintain or regain compliance with the Minimum Bid Price Requirement, Nasdaq has stated that a series of reverse stock splits may undermine investor confidence in securities listed on Nasdaq. In addition, Nasdaq Listing Rule 5810(c)(3)(A)(iv) states that if any listed company that fails to meet the Minimum Bid Price Requirement after effecting one or more reverse stock splits over the prior two-year period with a cumulative ratio of 250 shares or more to one, then the company is not eligible for a Minimum Bid Price Requirement compliance period of 180 days. As a result, if we default on this requirement again, since we effected the 1-for-50 September Reverse Stock Split and the 1-for-10 July Reverse Split, Nasdaq would begin the process of delisting our Class A Common Stock without providing a Minimum Bid Price Requirement compliance period. However, we could still be eligible to request a hearing before the Nasdaq Panel to present its plan for regaining and sustaining compliance with the Minimum Bid Price Requirement.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Class A Common Stock ceases to be listed for trading on the Nasdaq Capital Market, we expect that our Class A Common Stock would be traded on one of the three tiered marketplaces of the OTC Markets Group. If Nasdaq were to delist our Class A Common Stock, it would be more difficult for our stockholders to dispose of our Class A Common Stock and more difficult to obtain accurate price quotations on our Class A Common Stock. Our ability to issue additional securities for financing or other purposes, or otherwise to arrange for any financing we may need in the future, may also be materially and adversely affected if our Class A Common Stock or warrants are not listed on a national securities exchange.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Nasdaq may delist our securities from trading on its exchange, which could limit investors’ ability to make transactions in our securities and subject us to additional trading restrictions.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Previously, we were not in compliance with certain Nasdaq listing rules and had a hearing before The Nasdaq Panel, on September 19, 2024. Following that hearing, the Panel determined to phase our Class A Common Stock down from The Nasdaq Global Market to The Nasdaq Capital Market. Since October 31, 2024, our Class A Common Stock trades on The Nasdaq Capital Market, under the same symbol, BNZI. Later, we fell out of compliance with Listing Rule 5450(b)(2)(A) (the (“Market Value of Listed Securities”), but the Nasdaq Stock Market LLC, Office of the General Counsel ultimately determined we demonstrated compliance therewith. There can be no assurance that we will be able to maintain compliance with Nasdaq listing standards.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for any reason, we fall out of compliance again or Nasdaq delists our securities from trading on its exchange and we are not able to list our securities on another national securities exchange, we expect our securities could be quoted on an over-the-counter market. If this were to occur, we could face significant material adverse consequences, including:</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limited availability of market quotations for our securities;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reduced liquidity for our securities;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decrease in the number of institutional and general investors that will consider investing in our Class A Common Stock;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determination that our Class A Common Stock is a “penny stock” which will require brokers trading in our Class A Common Stock to adhere to more stringent rules and possibly result in a reduced level of trading activity in the secondary trading market for our securities;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limited amount of news and analyst coverage;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reduction in the number of market makers for our Class A Common stock and the number of broker-dealers willing to execute trades in shares of our Class A Common Stock;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decreased ability to issue additional securities or obtain additional financing in the future;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being subject to regulation in each state in which we offer our securities.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our Class A Common Stock ceases to be listed on a national securities exchange it will become subject to the so-called “penny stock” rules that impose restrictive sales practice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maintain the listing of our Class A Common Stock on The Nasdaq Capital Market or another national securities exchange, our Class A Common Stock could become subject to the so-called “penny stock” rules if the shares have a market value of less than $5.00 per share. The SEC has adopted regulations that define a penny stock to include any stock that has a market price of less than $5.00 per share, subject to certain exceptions, including an exception for stock traded on a national securities exchange. The SEC regulations impose restrictive sales practice requirements on broker-dealers who sell penny stocks to persons other than established customers and accredited investors. For transactions covered by this rule, the broker-dealer must make a special suitability determination for the purchaser and must have received the purchaser’s written consent to the transaction prior to sale. This means that if we are unable maintain the listing of our Class A Common Stock on a national securities exchange, the ability of stockholders to sell their common stock in the secondary market could be adversely affected. If a transaction involving a penny stock is not exempt from the SEC’s rule, a broker-dealer must deliver a disclosure schedule relating to the penny stock market to each investor prior to a transaction. The broker-dealer also must disclose the commissions payable to both the broker-dealer and its registered representative, current quotations for the penny stock, and, if the broker-dealer is the sole market-maker, the broker-dealer must disclose this fact and the broker-dealer’s presumed control over the market. Finally, monthly statements must be sent disclosing recent price information for the penny stock held in the customer’s account and information on the limited market in penny stocks.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dual class common stock structure has the effect of concentrating significant voting power with our Chief Executive Officer and Co-Founder, Joseph Davy, which may limit an investor’s ability to influence the outcome of important transactions, including a change in control.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of our Class B Common Stock, par value $0.0001 per share (the “Class B Common Stock,” together with the Class A Common Stock, the “Common Stock”), have 10 votes per share, while shares of our Class A Common Stock have one vote per share. Mr. Davy, who is our Chief Executive Officer and is Legacy Banzai’s Co-Founder, including his affiliates and permitted transferees, holds all of the issued and outstanding shares of Class B Common Stock. Accordingly, Mr. Davy held, directly or indirectly, approximately 26.93% of our outstanding voting power as of April 14, 2026 and therefore may be able to significantly influence matters submitted to our stockholders for approval, including the election of directors, amendments of our organizational documents and any merger, consolidation, sale of all or substantially all of our assets or other major corporate transactions. Mr. Davy may have interests that differ from yours and may vote in a way with which you disagree, and which may be adverse to your interests. This significant concentration of voting power may have the effect of delaying, preventing, or deterring a change in control, could deprive our stockholders of an opportunity to receive a premium for their capital stock as part of a sale, and might ultimately affect the market price of Class A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market price of our Class A Common Stock has been, and is likely to continue to be, highly volatile, and you may lose some or all of your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price of our Class A Common Stock has fluctuated, and may continue to fluctuate, significantly due to a number of factors, some of which may be beyond our control, including those factors discussed in this “Risk Factors” section and many others, such as: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actual or anticipated fluctuations in our financial condition and operating results, including fluctuations in its quarterly and annual results;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developments involving our competitors;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laws and regulations affecting our business;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variations in our operating performance and the performance of its competitors in general;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public’s reaction to our press releases, its other public announcements and its filings with the SEC;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additions and departures of key personnel;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announcements of significant acquisitions, strategic partnerships, joint ventures or capital commitments by us or our competitors;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failure to meet the estimates and projections of the investment community or that it may otherwise provide to the public;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publication of research reports about us or our industry, or positive or negative recommendations or withdrawal of research coverage by securities analysts;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market valuations of similar companies;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overall performance of the equity markets;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Class A Common Stock by us or our stockholders in the future;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volume of Class A Common Stock;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lawsuits, including stockholder litigation;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comply with the requirements of Nasdaq;</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any natural disasters, pandemics, epidemics, or other public health emergencies;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economic, industry and market conditions and other events or factors, many of which are beyond our control;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accounting standards, policies, guidelines, interpretations, or principles.</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Volatility in the price of our Class A Common Stock could subject us to securities class action litigation.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past, securities class action litigation has often been brought against a company following a decline in the market price of its securities. If we face such litigation, it could result in substantial costs and a diversion of management’s attention and resources, which could harm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securities or industry analysts do not publish research or reports about us, or publish negative reports, then our stock price and trading volume could decline.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market for our Class A Common Stock will depend, in part, on the research and reports that securities or industry analysts publish about us. We do not have any control over these analysts. If our financial performance fails to meet analyst estimates or one or more of the analysts who cover us downgrade our Class A Common Stock or change their opinion, then the market price of our Class A Common Stock would likely decline. If one or more of these analysts cease coverage of us or fail to regularly publish reports on us, we could lose visibility in the financial markets, which could cause the market price of our Class A Common Stock or trading volume to decline.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incurred and will continue to incur increased costs and demands upon management as a result of complying with the laws and regulations affecting public companies, which could adversely affect our business, results of operations, and financial condition.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public company, we are subject to the reporting requirements of the Exchange Act, the listing standards of Nasdaq, and other applicable securities rules and regulations. We expect that the requirements of these rules and regulations will continue to increase our legal, accounting, and financial compliance costs, make some activities more difficult, time-consuming, and costly, and place significant strain on our personnel, systems and resources. For example, the Exchange Act requires, among other things, that we file annual, quarterly, and current reports with respect to our business and results of operations. As a result of the complexity involved in complying with the rules and regulations applicable to public companies, our management’s attention may be diverted from other business concerns, which could harm our business, results of operations, and financial condition. Although we have already hired additional employees and engaged outside consultants to assist us in complying with these requirements, we will need to hire more employees in the future or may need to engage additional outside consultants, which will increase our operating expenses.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These factors could result in continuing uncertainty regarding compliance matters and higher costs necessitated by ongoing revisions to disclosure and governance practices. We intend to invest substantial resources to comply with evolving laws, regulations, and standards, and this investment may result in increased general and administrative expenses and a diversion of management’s time and attention from business operations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harmed. We also expect that being a public company and these new rules and regulations will make it more expensive for us to obtain director and officer liability insurance, and we may be required to accept reduced coverage or incur substantially higher costs to obtain coverage. These factors could also make it more difficult for us to attract and retain qualified members of our Board, particularly to serve on our audit committee and compensation committee, and qualified executive officers. As a result of disclosure of information in this prospectus and in our other public filings, our business and financial condition will become more visible, which may result in pricing pressure from customers or an increased risk of threatened or actual litigation, including by competitors and other third parties. If such claims are successful, our business and results of operations could be harmed, and even if the claims do not result in litigation or are resolved in our favor, these claims, and the time and resources necessary to resolve them, could divert the resources of its management and harm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identified material weaknesses in our internal control over financial reporting in the past. If we are unable to remediate these material weaknesses, or if we identify additional material weaknesses in the future or otherwise fail to maintain an effective system of internal controls, we may not be able to accurately or timely report our financial condition or results of operations, which may adversely affect our business and stock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Closing of the Business Combination, Legacy Banzai was a private company with limited accounting personnel to adequately execute its accounting processes and limited supervisory resources with which to address its internal control over financial reporting. In connection with the audit of Legacy Banzai’s financial statements as of and for the year ended December 31, 2022 and continuing through the year ended December 31, 2024, the Company identified material weaknesses in its internal control over financial reporting; the Company has also identified material weaknesses in 2025. A material weakness is a deficiency or a combination of deficiencies, in internal control over financial reporting, such that there is a reasonable possibility that a material misstatement of Legacy Banzai’s annual or interim financial statements will not be prevented or detected on a timely basis.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Legacy Banzai did not design or maintain an effective control environment under the rules and regulations of the SEC. Accordingly and specifically, (i) management does not have appropriate IT general controls in place over change management, user access, cybersecurity, and reviews of service organizations, (ii) management does not have suitable entity level controls in place in accordance with the criteria set forth by the Committee of Sponsoring Organizations of the Treadway Commission in Internal Control - Integrated Framework (2013) (“COSO”), including reviews of the financial statements, and certain entity level controls were not performed by management, and (iii) pervasive transactional and account level reconciliations and analyses are not performed, or not performed with sufficient detail to prevent or detect a material weakness. These issues related to management’s controls over the review of complex significant transactions, complex debt and equity, income and sales taxes, and revenue recognition.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taken certain steps, such as recruiting additional personnel, in addition to utilizing third-party consultants and specialists, to supplement our internal resources, to enhance our internal control environment and plans to take additional steps to remediate the material weaknesses. Although we plan to complete this remediation process as quickly as possible, we cannot at this time estimate how long it will take. We cannot assure you that the measures taken to date and to be taken in the future, will be sufficient to remediate the control deficiencies that led to Legacy Banzai’s material weakness in internal control over financial reporting or that it will prevent or avoid potential future material weaknesses. If the steps we take do not correct the material weakness in a timely manner, we will be unable to conclude that we maintain effective internal control over financial reporting. Accordingly, there could continue to be a reasonable possibility that a material misstatement of our financial statements would not be prevented or detected on a timely basis.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failure to remediate existing material weaknesses, or to develop or maintain effective controls or any difficulties encountered in their implementation or improvement could harm our results of operations or cause us to fail to meet our reporting obligations and may result in a restatement of our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 meet these requirements, we may not be able to remain listed on Nasdaq. We will not be required to comply with the SEC rules that implement Section 404 of the Sarbanes-Oxley Act of 2002 (the “Sarbanes-Oxley Act”) and will therefore not be required to make a formal assessment of the effectiveness of control over financial reporting for that purpose. As a public company, we will be required to provide an annual management report on the effectiveness of our internal control over financial reporting commencing with our second annual report on Form 10-K. Our independent registered public accounting firm will not be required to formally attest to the effectiveness of our internal control over financial reporting until after we are no longer a “smaller reporting company” and a “non-accelerated filer” as defined in Item 10(f)(1) of Regulation S-K, and Rule 12b-2 of the Exchange Act, respectively. At such time, our independent registered public accounting firm may issue a report that is adverse in the event it is not satisfied with the level at which our internal control over financial reporting is documented, designed, or operating. Any failure to maintain effective disclosure controls and internal control over financial reporting could have an adverse effect on our business and results of operations and could cause a decline in the price of our Class A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executive officers and directors collectively beneficially own approximately 27.47% of the voting power of our outstanding Common Stock and may have significant influence over the outcome of important transactions, including a change in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executive officers and directors, in the aggregate, beneficially own approximately 27.47% of the voting power of our outstanding shares of Common Stock as of the date of this prospectus, based on the number of shares outstanding as of April 14, 2026. As a result, these stockholders, if acting together, may be able to significantly influence matters requiring approval by our stockholders, including the election of directors and the approval of mergers, acquisitions, or other extraordinary transactions. They may also have interests that differ from yours and may vote in a way with which you disagree, and which may be adverse to your interests. This significant ownership position may have the effect of delaying, preventing, or deterring a change in control of the Company, could deprive our stockholders of an opportunity to receive a premium for their Class A Common Stock as part of the sale of the Company, and might ultimately affect the market price of our Class A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It is not currently anticipated that we will pay dividends on shares of our Class A Common Stock, and, consequently, your ability to achieve a return on your investment will depend on appreciation, if any, in the market price of Class A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currently anticipated that we will retain future earnings for the development, operation, and expansion of the business, and we do not anticipate declaring or paying any cash dividends for the foreseeable future. Any return to our stockholders will therefore be limited to the appreciation of their shares of Class A Common Stock. There is no guarantee that shares of Class A Common Stock will appreciate in value or even maintain the price at which stockholders have purchased their shares of Class A Common Stock.</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DGCL and our Charter and Bylaws contain certain provisions, including anti-takeover provisions, that limit the ability of stockholders to take certain actions and could delay or discourage takeover attempts that stockholders may consider favorable.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Charter, our Bylaws and the DGCL contain provisions that could have the effect of rendering more difficult, delaying, or preventing an acquisition deemed undesirable by the Board and therefore depress the trading price of our Class A Common Stock. These provisions could also make it difficult for stockholders to take certain actions, including electing directors who are not nominated by the current members of the Board or taking other corporate actions, including effecting changes in our management. Among other things, our Charter and/or Bylaws include provisions regarding:</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shares of our Class B Common Stock are entitled to 10 votes per share;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of the Board to issue shares of Preferred Stock, $0.0001 par value per share (“Preferred Stock”), including “blank check” preferred stock and to determine the price and other terms of those shares, including preferences and voting rights, without stockholder approval, which could be used to significantly dilute the ownership of a hostile acquirer;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of our stockholders to take action by written consent in lieu of a meeting;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limitation of the liability of, and the indemnification of, our directors and officers;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requirement that a special meeting of stockholders may be called only by a majority of the entire Board, the chairperson of the Board or the Chief Executive Officer which could delay the ability of stockholders to force consideration of a proposal or to take action, including the removal of directors;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controlling the procedures for the conduct and scheduling of Board and stockholder meetings;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of the Board to amend the Bylaws, which may allow the Board to take additional actions to prevent an unsolicited takeover and inhibit the ability of an acquirer to amend the Bylaws to facilitate an unsolicited takeover attempt;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advance notice procedures with which stockholders must comply to nominate candidates to the Board or to propose matters to be acted upon at a stockholders’ meeting, which could preclude stockholders from bringing matters before annual or special meetings of stockholders and delay changes in the Board, and also may discourage or deter a potential acquirer from conducting a solicitation of proxies to elect the acquirer’s own slate of directors or otherwise attempting to obtain control of us.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Likewise, because our principal executive offices are located in Washington, the anti-takeover provisions of the Washington Business Corporation Act (the “WBCA”) may apply to us under certain circumstances now or in the future. These provisions prohibit a “target corporation” from engaging in any of a broad range of business combinations with any stockholder constituting an “acquiring person” for a period of five years following the date on which the stockholder became an “acquiring person.”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provisions, alone or together, could delay or prevent hostile takeovers and changes in control or changes in the Board or our management.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our Charter includes a provision substantially similar to Section 203 of the DGCL, which may prohibit certain stockholders holding 15% or more of our outstanding capital stock from engaging in certain business combinations with us for a specified period of time.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Charter designates the Court of Chancery of the State of Delaware and, to the extent enforceable, the federal district courts of the United States of America as the exclusive forums for substantially all disputes between us and our stockholders, which restricts our stockholders’ ability to choose the judicial forum for disputes with us or our directors, officers, or employees.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Charter provides that the Court of Chancery of the State of Delaware is the exclusive forum for the following types of claims or causes of action under Delaware statutory or common law: any derivative claims or causes of action brought on our behalf; any claims or causes of action asserting a breach of a fiduciary duty; any action asserting a claim against us arising pursuant to the DGCL, our Charter, or our Bylaws; or any action asserting a claim against us that is governed by the internal affairs doctrine. In addition, our Charter provides that the federal district courts of the United States of America will be the exclusive forum for resolving any complaint asserting a cause of action arising under the Securities Act. These choice of forum provisions will not apply to suits brought to enforce a duty or liability created by the Exchange Act or any other claim for which the federal courts have exclusive jurisdiction. Such provisions are intended to benefit and may be enforced by us and our officers and directors, employees and agents.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provisions may benefit us by providing increased consistency in the application of Delaware law and federal securities laws by chancellors and judges, as applicable, particularly experienced in resolving corporate disputes, efficient administration of cases on a more expedited schedule relative to other forums and protection against the burdens of multi-forum litigation. These choice of forum provisions may limit a stockholder’s ability to bring a claim in a judicial forum that it finds favorable for disputes with us or our directors, officers, or other employees, which may discourage lawsuits with respect to such claims or make such lawsuits more costly for stockholders, although our stockholders will not be deemed to have waived our compliance with federal securities laws and the rules and regulations thereunder. While the Delaware courts have determined that such choice of forum provisions are facially valid, a stockholder may nevertheless seek to bring a claim in a venue other than those designated in the exclusive forum provisions, and there can be no assurance that such provisions will be enforced by a court in those other jurisdictions. If a court were to find either choice of forum provisions contained in our Charter to be inapplicable or unenforceable in an action, we may incur additional costs associated with resolving such action in other jurisdictions.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We are a smaller reporting company. We cannot be certain whether the reduced disclosure requirements applicable to smaller reporting companies will make our common stock less attractive to investors or otherwise limit our ability to raise additional funds.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“smaller reporting company” under applicable securities regulations. A smaller reporting company is a company that, as of the last business day of its most recently completed fiscal quarter, has an aggregate market value of the company’s voting stock held by non-affiliates, or public float, of less than $250 million, or has annual revenues less than $100 million and either no public float or public float less than $750 million. SEC rules provide that companies with a non-affiliate public float of less than $75 million may only sell shares under a Form S-3 shelf registration statement, during any 12-month period, in an amount less than or equal to one-third of the public float. If we do not meet this public float requirement, any offering by us under a Form S-3 will be limited to raising an aggregate of one-third of our public float in any 12-month period. In addition, a smaller reporting company is able to provide simplified executive compensation disclosures in its filings, is exempt from the provisions of Section 404(b) of the Sarbanes-Oxley Act requiring that an independent registered public accounting firm provide an attestation report on the effectiveness of internal control over financial reporting if its public float is less than $70 million, and has certain other reduced disclosure obligations in their SEC filings, including, among other things, only being required to provide two years of audited financial statements in annual reports. Reduced disclosure in our SEC filings due to our status as a smaller reporting company may make it harder for investors to analyze its results of operations and financial prospects.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our estimates or judgments relating to our critical accounting policies prove to be incorrect or financial reporting standards or interpretations change, our results of operations could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financial statements in conformity with U.S. Generally Accepted Accounting Principles (“GAAP”) requires management to make estimates and assumptions that affect the amounts reported in the financial statements and accompanying notes. We will base our estimates on historical experience, known trends and events, and various other factors that we believe to be reasonable under the circumstances, as provided in the section titled “</w:t>
      </w:r>
      <w:r>
        <w:rPr>
          <w:rFonts w:ascii="Times New Roman;Times;Serif" w:hAnsi="Times New Roman;Times;Serif"/>
          <w:b w:val="false"/>
          <w:i/>
          <w:caps w:val="false"/>
          <w:smallCaps w:val="false"/>
          <w:sz w:val="20"/>
        </w:rPr>
        <w:t>Management’s Discussion and Analysis of Financial Condition and Results of Operations-Critical Accounting Estimates</w:t>
      </w:r>
      <w:r>
        <w:rPr>
          <w:rFonts w:ascii="Times New Roman;Times;Serif" w:hAnsi="Times New Roman;Times;Serif"/>
          <w:b w:val="false"/>
          <w:i w:val="false"/>
          <w:caps w:val="false"/>
          <w:smallCaps w:val="false"/>
          <w:sz w:val="20"/>
        </w:rPr>
        <w:t>.” The results of these estimates form the basis for making judgments about the carrying values of assets and liabilities that are not readily apparent from other sources. Significant assumptions and estimates used in preparing our financial statements include, but are not limited to, estimates of impairment on goodwill, recognition and measurement of convertible notes, warrants and SAFEs, including the valuation of the bifurcated embedded derivatives liabilities, and recognition and measurement of stock-based compensation.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trading price of our Class A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we will regularly monitor our compliance with applicable financial reporting standards and review new pronouncements and drafts thereof that are relevant to us. As a result of new standards, changes to existing standards, and changes in their interpretation, we might be required to change our accounting policies, alter our operational policies, and implement new or enhance existing systems so that they reflect new or amended financial reporting standards, or we may be required to restate our published financial statements. Such changes to existing standards or changes in their interpretation may have an adverse effect on our reputation, business, financial position, and profit.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issue additional shares of Common Stock or Preferred Stock, including under our equity incentive plan. Any such issuances would dilute the interest of our stockholders and likely present other risks.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a substantial number of additional shares of Common Stock or Preferred Stock, including under our 2023 equity incentive plan. Any such issuances of additional shares of Common Stock or Preferred Stock:</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significantly dilute the equity interests of our investors;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subordinate the rights of holders of Common Stock if preferred stock is issued with rights senior to those afforded our Common Stock;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could cause a change in control if a substantial number of shares of our Common Stock are issued, which may affect, among other things, our ability to use our net operating loss carry forwards, if any, and could result in the resignation or removal of our present officers and directors;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adversely affect prevailing market prices for our Common Stock and/or Public Warrants.</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Sales of a substantial number of shares of Class A Common Stock in the public market pursuant to our registration statements could reduce the market price of Class A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a substantial number of shares of Class A Common Stock in the public market pursuant to our resale registration statements (collectively, the “Resale Registration Statements”) could occur at any time. These sales, or the perception in the market that the holders of a large number of shares of Class A Common Stock intend to sell shares, could reduce the market price of Class A Common Stock. In particular, until such time as it is no longer effective, the Resale Registration Statements permit the resale of shares held by Mr. Joseph Davy, including shares of both Class A Common Stock and Class B Common Stock, subject, in each case, to the applicable lock-up periods. The resale, or expected or potential resale, of a substantial number of shares of our Class A Common Stock in the public market could adversely affect the market price for Class A Common Stock and make it more difficult for you to sell your holdings at times and prices that you determine are appropriate. Furthermore, we expect that, because there is a large number of shares registered pursuant to the Resale Registration Statements, the selling securityholders will continue to offer the securities covered thereby pursuant to the Resale Registration Statements or pursuant to Rule 144 for a significant period of time, the precise duration of which cannot be predicted. Accordingly, the adverse market and price pressures resulting from an offering pursuant to any of our registration statements may continue for an extended period of time. We may also file additional registration statements in connection with the possible sale of other securities.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Holders of convertible promissory notes have certain rights upon an event of default under their respective agreements that could harm our business, financial condition and results of operations and could require us to curtail or cease our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past, we have issued, and in the future we may issue, convertible promissory notes or other convertible debt instruments. These instruments may include terms that provide the holders with certain rights and remedies upon an event of default, which could require us to make cash payments, issue shares of our Class A Common Stock, take other actions that could be costly or restrictive, or otherwise harm our business, financial condition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example, we issued senior secured convertible notes on June 27, 2025, August 19, 2025, and October 8, 2025 for an aggregate original principal amount of $6.9 million. Events of default under convertible promissory notes and similar instruments are defined in the applicable transaction documents, and may include, among other things, failures to pay amounts when due (subject to any applicable cure periods), failures to meet certain filing, reporting, or registration-related deadlines, defaults on other indebtedness above specified thresholds, certain bankruptcy- or insolvency-related events, failures to timely deliver shares upon conversion, and suspensions of trading or listing of our Class A Common Stock for specified periods, among other events.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event of default were to occur under any such instruments, holders may have rights that could include requiring redemption or repayment (potentially at a premium), exercising other contractual remedies, and/or converting amounts due into shares of our Class A Common Stock on terms that may be unfavorable to us. The exercise of any of the above rights upon an event of default could substantially harm our financial condition and force us to curtail or even cease our operations. See </w:t>
      </w:r>
      <w:r>
        <w:rPr>
          <w:rFonts w:ascii="Times New Roman;Times;Serif" w:hAnsi="Times New Roman;Times;Serif"/>
          <w:b w:val="false"/>
          <w:i/>
          <w:caps w:val="false"/>
          <w:smallCaps w:val="false"/>
          <w:sz w:val="20"/>
        </w:rPr>
        <w:t>Note 12 – Debt</w:t>
      </w:r>
      <w:r>
        <w:rPr>
          <w:rFonts w:ascii="Times New Roman;Times;Serif" w:hAnsi="Times New Roman;Times;Serif"/>
          <w:b w:val="false"/>
          <w:i w:val="false"/>
          <w:caps w:val="false"/>
          <w:smallCaps w:val="false"/>
          <w:sz w:val="20"/>
        </w:rPr>
        <w:t xml:space="preserve"> to the consolidated financial statements and “</w:t>
      </w:r>
      <w:r>
        <w:rPr>
          <w:rFonts w:ascii="Times New Roman;Times;Serif" w:hAnsi="Times New Roman;Times;Serif"/>
          <w:b w:val="false"/>
          <w:i/>
          <w:caps w:val="false"/>
          <w:smallCaps w:val="false"/>
          <w:sz w:val="20"/>
        </w:rPr>
        <w:t>Management’s Discussion and Analysis — Liquidity and Capital Resources”</w:t>
      </w:r>
      <w:r>
        <w:rPr>
          <w:rFonts w:ascii="Times New Roman;Times;Serif" w:hAnsi="Times New Roman;Times;Serif"/>
          <w:b w:val="false"/>
          <w:i w:val="false"/>
          <w:caps w:val="false"/>
          <w:smallCaps w:val="false"/>
          <w:sz w:val="20"/>
        </w:rPr>
        <w:t xml:space="preserve"> for additional information regarding these notes and the related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exclusive forum clause set forth in the Warrant Agreement may have the effect of limiting an investor’s rights to bring legal action and could limit the investor’s ability to obtain a favorable judicial forum.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 Agreement, dated December 22, 2020, with Continental Stock Transfer &amp; Trust Company, as warrant agent (the “Warrant Agreement”), provides that (i) any action, proceeding or claim against us arising out of or relating in any way to the Warrant Agreement will be brought and enforced in the courts of the State of New York or the United States District Court for the Southern District of New York and (ii) we irrevocably submit to such jurisdiction, which jurisdiction will be exclusive. We have waived or will waive any objection to such exclusive jurisdiction and that such courts represent an inconvenient forum. However, there is uncertainty as to whether a court would enforce these provisions and investors cannot waive compliance with the federal securities laws and the rules and regulations thereunder. Section 22 of the Securities Act creates concurrent jurisdiction for state and federal courts over all suits brought to enforce any duty or liability created by the Securities Act or the rules and regulations thereunder.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these provisions of the Warrant Agreement will not apply to suits brought to enforce any liability or duty created by the Exchange Act or any other claim for which the federal district courts of the United States of America are the sole and exclusive forum. Section 27 of the Exchange Act creates exclusive federal jurisdiction over all suits brought to enforce any duty or liability created by the Exchange Act or the rules and regulations thereunder. Any person or entity purchasing or otherwise acquiring any interest in any of the Public Warrants shall be deemed to have notice of and to have consented to the forum provisions in the Warrant Agreement. If any action, the subject matter of which is within the scope of the forum provisions of the Warrant Agreement, is filed in a court other than a court of the State of New York or the United States District Court for the Southern District of New York (a “foreign action”) in the name of any holder of the Public Warrants, such holder shall be deemed to have consented to: (x) the personal jurisdiction of the state and federal courts located within the State of New York or the United States District Court for the Southern District of New York in connection with any action brought in any such court to enforce the forum provisions (an “enforcement action”), and (y) having service of process made upon such warrant holder in any such enforcement action by service upon such warrant holder’s counsel in the foreign action as agent for such warrant holder.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choice-of-forum provision may limit a warrant holder’s ability to bring a claim in a judicial forum that it finds favorable, which may discourage such lawsuits. Alternatively, if a court were to find this provision of the Warrant Agreement inapplicable or unenforceable with respect to one or more of the specified types of actions or proceedings, we may incur additional costs associated with resolving such matters in other jurisdictions, which could materially and adversely affect our business, financial condition and results of operations and result in a diversion of the time and resources of our management and our Board.</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Outstanding warrants to purchase shares of our Class A Common Stock (the “Warrants”) may never be in the money and they may expire worthless and therefore we may not receive cash proceeds from the exercise of the Warrants. The terms of the Warrants may be amended in a manner adverse to a holder if holders of at least 50% of the then outstanding applicable Warrants approve of such amendment.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we have outstanding warrants, including public warrants originally issued in 7GC’s initial public offering (the “Public Warrants”) and warrants issued to other investors in connection with various financings that the Company has completed (collectively, the “Warrants”).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exercise of Warrants, and any proceeds we may receive from their exercise, are highly dependent on the price of our Class A Common Stock and the spread between the exercise price of the Warrant and the price of our Class A Common Stock at the time of exercise. There can be no assurance that our Warrants will be in the money prior to their expiration.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Public Warrants under certain conditions, as described in the Warrant Agreement, are redeemable by us at a price of $0.01 per warrant. The GEM Warrant is not redeemable and, like some of the other outstanding Warrants, is exercisable on a cash or cashless basis; if such Warrants are exercised on a “cashless basis,” whether or not they are in the money, we will not receive cash for such exercise. As such, it is possible that we may never generate any cash proceeds from the exercise of our Warrants.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 Agreement for the Public Warrants permits amendments to the terms of the Public Warrants in certain circumstances. In particular, subject to the terms of the Warrant Agreement, amendments that affect the interests of holders of the Public Warrants may be approved by holders of at least 50% of the then outstanding Public Warrants, which could allow the Public Warrants to be amended in a manner adverse to a holder, including by increasing the exercise price, shortening the exercise period, or decreasing the number of shares purchasable upon exercise of a Public Warrant.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See </w:t>
      </w:r>
      <w:r>
        <w:rPr>
          <w:rFonts w:ascii="Times New Roman;Times;Serif" w:hAnsi="Times New Roman;Times;Serif"/>
          <w:b w:val="false"/>
          <w:i/>
          <w:caps w:val="false"/>
          <w:smallCaps w:val="false"/>
          <w:sz w:val="20"/>
        </w:rPr>
        <w:t>Note 13 – Warrant Liabilities</w:t>
      </w:r>
      <w:r>
        <w:rPr>
          <w:rFonts w:ascii="Times New Roman;Times;Serif" w:hAnsi="Times New Roman;Times;Serif"/>
          <w:b w:val="false"/>
          <w:i w:val="false"/>
          <w:caps w:val="false"/>
          <w:smallCaps w:val="false"/>
          <w:sz w:val="20"/>
        </w:rPr>
        <w:t xml:space="preserve"> to the consolidated financial statements for additional information regarding the Warrants, including the number of shares underlying the Warrants, exercise prices and expiration 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redeem your unexpired Public Warrants prior to their exercise at a time that is disadvantageous to you, thereby making your Public Warrants worthless.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the ability to redeem the outstanding Public Warrants at any time after they become exercisable and prior to their expiration, at a price of $0.01 per warrant if, among other things, the last reported sale price of the underlying Class A Common Stock for any 20 trading days within a 30-trading day period ending on the third trading day prior to the date on which the Company sends the notice of redemption to the warrant holders equals or exceeds $9,000 per share (as adjusted for stock splits, stock dividends, rights issuances, subdivisions, reorganizations, recapitalizations and the like). Redemption of the outstanding Public Warrants as described above could force you to: (i) exercise your warrants and pay the exercise price therefor at a time when it may be disadvantageous for you to do so; (ii) sell your warrants at the then-current market price when you might otherwise wish to hold your warrants; or (iii) accept the nominal redemption price which, at the time the outstanding warrants are called for redemption, the Company expects would be substantially less than the market value of your warrants. Shares of Class A Common Stock have never traded above $9,000 per share.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 obligation to notify holders of the Public Warrants that they have become eligible for redemption. However, pursuant to the Warrant Agreement, in the event we decide to redeem the Public Warrants, we are required to mail notice of such redemption to the registered warrant holders not less than 30 days prior to the redemption date. The warrants may be exercised any time after notice of redemption is given and prior to the redemption date.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 w:name="Y-005"/>
      <w:bookmarkEnd w:id="6"/>
      <w:r>
        <w:rPr>
          <w:rFonts w:ascii="Times New Roman;Times;Serif" w:hAnsi="Times New Roman;Times;Serif"/>
          <w:b/>
          <w:i w:val="false"/>
          <w:caps w:val="false"/>
          <w:smallCaps w:val="false"/>
          <w:sz w:val="20"/>
        </w:rPr>
        <w:t>USE OF PROCEEDS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receive any of the proceeds from the sale of the shares of Common Stock being offered by the Selling Securityholders.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 w:name="Y-006"/>
      <w:bookmarkEnd w:id="7"/>
      <w:r>
        <w:rPr>
          <w:rFonts w:ascii="Times New Roman;Times;Serif" w:hAnsi="Times New Roman;Times;Serif"/>
          <w:b/>
          <w:i w:val="false"/>
          <w:caps w:val="false"/>
          <w:smallCaps w:val="false"/>
          <w:sz w:val="20"/>
        </w:rPr>
        <w:t>MARKET INFORMATION FOR CLASS A COMMON STOCK AND DIVIDEND POLICY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 Information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A Common Stock and Public Warrants are listed on The Nasdaq Capital Market under the symbols “BNZI” and “BNZIW,” respectively. Our Class B Common Stock is not publicly traded. All Common Stock share and per share information included in this prospectus has bee</w:t>
      </w:r>
      <w:r>
        <w:rPr>
          <w:rFonts w:ascii="Times New Roman;Times;Serif" w:hAnsi="Times New Roman;Times;Serif"/>
          <w:b w:val="false"/>
          <w:i w:val="false"/>
          <w:caps w:val="false"/>
          <w:smallCaps w:val="false"/>
          <w:color w:val="212529"/>
          <w:sz w:val="20"/>
        </w:rPr>
        <w:t>n retroactively adjusted to reflect the impact of the 2024 Reverse Stock Split and 2025 Reverse Stock Split.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Holders of Record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April 14, 2026, there were 56 holders of record of our Class A Common Stock, 1 holder of record of our Class B Common Stock, and 1 holder of record of our Public Warrants. These numbers do not include beneficial owners whose securities were held in street name.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we have not declared or paid any cash dividends on our Common Stock. We expect to retain future earnings, if any, for future operations, expansion and debt repayment and have no plans to declare or pay cash dividends on our Common Stock for the foreseeable future. Any decision to declare and pay dividends in the future will be made at the discretion of the Board and will depend on, among other things, our results of operations, financial condition, cash requirements, contractual restrictions and other factors that the Board may deem relevant. In addition, our ability to pay dividends may be limited by covenants of any existing and future outstanding indebtedness we or our subsidiaries incur.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Authorized for Issuance under Equity Compensation Plans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equity securities authorized for issuance as of December 31, 2025.</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877"/>
        <w:gridCol w:w="60"/>
        <w:gridCol w:w="196"/>
        <w:gridCol w:w="2245"/>
        <w:gridCol w:w="60"/>
        <w:gridCol w:w="60"/>
        <w:gridCol w:w="310"/>
        <w:gridCol w:w="1912"/>
        <w:gridCol w:w="60"/>
        <w:gridCol w:w="60"/>
        <w:gridCol w:w="227"/>
        <w:gridCol w:w="3059"/>
        <w:gridCol w:w="79"/>
      </w:tblGrid>
      <w:tr>
        <w:trPr/>
        <w:tc>
          <w:tcPr>
            <w:tcW w:w="1877" w:type="dxa"/>
            <w:tcBorders>
              <w:bottom w:val="single" w:sz="8" w:space="0" w:color="000000"/>
            </w:tcBorders>
            <w:vAlign w:val="center"/>
          </w:tcPr>
          <w:p>
            <w:pPr>
              <w:pStyle w:val="TableContents"/>
              <w:bidi w:val="0"/>
              <w:spacing w:before="0" w:after="283"/>
              <w:jc w:val="left"/>
              <w:rPr>
                <w:b/>
              </w:rPr>
            </w:pPr>
            <w:r>
              <w:rPr>
                <w:b/>
              </w:rPr>
              <w:t>Plan Category</w:t>
            </w:r>
          </w:p>
        </w:tc>
        <w:tc>
          <w:tcPr>
            <w:tcW w:w="60" w:type="dxa"/>
            <w:tcBorders/>
            <w:tcMar>
              <w:bottom w:w="0" w:type="dxa"/>
            </w:tcMar>
            <w:vAlign w:val="center"/>
          </w:tcPr>
          <w:p>
            <w:pPr>
              <w:pStyle w:val="TableContents"/>
              <w:bidi w:val="0"/>
              <w:spacing w:before="0" w:after="283"/>
              <w:jc w:val="left"/>
              <w:rPr/>
            </w:pPr>
            <w:r>
              <w:rPr/>
              <w:t> </w:t>
            </w:r>
          </w:p>
        </w:tc>
        <w:tc>
          <w:tcPr>
            <w:tcW w:w="2441" w:type="dxa"/>
            <w:gridSpan w:val="2"/>
            <w:tcBorders>
              <w:bottom w:val="single" w:sz="8" w:space="0" w:color="000000"/>
            </w:tcBorders>
            <w:vAlign w:val="center"/>
          </w:tcPr>
          <w:p>
            <w:pPr>
              <w:pStyle w:val="TableContents"/>
              <w:bidi w:val="0"/>
              <w:spacing w:before="0" w:after="283"/>
              <w:jc w:val="center"/>
              <w:rPr>
                <w:b/>
              </w:rPr>
            </w:pPr>
            <w:r>
              <w:rPr>
                <w:b/>
              </w:rPr>
              <w:t>Number of Securities To Be Issued Upon Exercise of Outstanding Options, Warrants and Rights (a)</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222" w:type="dxa"/>
            <w:gridSpan w:val="2"/>
            <w:tcBorders>
              <w:bottom w:val="single" w:sz="8" w:space="0" w:color="000000"/>
            </w:tcBorders>
            <w:vAlign w:val="center"/>
          </w:tcPr>
          <w:p>
            <w:pPr>
              <w:pStyle w:val="TableContents"/>
              <w:bidi w:val="0"/>
              <w:spacing w:before="0" w:after="283"/>
              <w:jc w:val="center"/>
              <w:rPr>
                <w:b/>
              </w:rPr>
            </w:pPr>
            <w:r>
              <w:rPr>
                <w:b/>
              </w:rPr>
              <w:t>Weighted Average Exercise Price of Outstanding Options, Warrants and Rights (b)</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286" w:type="dxa"/>
            <w:gridSpan w:val="2"/>
            <w:tcBorders>
              <w:bottom w:val="single" w:sz="8" w:space="0" w:color="000000"/>
            </w:tcBorders>
            <w:vAlign w:val="center"/>
          </w:tcPr>
          <w:p>
            <w:pPr>
              <w:pStyle w:val="TableContents"/>
              <w:bidi w:val="0"/>
              <w:spacing w:before="0" w:after="283"/>
              <w:jc w:val="center"/>
              <w:rPr>
                <w:b/>
              </w:rPr>
            </w:pPr>
            <w:r>
              <w:rPr>
                <w:b/>
              </w:rPr>
              <w:t>Number of Securities Remaining Available for Future Issuance Under Equity Compensation Plans (excluding securities reflected in column (a)) (c) (1)</w:t>
            </w:r>
          </w:p>
        </w:tc>
        <w:tc>
          <w:tcPr>
            <w:tcW w:w="79" w:type="dxa"/>
            <w:tcBorders/>
            <w:tcMar>
              <w:bottom w:w="0" w:type="dxa"/>
            </w:tcMar>
            <w:vAlign w:val="center"/>
          </w:tcPr>
          <w:p>
            <w:pPr>
              <w:pStyle w:val="TableContents"/>
              <w:bidi w:val="0"/>
              <w:spacing w:before="0" w:after="283"/>
              <w:jc w:val="left"/>
              <w:rPr/>
            </w:pPr>
            <w:r>
              <w:rPr/>
              <w:t> </w:t>
            </w:r>
          </w:p>
        </w:tc>
      </w:tr>
      <w:tr>
        <w:trPr/>
        <w:tc>
          <w:tcPr>
            <w:tcW w:w="1877" w:type="dxa"/>
            <w:tcBorders/>
            <w:shd w:fill="CCEEFF" w:val="clear"/>
            <w:tcMar>
              <w:bottom w:w="0" w:type="dxa"/>
            </w:tcMar>
            <w:vAlign w:val="center"/>
          </w:tcPr>
          <w:p>
            <w:pPr>
              <w:pStyle w:val="TableContents"/>
              <w:bidi w:val="0"/>
              <w:spacing w:before="0" w:after="283"/>
              <w:jc w:val="left"/>
              <w:rPr/>
            </w:pPr>
            <w:r>
              <w:rPr/>
              <w:t>Equity compensation plans approved by shareholders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6" w:type="dxa"/>
            <w:tcBorders/>
            <w:shd w:fill="CCEEFF" w:val="clear"/>
            <w:tcMar>
              <w:bottom w:w="0" w:type="dxa"/>
            </w:tcMar>
            <w:vAlign w:val="center"/>
          </w:tcPr>
          <w:p>
            <w:pPr>
              <w:pStyle w:val="TableContents"/>
              <w:bidi w:val="0"/>
              <w:spacing w:before="0" w:after="283"/>
              <w:jc w:val="left"/>
              <w:rPr/>
            </w:pPr>
            <w:r>
              <w:rPr/>
              <w:t> </w:t>
            </w:r>
          </w:p>
        </w:tc>
        <w:tc>
          <w:tcPr>
            <w:tcW w:w="2245" w:type="dxa"/>
            <w:tcBorders/>
            <w:shd w:fill="CCEEFF" w:val="clear"/>
            <w:tcMar>
              <w:bottom w:w="0" w:type="dxa"/>
            </w:tcMar>
            <w:vAlign w:val="center"/>
          </w:tcPr>
          <w:p>
            <w:pPr>
              <w:pStyle w:val="TableContents"/>
              <w:bidi w:val="0"/>
              <w:spacing w:before="0" w:after="283"/>
              <w:jc w:val="right"/>
              <w:rPr/>
            </w:pPr>
            <w:r>
              <w:rPr/>
              <w:t>12,494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10" w:type="dxa"/>
            <w:tcBorders/>
            <w:shd w:fill="CCEEFF" w:val="clear"/>
            <w:tcMar>
              <w:bottom w:w="0" w:type="dxa"/>
            </w:tcMar>
            <w:vAlign w:val="center"/>
          </w:tcPr>
          <w:p>
            <w:pPr>
              <w:pStyle w:val="TableContents"/>
              <w:bidi w:val="0"/>
              <w:spacing w:before="0" w:after="283"/>
              <w:jc w:val="left"/>
              <w:rPr/>
            </w:pPr>
            <w:r>
              <w:rPr/>
              <w:t>$</w:t>
            </w:r>
          </w:p>
        </w:tc>
        <w:tc>
          <w:tcPr>
            <w:tcW w:w="1912" w:type="dxa"/>
            <w:tcBorders/>
            <w:shd w:fill="CCEEFF" w:val="clear"/>
            <w:tcMar>
              <w:bottom w:w="0" w:type="dxa"/>
            </w:tcMar>
            <w:vAlign w:val="center"/>
          </w:tcPr>
          <w:p>
            <w:pPr>
              <w:pStyle w:val="TableContents"/>
              <w:bidi w:val="0"/>
              <w:spacing w:before="0" w:after="283"/>
              <w:jc w:val="right"/>
              <w:rPr/>
            </w:pPr>
            <w:r>
              <w:rPr/>
              <w:t>1,577.59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7" w:type="dxa"/>
            <w:tcBorders/>
            <w:shd w:fill="CCEEFF" w:val="clear"/>
            <w:tcMar>
              <w:bottom w:w="0" w:type="dxa"/>
            </w:tcMar>
            <w:vAlign w:val="center"/>
          </w:tcPr>
          <w:p>
            <w:pPr>
              <w:pStyle w:val="TableContents"/>
              <w:bidi w:val="0"/>
              <w:spacing w:before="0" w:after="283"/>
              <w:jc w:val="left"/>
              <w:rPr/>
            </w:pPr>
            <w:r>
              <w:rPr/>
              <w:t> </w:t>
            </w:r>
          </w:p>
        </w:tc>
        <w:tc>
          <w:tcPr>
            <w:tcW w:w="3059" w:type="dxa"/>
            <w:tcBorders/>
            <w:shd w:fill="CCEEFF" w:val="clear"/>
            <w:tcMar>
              <w:bottom w:w="0" w:type="dxa"/>
            </w:tcMar>
            <w:vAlign w:val="center"/>
          </w:tcPr>
          <w:p>
            <w:pPr>
              <w:pStyle w:val="TableContents"/>
              <w:bidi w:val="0"/>
              <w:spacing w:before="0" w:after="283"/>
              <w:jc w:val="right"/>
              <w:rPr/>
            </w:pPr>
            <w:r>
              <w:rPr/>
              <w:t>487,510</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1877" w:type="dxa"/>
            <w:tcBorders/>
            <w:shd w:fill="FFFFFF" w:val="clear"/>
            <w:tcMar>
              <w:bottom w:w="0" w:type="dxa"/>
            </w:tcMar>
            <w:vAlign w:val="center"/>
          </w:tcPr>
          <w:p>
            <w:pPr>
              <w:pStyle w:val="TableContents"/>
              <w:bidi w:val="0"/>
              <w:spacing w:before="0" w:after="283"/>
              <w:jc w:val="left"/>
              <w:rPr/>
            </w:pPr>
            <w:r>
              <w:rPr/>
              <w:t>Equity compensation plans not approved by shareholders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6" w:type="dxa"/>
            <w:tcBorders>
              <w:bottom w:val="single" w:sz="8" w:space="0" w:color="000000"/>
            </w:tcBorders>
            <w:shd w:fill="FFFFFF" w:val="clear"/>
            <w:vAlign w:val="center"/>
          </w:tcPr>
          <w:p>
            <w:pPr>
              <w:pStyle w:val="TableContents"/>
              <w:bidi w:val="0"/>
              <w:spacing w:before="0" w:after="283"/>
              <w:jc w:val="left"/>
              <w:rPr/>
            </w:pPr>
            <w:r>
              <w:rPr/>
              <w:t> </w:t>
            </w:r>
          </w:p>
        </w:tc>
        <w:tc>
          <w:tcPr>
            <w:tcW w:w="2245" w:type="dxa"/>
            <w:tcBorders>
              <w:bottom w:val="single" w:sz="8" w:space="0" w:color="000000"/>
            </w:tcBorders>
            <w:shd w:fill="FFFFFF" w:val="cle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10" w:type="dxa"/>
            <w:tcBorders>
              <w:bottom w:val="single" w:sz="8" w:space="0" w:color="000000"/>
            </w:tcBorders>
            <w:shd w:fill="FFFFFF" w:val="clear"/>
            <w:vAlign w:val="center"/>
          </w:tcPr>
          <w:p>
            <w:pPr>
              <w:pStyle w:val="TableContents"/>
              <w:bidi w:val="0"/>
              <w:spacing w:before="0" w:after="283"/>
              <w:jc w:val="left"/>
              <w:rPr/>
            </w:pPr>
            <w:r>
              <w:rPr/>
              <w:t> </w:t>
            </w:r>
          </w:p>
        </w:tc>
        <w:tc>
          <w:tcPr>
            <w:tcW w:w="1912" w:type="dxa"/>
            <w:tcBorders>
              <w:bottom w:val="single" w:sz="8" w:space="0" w:color="000000"/>
            </w:tcBorders>
            <w:shd w:fill="FFFFFF" w:val="cle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7" w:type="dxa"/>
            <w:tcBorders>
              <w:bottom w:val="single" w:sz="8" w:space="0" w:color="000000"/>
            </w:tcBorders>
            <w:shd w:fill="FFFFFF" w:val="clear"/>
            <w:vAlign w:val="center"/>
          </w:tcPr>
          <w:p>
            <w:pPr>
              <w:pStyle w:val="TableContents"/>
              <w:bidi w:val="0"/>
              <w:spacing w:before="0" w:after="283"/>
              <w:jc w:val="left"/>
              <w:rPr/>
            </w:pPr>
            <w:r>
              <w:rPr/>
              <w:t> </w:t>
            </w:r>
          </w:p>
        </w:tc>
        <w:tc>
          <w:tcPr>
            <w:tcW w:w="3059" w:type="dxa"/>
            <w:tcBorders>
              <w:bottom w:val="single" w:sz="8" w:space="0" w:color="000000"/>
            </w:tcBorders>
            <w:shd w:fill="FFFFFF" w:val="clear"/>
            <w:vAlign w:val="center"/>
          </w:tcPr>
          <w:p>
            <w:pPr>
              <w:pStyle w:val="TableContents"/>
              <w:bidi w:val="0"/>
              <w:spacing w:before="0" w:after="283"/>
              <w:jc w:val="right"/>
              <w:rPr/>
            </w:pPr>
            <w:r>
              <w:rPr/>
              <w:t>—</w:t>
            </w:r>
          </w:p>
        </w:tc>
        <w:tc>
          <w:tcPr>
            <w:tcW w:w="79" w:type="dxa"/>
            <w:tcBorders/>
            <w:shd w:fill="FFFFFF" w:val="clear"/>
            <w:tcMar>
              <w:bottom w:w="0" w:type="dxa"/>
            </w:tcMar>
            <w:vAlign w:val="center"/>
          </w:tcPr>
          <w:p>
            <w:pPr>
              <w:pStyle w:val="TableContents"/>
              <w:bidi w:val="0"/>
              <w:spacing w:before="0" w:after="283"/>
              <w:jc w:val="left"/>
              <w:rPr/>
            </w:pPr>
            <w:r>
              <w:rPr/>
              <w:t> </w:t>
            </w:r>
          </w:p>
        </w:tc>
      </w:tr>
      <w:tr>
        <w:trPr/>
        <w:tc>
          <w:tcPr>
            <w:tcW w:w="1877" w:type="dxa"/>
            <w:tcBorders/>
            <w:shd w:fill="CCEEFF" w:val="clear"/>
            <w:tcMar>
              <w:bottom w:w="0" w:type="dxa"/>
            </w:tcMar>
            <w:vAlign w:val="center"/>
          </w:tcPr>
          <w:p>
            <w:pPr>
              <w:pStyle w:val="TableContents"/>
              <w:bidi w:val="0"/>
              <w:spacing w:before="0" w:after="283"/>
              <w:jc w:val="left"/>
              <w:rPr/>
            </w:pPr>
            <w:r>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6" w:type="dxa"/>
            <w:tcBorders>
              <w:bottom w:val="double" w:sz="6" w:space="0" w:color="000000"/>
            </w:tcBorders>
            <w:shd w:fill="CCEEFF" w:val="clear"/>
            <w:vAlign w:val="center"/>
          </w:tcPr>
          <w:p>
            <w:pPr>
              <w:pStyle w:val="TableContents"/>
              <w:bidi w:val="0"/>
              <w:spacing w:before="0" w:after="283"/>
              <w:jc w:val="left"/>
              <w:rPr/>
            </w:pPr>
            <w:r>
              <w:rPr/>
              <w:t> </w:t>
            </w:r>
          </w:p>
        </w:tc>
        <w:tc>
          <w:tcPr>
            <w:tcW w:w="2245" w:type="dxa"/>
            <w:tcBorders>
              <w:bottom w:val="double" w:sz="6" w:space="0" w:color="000000"/>
            </w:tcBorders>
            <w:shd w:fill="CCEEFF" w:val="clear"/>
            <w:vAlign w:val="center"/>
          </w:tcPr>
          <w:p>
            <w:pPr>
              <w:pStyle w:val="TableContents"/>
              <w:bidi w:val="0"/>
              <w:spacing w:before="0" w:after="283"/>
              <w:jc w:val="right"/>
              <w:rPr/>
            </w:pPr>
            <w:r>
              <w:rPr/>
              <w:t>12,494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10" w:type="dxa"/>
            <w:tcBorders>
              <w:bottom w:val="double" w:sz="6" w:space="0" w:color="000000"/>
            </w:tcBorders>
            <w:shd w:fill="CCEEFF" w:val="clear"/>
            <w:vAlign w:val="center"/>
          </w:tcPr>
          <w:p>
            <w:pPr>
              <w:pStyle w:val="TableContents"/>
              <w:bidi w:val="0"/>
              <w:spacing w:before="0" w:after="283"/>
              <w:jc w:val="left"/>
              <w:rPr/>
            </w:pPr>
            <w:r>
              <w:rPr/>
              <w:t>$</w:t>
            </w:r>
          </w:p>
        </w:tc>
        <w:tc>
          <w:tcPr>
            <w:tcW w:w="1912" w:type="dxa"/>
            <w:tcBorders>
              <w:bottom w:val="double" w:sz="6" w:space="0" w:color="000000"/>
            </w:tcBorders>
            <w:shd w:fill="CCEEFF" w:val="clear"/>
            <w:vAlign w:val="center"/>
          </w:tcPr>
          <w:p>
            <w:pPr>
              <w:pStyle w:val="TableContents"/>
              <w:bidi w:val="0"/>
              <w:spacing w:before="0" w:after="283"/>
              <w:jc w:val="right"/>
              <w:rPr/>
            </w:pPr>
            <w:r>
              <w:rPr/>
              <w:t>1,577.59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7" w:type="dxa"/>
            <w:tcBorders>
              <w:bottom w:val="double" w:sz="6" w:space="0" w:color="000000"/>
            </w:tcBorders>
            <w:shd w:fill="CCEEFF" w:val="clear"/>
            <w:vAlign w:val="center"/>
          </w:tcPr>
          <w:p>
            <w:pPr>
              <w:pStyle w:val="TableContents"/>
              <w:bidi w:val="0"/>
              <w:spacing w:before="0" w:after="283"/>
              <w:jc w:val="left"/>
              <w:rPr/>
            </w:pPr>
            <w:r>
              <w:rPr/>
              <w:t> </w:t>
            </w:r>
          </w:p>
        </w:tc>
        <w:tc>
          <w:tcPr>
            <w:tcW w:w="3059" w:type="dxa"/>
            <w:tcBorders>
              <w:bottom w:val="double" w:sz="6" w:space="0" w:color="000000"/>
            </w:tcBorders>
            <w:shd w:fill="CCEEFF" w:val="clear"/>
            <w:vAlign w:val="center"/>
          </w:tcPr>
          <w:p>
            <w:pPr>
              <w:pStyle w:val="TableContents"/>
              <w:bidi w:val="0"/>
              <w:spacing w:before="0" w:after="283"/>
              <w:jc w:val="right"/>
              <w:rPr/>
            </w:pPr>
            <w:r>
              <w:rPr/>
              <w:t>487,510</w:t>
            </w:r>
          </w:p>
        </w:tc>
        <w:tc>
          <w:tcPr>
            <w:tcW w:w="79"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7"/>
        <w:gridCol w:w="9988"/>
      </w:tblGrid>
      <w:tr>
        <w:trPr/>
        <w:tc>
          <w:tcPr>
            <w:tcW w:w="2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8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486,366 shares available pursuant to our 2023 Equity Incentive Plan and 1,144 shares available pursuant to our Employee Stock Purchase Plan. The total number of securities remaining available for future issuance indicated above reflects the expansion of shares available under the 2023 EIP Plan, to 1,000,000 shares, which Banzai’s shareholders approved on February 28,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Y-007"/>
      <w:bookmarkEnd w:id="8"/>
      <w:r>
        <w:rPr>
          <w:rFonts w:ascii="Times New Roman;Times;Serif" w:hAnsi="Times New Roman;Times;Serif"/>
          <w:b/>
          <w:i w:val="false"/>
          <w:caps w:val="false"/>
          <w:smallCaps w:val="false"/>
          <w:sz w:val="20"/>
        </w:rPr>
        <w:t>MANAGEMENT’S DISCUSSION AND ANALYSIS OF</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CONDITION AND RESULTS OF OPERATIONS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discussion and analysis of our financial condition and results of operations should be read in conjunction with our consolidated audited financial statements and related notes, and our interim condensed consolidated financial statements and related notes, that appear elsewhere in this prospectus, as well as the section entitled “Business.” In addition to historical consolidated financial information, the following discussion contains forward-looking statements that reflect our plans, estimates and beliefs. Our actual results could differ materially from those discussed in the forward-looking statements. Factors that could cause or contribute to these differences include those discussed below and elsewhere particularly in the section titled “Risk Factors” and elsewhere in this prospectus.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Certain figures, such as interest rates and other percentages, included in this section have been rounded for ease of presentation. Percentage figures included in this section have not in all cases been calculated on the basis of such rounded figures but on the basis of such amounts prior to rounding. For this reason, percentage amounts in this section may vary slightly from those obtained by performing the same calculations using the figures in our consolidated financial statements or in the associated text. Certain other amounts that appear in this section may similarly not sum due to rounding.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432" w:right="0" w:firstLine="49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Banzai is a Marketing Technology (MarTech) company that produces data-driven marketing and sales solutions for businesses of all sizes. Our mission is to help our customers accomplish their mission - by enabling better marketing, sales, and customer engagement outcomes. Banzai endeavors to acquire companies strategically positioned to enhance our product and service offerings, increasing the value provided to current and prospective customers.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Banzai was founded in 2015. The first product Banzai launched was Reach, a SaaS and managed services offering designed to increase registration and attendance of marketing events, followed by the acquisition of Demio, a SaaS solution for webinars designed for marketing, sales, and customer success teams, in 2021 and the launch of Boost, a SaaS solution for social sharing designed to increase attendance for Demio-hosted events by enabling easy social sharing by event registrants, in 2023. We acquired OpenReel in 2024, and both Vidello and the assets of Superblocks in 2025, further expanding our platform and customer base.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customer base comes from a variety of industries, including (among others) healthcare, financial services, e-commerce, technology and media, in over 90 countries. Our customers range in size from solo entrepreneurs and small businesses to Fortune 500 companies. No single customer represents more than 10% of our revenue. Since 2021, we have focused on increasing mid-market and enterprise customers for Demio.</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sell our products using a recurring subscription license model typical in SaaS businesses. Pricing tiers for our main product, Demio, are based on the number of host-capable users, desired feature sets, and maximum audience size. Boost pricing tiers are based on the Demio plan to which the customer subscribes. Reach pricing is based on the number of event campaigns a customer has access to run simultaneously or the maximum number of registrations a customer is allowed to generate per subscription period. Our customer contracts vary in term length from single months to multiple years.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31</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Full Year 2025 Financial and Operational Highlights</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grew 168.6% to $12.2 million for full year 2025 compared to 2024. Total cost of revenue increased only 53.8% year over year, resulting in improved gross profit.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reached $10.0 million for full year 2025, compared to $3.1 million in 2024. Gross profit was 82.0% in full year 2025 compared to 68.6% in 2024.</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decreased to $22.5 million for full year 2025, compared to $31.5 million in 2024, which represents a $9.0 million improvement year over year.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equity increased $10.8 million to $8.1 million as of December 31, 2025. The company made substantial improvements to the balance sheet during 2025.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Executed a payoff and debt conversion agreement for approximately $4.3 million in outstanding senior secured debt. The decision by senior debt holders to convert into equity reflects a strong vote of confidence in our vision and trajectory.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Secured an $11 million debt facility in June 2025 with an institutional investor to support ongoing operations and solidify the foundation for future growth.</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Expanded our customer base to over 150,000 cumulative total customers that have used Banzai products as of December 31, 2025. Customers include blue chip names across healthcare, financial services, e-commerce, technology, and media, with customers in over 90 countries.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Acquired Vidello, a platform of a suite of products for 3D video creation, royalty free music, and video marketing. Vidello offers a comprehensive video hosting and marketing suite that provides entrepreneurs, startups, agencies, and online businesses with tools to grow their businesses.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Acquired the assets of Superblocks, an agentic AI platform for developing and hosting SEO-optimized websites, landing pages, and registration pages. The platform allows marketers to create and host websites using conversational AI, addressing problems that traditionally required rigid template-based site builders or extensive web development expertise.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institutional investor increased their direct equity stake to 18.7% following the exercise of warrants. We believe this demonstrates their confidence in our long-term strategy.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Established strong pipeline focused on the BFSI (banking, financial services, insurance, and FinTech) segment with multiple seven-figure deals. We are seeing substantial improvements in our pipeline, especially for mid-market and enterprise customers.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Successfully shifted CreateStudio revenue model from one-time license to recurring subscription revenue. The vast majority of CreateStudio revenue is now recurring, with a very effective customer upsell program running.</w:t>
            </w:r>
          </w:p>
        </w:tc>
      </w:tr>
    </w:tbl>
    <w:p>
      <w:pPr>
        <w:pStyle w:val="TextBody"/>
        <w:bidi w:val="0"/>
        <w:spacing w:before="0" w:after="0"/>
        <w:ind w:left="432" w:right="0" w:firstLine="49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of our recent acquisitions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Superblocks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7, 2025, we acquired the assets of Superblocks, a privately-held Agentic AI platform for developing and hosting launch-ready SEO-optimized websites. The Superblocks platform allows marketers to easily create and host websites, landing pages, and simple web applications using conversational AI.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Vidello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31, 2025, we acquired Vidello, a platform of a suite of products for 3D video creation, royalty free music, and video marketing. Vidello offers a comprehensive video hosting and marketing suite that provides entrepreneurs, startups, agencies, and online businesses with tools to grow their businesses. At the acquisition date, Vidello had over 90,000 customers, and their flagship CreateStudio product has been named a Top 3 Best Rated product in the video maker category by Capterra, and a High Performer by G2.</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OpenReel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18, 2024, we acquired OpenReel, a leading enterprise video creation and management solution that empowers companies to create high-quality content at scale and on brand. OpenReel enables businesses of all sizes to cut down on the time-and resource-intensive process of video creation and scale content creation initiatives efficiently, effectively, and securely. OpenReel is trusted by a wide range of customers from small businesses to Fortune 500 companies. OpenReel is based in New York, with its team distributed worldwide. OpenReel’s enterprise customer base includes global organizations, such as Bristol Myers Squibb, Ingram Micro, DXC Technology, Insider Inc., and US Steel.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These acquisitions are a key part of our vision to build a comprehensive suite of AI-powered marketing tools that make marketers’ lives faster and easier.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Transaction Announcement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noted in Item 1. Business, on March 23, 2026, the Company announced that it reached an agreement on terms to acquire assets of ConnectAndSell. The acquisition is expected to increase Banzai’s annual revenue. The two companies have executed a non-binding letter of intent. As the parties continue to negotiate material terms of the transaction, management currently anticipates that the transaction will close in the second half of fiscal 2026. However, since the transaction is also subject to execution of a definitive agreement and closing conditions, we cannot accurately estimate the actual closing date at this time. There can be no assurance that we will be able to complete this acquisition.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Terminated Act-On Merger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entered </w:t>
      </w:r>
      <w:r>
        <w:rPr>
          <w:rFonts w:ascii="Times New Roman;Times;Serif" w:hAnsi="Times New Roman;Times;Serif"/>
          <w:b w:val="false"/>
          <w:i w:val="false"/>
          <w:caps w:val="false"/>
          <w:smallCaps w:val="false"/>
          <w:sz w:val="20"/>
          <w:shd w:fill="FFFFFF" w:val="clear"/>
        </w:rPr>
        <w:t>into an Agreement and Plan of Merger, dated January 22, 2025, with Act-On Software, Inc., a Delaware corporation (“Act-On”). Although the Company worked diligently to complete all closing conditions of the Plan of Merger, due to market conditions, on June 6, 2025, Act-On served Banzai with a notice of termination to terminate the Merger Agreement and any related agreements (collectively, the “Transaction Documents”). As per the Transaction Documents, within five calendar days, the Company was required to pay certain termination fees including $500,000 in liquidated damages to cover certain transaction expenses that Act-On incurred in connection with the merger and $882,030 in additional interest and extension fees associated with one of Act-On’s outstanding debts that the Company had intended to payoff in connection with the merger. As of December 31, 2025, the Company had paid the total amount owed of approximately $1,382,030 to Act-On.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Business Combination and Public Company Costs</w:t>
      </w:r>
    </w:p>
    <w:p>
      <w:pPr>
        <w:pStyle w:val="TextBody"/>
        <w:bidi w:val="0"/>
        <w:spacing w:before="0" w:after="0"/>
        <w:ind w:left="432"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Business Combination was accounted for as a reverse recapitalization. Under this method of accounting, 7GC was treated as the acquired company for financial statement reporting purposes. Accordingly, for accounting purposes, the financial statements of Banzai represent a continuation of the financial statements of Legacy Banzai with the Business Combination treated as the equivalent of Legacy Banzai issuing stock for the net assets of 7GC, accompanied by a recapitalization. The net assets of 7GC were stated at historical cost, with no goodwill or other intangible assets recorded. Operations prior to the Business Combination are those of Legacy Banzai in this and future reports of Banzai.</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the Business Combination, we became the successor to an SEC-registered and Nasdaq-listed company, which required Banzai to hire additional personnel and implement procedures and processes to address public company regulatory requirements and customary practices. We incurred and expect to incur additional annual expenses as a public company for, among other things, directors’ and officers’ liability insurance, director fees and additional internal and external accounting, legal and administrative resources, including increased audit and legal fees. We are classified as a “smaller reporting company.” As a result, we have been provided with certain disclosure and regulatory relief. Our future results of operations and financial position may not be comparable to Legacy Banzai’s historical results of operations and financial position as a result of the Business Combination.</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33</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ind w:left="432" w:right="0" w:firstLine="432"/>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603"/>
        <w:gridCol w:w="60"/>
        <w:gridCol w:w="173"/>
        <w:gridCol w:w="936"/>
        <w:gridCol w:w="117"/>
        <w:gridCol w:w="74"/>
        <w:gridCol w:w="173"/>
        <w:gridCol w:w="936"/>
        <w:gridCol w:w="95"/>
        <w:gridCol w:w="60"/>
        <w:gridCol w:w="140"/>
        <w:gridCol w:w="755"/>
        <w:gridCol w:w="95"/>
        <w:gridCol w:w="60"/>
        <w:gridCol w:w="60"/>
        <w:gridCol w:w="635"/>
        <w:gridCol w:w="233"/>
      </w:tblGrid>
      <w:tr>
        <w:trPr/>
        <w:tc>
          <w:tcPr>
            <w:tcW w:w="560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409"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Year Ended December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45"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Year-over-Year</w:t>
            </w:r>
          </w:p>
        </w:tc>
        <w:tc>
          <w:tcPr>
            <w:tcW w:w="233" w:type="dxa"/>
            <w:tcBorders/>
            <w:vAlign w:val="center"/>
          </w:tcPr>
          <w:p>
            <w:pPr>
              <w:pStyle w:val="TableContents"/>
              <w:bidi w:val="0"/>
              <w:spacing w:before="0" w:after="283"/>
              <w:jc w:val="left"/>
              <w:rPr/>
            </w:pPr>
            <w:r>
              <w:rPr/>
              <w:t> </w:t>
            </w:r>
          </w:p>
        </w:tc>
      </w:tr>
      <w:tr>
        <w:trPr/>
        <w:tc>
          <w:tcPr>
            <w:tcW w:w="5603" w:type="dxa"/>
            <w:tcBorders>
              <w:bottom w:val="single" w:sz="8" w:space="0" w:color="000000"/>
            </w:tcBorders>
            <w:tcMar>
              <w:bottom w:w="28" w:type="dxa"/>
            </w:tcMar>
            <w:vAlign w:val="center"/>
          </w:tcPr>
          <w:p>
            <w:pPr>
              <w:pStyle w:val="TableContents"/>
              <w:bidi w:val="0"/>
              <w:spacing w:before="0" w:after="283"/>
              <w:jc w:val="left"/>
              <w:rPr>
                <w:i/>
              </w:rPr>
            </w:pPr>
            <w:r>
              <w:rPr>
                <w:i/>
              </w:rPr>
              <w:t>($ in Thousands)</w:t>
            </w:r>
          </w:p>
        </w:tc>
        <w:tc>
          <w:tcPr>
            <w:tcW w:w="60" w:type="dxa"/>
            <w:tcBorders/>
            <w:vAlign w:val="center"/>
          </w:tcPr>
          <w:p>
            <w:pPr>
              <w:pStyle w:val="TableContents"/>
              <w:bidi w:val="0"/>
              <w:spacing w:before="0" w:after="283"/>
              <w:jc w:val="left"/>
              <w:rPr/>
            </w:pPr>
            <w:r>
              <w:rPr/>
              <w:t> </w:t>
            </w:r>
          </w:p>
        </w:tc>
        <w:tc>
          <w:tcPr>
            <w:tcW w:w="1109"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2025</w:t>
            </w:r>
          </w:p>
        </w:tc>
        <w:tc>
          <w:tcPr>
            <w:tcW w:w="117"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109"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5"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233" w:type="dxa"/>
            <w:tcBorders/>
            <w:vAlign w:val="center"/>
          </w:tcPr>
          <w:p>
            <w:pPr>
              <w:pStyle w:val="TableContents"/>
              <w:bidi w:val="0"/>
              <w:spacing w:before="0" w:after="283"/>
              <w:jc w:val="left"/>
              <w:rPr/>
            </w:pPr>
            <w:r>
              <w:rPr/>
              <w:t> </w:t>
            </w:r>
          </w:p>
        </w:tc>
      </w:tr>
      <w:tr>
        <w:trPr/>
        <w:tc>
          <w:tcPr>
            <w:tcW w:w="5603" w:type="dxa"/>
            <w:tcBorders/>
            <w:shd w:fill="CCEEFF" w:val="clear"/>
            <w:vAlign w:val="center"/>
          </w:tcPr>
          <w:p>
            <w:pPr>
              <w:pStyle w:val="TableContents"/>
              <w:bidi w:val="0"/>
              <w:spacing w:before="0" w:after="283"/>
              <w:jc w:val="left"/>
              <w:rPr/>
            </w:pPr>
            <w:r>
              <w:rPr/>
              <w:t>Operating income:</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 </w:t>
            </w:r>
          </w:p>
        </w:tc>
        <w:tc>
          <w:tcPr>
            <w:tcW w:w="117"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233" w:type="dxa"/>
            <w:tcBorders/>
            <w:shd w:fill="CCEEFF" w:val="clear"/>
            <w:vAlign w:val="center"/>
          </w:tcPr>
          <w:p>
            <w:pPr>
              <w:pStyle w:val="TableContents"/>
              <w:bidi w:val="0"/>
              <w:spacing w:before="0" w:after="283"/>
              <w:jc w:val="left"/>
              <w:rPr/>
            </w:pPr>
            <w:r>
              <w:rPr/>
              <w:t> </w:t>
            </w:r>
          </w:p>
        </w:tc>
      </w:tr>
      <w:tr>
        <w:trPr/>
        <w:tc>
          <w:tcPr>
            <w:tcW w:w="5603" w:type="dxa"/>
            <w:tcBorders/>
            <w:shd w:fill="FFFFFF" w:val="clear"/>
            <w:vAlign w:val="center"/>
          </w:tcPr>
          <w:p>
            <w:pPr>
              <w:pStyle w:val="TableContents"/>
              <w:bidi w:val="0"/>
              <w:spacing w:before="0" w:after="283"/>
              <w:jc w:val="left"/>
              <w:rPr/>
            </w:pPr>
            <w:r>
              <w:rPr/>
              <w:t>Revenue</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w:t>
            </w:r>
          </w:p>
        </w:tc>
        <w:tc>
          <w:tcPr>
            <w:tcW w:w="936" w:type="dxa"/>
            <w:tcBorders/>
            <w:shd w:fill="FFFFFF" w:val="clear"/>
            <w:vAlign w:val="center"/>
          </w:tcPr>
          <w:p>
            <w:pPr>
              <w:pStyle w:val="TableContents"/>
              <w:bidi w:val="0"/>
              <w:spacing w:before="0" w:after="283"/>
              <w:jc w:val="right"/>
              <w:rPr/>
            </w:pPr>
            <w:r>
              <w:rPr/>
              <w:t>12,161</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w:t>
            </w:r>
          </w:p>
        </w:tc>
        <w:tc>
          <w:tcPr>
            <w:tcW w:w="936" w:type="dxa"/>
            <w:tcBorders/>
            <w:shd w:fill="FFFFFF" w:val="clear"/>
            <w:vAlign w:val="center"/>
          </w:tcPr>
          <w:p>
            <w:pPr>
              <w:pStyle w:val="TableContents"/>
              <w:bidi w:val="0"/>
              <w:spacing w:before="0" w:after="283"/>
              <w:jc w:val="right"/>
              <w:rPr/>
            </w:pPr>
            <w:r>
              <w:rPr/>
              <w:t>4,528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7,633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168.6</w:t>
            </w:r>
          </w:p>
        </w:tc>
        <w:tc>
          <w:tcPr>
            <w:tcW w:w="233" w:type="dxa"/>
            <w:tcBorders/>
            <w:shd w:fill="FFFFFF" w:val="clear"/>
            <w:vAlign w:val="center"/>
          </w:tcPr>
          <w:p>
            <w:pPr>
              <w:pStyle w:val="TableContents"/>
              <w:bidi w:val="0"/>
              <w:spacing w:before="0" w:after="283"/>
              <w:jc w:val="left"/>
              <w:rPr/>
            </w:pPr>
            <w:r>
              <w:rPr/>
              <w:t>%</w:t>
            </w:r>
          </w:p>
        </w:tc>
      </w:tr>
      <w:tr>
        <w:trPr/>
        <w:tc>
          <w:tcPr>
            <w:tcW w:w="5603" w:type="dxa"/>
            <w:tcBorders/>
            <w:shd w:fill="CCEEFF" w:val="clear"/>
            <w:vAlign w:val="center"/>
          </w:tcPr>
          <w:p>
            <w:pPr>
              <w:pStyle w:val="TableContents"/>
              <w:bidi w:val="0"/>
              <w:spacing w:before="0" w:after="283"/>
              <w:jc w:val="left"/>
              <w:rPr/>
            </w:pPr>
            <w:r>
              <w:rPr/>
              <w:t>Cost of revenue</w:t>
            </w:r>
          </w:p>
        </w:tc>
        <w:tc>
          <w:tcPr>
            <w:tcW w:w="60" w:type="dxa"/>
            <w:tcBorders/>
            <w:shd w:fill="CCEEFF" w:val="clear"/>
            <w:vAlign w:val="center"/>
          </w:tcPr>
          <w:p>
            <w:pPr>
              <w:pStyle w:val="TableContents"/>
              <w:bidi w:val="0"/>
              <w:spacing w:before="0" w:after="283"/>
              <w:jc w:val="left"/>
              <w:rPr/>
            </w:pPr>
            <w:r>
              <w:rPr/>
              <w:t> </w:t>
            </w:r>
          </w:p>
        </w:tc>
        <w:tc>
          <w:tcPr>
            <w:tcW w:w="1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36" w:type="dxa"/>
            <w:tcBorders>
              <w:bottom w:val="single" w:sz="8" w:space="0" w:color="000000"/>
            </w:tcBorders>
            <w:shd w:fill="CCEEFF" w:val="clear"/>
            <w:tcMar>
              <w:bottom w:w="28" w:type="dxa"/>
            </w:tcMar>
            <w:vAlign w:val="center"/>
          </w:tcPr>
          <w:p>
            <w:pPr>
              <w:pStyle w:val="TableContents"/>
              <w:bidi w:val="0"/>
              <w:spacing w:before="0" w:after="283"/>
              <w:jc w:val="right"/>
              <w:rPr/>
            </w:pPr>
            <w:r>
              <w:rPr/>
              <w:t>2,189</w:t>
            </w:r>
          </w:p>
        </w:tc>
        <w:tc>
          <w:tcPr>
            <w:tcW w:w="117"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36" w:type="dxa"/>
            <w:tcBorders>
              <w:bottom w:val="single" w:sz="8" w:space="0" w:color="000000"/>
            </w:tcBorders>
            <w:shd w:fill="CCEEFF" w:val="clear"/>
            <w:tcMar>
              <w:bottom w:w="28" w:type="dxa"/>
            </w:tcMar>
            <w:vAlign w:val="center"/>
          </w:tcPr>
          <w:p>
            <w:pPr>
              <w:pStyle w:val="TableContents"/>
              <w:bidi w:val="0"/>
              <w:spacing w:before="0" w:after="283"/>
              <w:jc w:val="right"/>
              <w:rPr/>
            </w:pPr>
            <w:r>
              <w:rPr/>
              <w:t>1,423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766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pPr>
            <w:r>
              <w:rPr/>
              <w:t>53.8</w:t>
            </w:r>
          </w:p>
        </w:tc>
        <w:tc>
          <w:tcPr>
            <w:tcW w:w="233" w:type="dxa"/>
            <w:tcBorders/>
            <w:shd w:fill="CCEEFF" w:val="clear"/>
            <w:vAlign w:val="center"/>
          </w:tcPr>
          <w:p>
            <w:pPr>
              <w:pStyle w:val="TableContents"/>
              <w:bidi w:val="0"/>
              <w:spacing w:before="0" w:after="283"/>
              <w:jc w:val="left"/>
              <w:rPr/>
            </w:pPr>
            <w:r>
              <w:rPr/>
              <w:t>%</w:t>
            </w:r>
          </w:p>
        </w:tc>
      </w:tr>
      <w:tr>
        <w:trPr/>
        <w:tc>
          <w:tcPr>
            <w:tcW w:w="5603" w:type="dxa"/>
            <w:tcBorders/>
            <w:shd w:fill="FFFFFF" w:val="clear"/>
            <w:vAlign w:val="center"/>
          </w:tcPr>
          <w:p>
            <w:pPr>
              <w:pStyle w:val="TableContents"/>
              <w:bidi w:val="0"/>
              <w:spacing w:before="0" w:after="283"/>
              <w:jc w:val="left"/>
              <w:rPr/>
            </w:pPr>
            <w:r>
              <w:rPr/>
              <w:t>Gross profit</w:t>
            </w:r>
          </w:p>
        </w:tc>
        <w:tc>
          <w:tcPr>
            <w:tcW w:w="60" w:type="dxa"/>
            <w:tcBorders/>
            <w:shd w:fill="FFFFFF" w:val="clear"/>
            <w:vAlign w:val="center"/>
          </w:tcPr>
          <w:p>
            <w:pPr>
              <w:pStyle w:val="TableContents"/>
              <w:bidi w:val="0"/>
              <w:spacing w:before="0" w:after="283"/>
              <w:jc w:val="left"/>
              <w:rPr/>
            </w:pPr>
            <w:r>
              <w:rPr/>
              <w:t> </w:t>
            </w:r>
          </w:p>
        </w:tc>
        <w:tc>
          <w:tcPr>
            <w:tcW w:w="1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36" w:type="dxa"/>
            <w:tcBorders>
              <w:bottom w:val="single" w:sz="8" w:space="0" w:color="000000"/>
            </w:tcBorders>
            <w:shd w:fill="FFFFFF" w:val="clear"/>
            <w:tcMar>
              <w:bottom w:w="28" w:type="dxa"/>
            </w:tcMar>
            <w:vAlign w:val="center"/>
          </w:tcPr>
          <w:p>
            <w:pPr>
              <w:pStyle w:val="TableContents"/>
              <w:bidi w:val="0"/>
              <w:spacing w:before="0" w:after="283"/>
              <w:jc w:val="right"/>
              <w:rPr/>
            </w:pPr>
            <w:r>
              <w:rPr/>
              <w:t>9,972</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36" w:type="dxa"/>
            <w:tcBorders>
              <w:bottom w:val="single" w:sz="8" w:space="0" w:color="000000"/>
            </w:tcBorders>
            <w:shd w:fill="FFFFFF" w:val="clear"/>
            <w:tcMar>
              <w:bottom w:w="28" w:type="dxa"/>
            </w:tcMar>
            <w:vAlign w:val="center"/>
          </w:tcPr>
          <w:p>
            <w:pPr>
              <w:pStyle w:val="TableContents"/>
              <w:bidi w:val="0"/>
              <w:spacing w:before="0" w:after="283"/>
              <w:jc w:val="right"/>
              <w:rPr/>
            </w:pPr>
            <w:r>
              <w:rPr/>
              <w:t>3,105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6,867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pPr>
            <w:r>
              <w:rPr/>
              <w:t>221.2</w:t>
            </w:r>
          </w:p>
        </w:tc>
        <w:tc>
          <w:tcPr>
            <w:tcW w:w="233" w:type="dxa"/>
            <w:tcBorders/>
            <w:shd w:fill="FFFFFF" w:val="clear"/>
            <w:vAlign w:val="center"/>
          </w:tcPr>
          <w:p>
            <w:pPr>
              <w:pStyle w:val="TableContents"/>
              <w:bidi w:val="0"/>
              <w:spacing w:before="0" w:after="283"/>
              <w:jc w:val="left"/>
              <w:rPr/>
            </w:pPr>
            <w:r>
              <w:rPr/>
              <w:t>%</w:t>
            </w:r>
          </w:p>
        </w:tc>
      </w:tr>
      <w:tr>
        <w:trPr/>
        <w:tc>
          <w:tcPr>
            <w:tcW w:w="5603" w:type="dxa"/>
            <w:tcBorders/>
            <w:shd w:fill="CCEEFF" w:val="clear"/>
            <w:vAlign w:val="center"/>
          </w:tcPr>
          <w:p>
            <w:pPr>
              <w:pStyle w:val="TableContents"/>
              <w:bidi w:val="0"/>
              <w:spacing w:before="0" w:after="283"/>
              <w:jc w:val="left"/>
              <w:rPr/>
            </w:pPr>
            <w:r>
              <w:rPr/>
              <w:t>Operating expenses:</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 </w:t>
            </w:r>
          </w:p>
        </w:tc>
        <w:tc>
          <w:tcPr>
            <w:tcW w:w="117"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233" w:type="dxa"/>
            <w:tcBorders/>
            <w:shd w:fill="CCEEFF" w:val="clear"/>
            <w:vAlign w:val="center"/>
          </w:tcPr>
          <w:p>
            <w:pPr>
              <w:pStyle w:val="TableContents"/>
              <w:bidi w:val="0"/>
              <w:spacing w:before="0" w:after="283"/>
              <w:jc w:val="left"/>
              <w:rPr/>
            </w:pPr>
            <w:r>
              <w:rPr/>
              <w:t> </w:t>
            </w:r>
          </w:p>
        </w:tc>
      </w:tr>
      <w:tr>
        <w:trPr/>
        <w:tc>
          <w:tcPr>
            <w:tcW w:w="5603" w:type="dxa"/>
            <w:tcBorders/>
            <w:shd w:fill="FFFFFF" w:val="clear"/>
            <w:vAlign w:val="center"/>
          </w:tcPr>
          <w:p>
            <w:pPr>
              <w:pStyle w:val="TableContents"/>
              <w:bidi w:val="0"/>
              <w:spacing w:before="0" w:after="283"/>
              <w:jc w:val="left"/>
              <w:rPr/>
            </w:pPr>
            <w:r>
              <w:rPr/>
              <w:t>General and administrative expenses</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27,287</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16,549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10,738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64.9</w:t>
            </w:r>
          </w:p>
        </w:tc>
        <w:tc>
          <w:tcPr>
            <w:tcW w:w="233" w:type="dxa"/>
            <w:tcBorders/>
            <w:shd w:fill="FFFFFF" w:val="clear"/>
            <w:vAlign w:val="center"/>
          </w:tcPr>
          <w:p>
            <w:pPr>
              <w:pStyle w:val="TableContents"/>
              <w:bidi w:val="0"/>
              <w:spacing w:before="0" w:after="283"/>
              <w:jc w:val="left"/>
              <w:rPr/>
            </w:pPr>
            <w:r>
              <w:rPr/>
              <w:t>%</w:t>
            </w:r>
          </w:p>
        </w:tc>
      </w:tr>
      <w:tr>
        <w:trPr/>
        <w:tc>
          <w:tcPr>
            <w:tcW w:w="5603" w:type="dxa"/>
            <w:tcBorders/>
            <w:shd w:fill="CCEEFF" w:val="clear"/>
            <w:vAlign w:val="center"/>
          </w:tcPr>
          <w:p>
            <w:pPr>
              <w:pStyle w:val="TableContents"/>
              <w:bidi w:val="0"/>
              <w:spacing w:before="0" w:after="283"/>
              <w:jc w:val="left"/>
              <w:rPr/>
            </w:pPr>
            <w:r>
              <w:rPr/>
              <w:t>Depreciation and amortization expense</w:t>
            </w:r>
          </w:p>
        </w:tc>
        <w:tc>
          <w:tcPr>
            <w:tcW w:w="60" w:type="dxa"/>
            <w:tcBorders/>
            <w:shd w:fill="CCEEFF" w:val="clear"/>
            <w:vAlign w:val="center"/>
          </w:tcPr>
          <w:p>
            <w:pPr>
              <w:pStyle w:val="TableContents"/>
              <w:bidi w:val="0"/>
              <w:spacing w:before="0" w:after="283"/>
              <w:jc w:val="left"/>
              <w:rPr/>
            </w:pPr>
            <w:r>
              <w:rPr/>
              <w:t> </w:t>
            </w:r>
          </w:p>
        </w:tc>
        <w:tc>
          <w:tcPr>
            <w:tcW w:w="1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36" w:type="dxa"/>
            <w:tcBorders>
              <w:bottom w:val="single" w:sz="8" w:space="0" w:color="000000"/>
            </w:tcBorders>
            <w:shd w:fill="CCEEFF" w:val="clear"/>
            <w:tcMar>
              <w:bottom w:w="28" w:type="dxa"/>
            </w:tcMar>
            <w:vAlign w:val="center"/>
          </w:tcPr>
          <w:p>
            <w:pPr>
              <w:pStyle w:val="TableContents"/>
              <w:bidi w:val="0"/>
              <w:spacing w:before="0" w:after="283"/>
              <w:jc w:val="right"/>
              <w:rPr/>
            </w:pPr>
            <w:r>
              <w:rPr/>
              <w:t>1,150</w:t>
            </w:r>
          </w:p>
        </w:tc>
        <w:tc>
          <w:tcPr>
            <w:tcW w:w="117"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36" w:type="dxa"/>
            <w:tcBorders>
              <w:bottom w:val="single" w:sz="8" w:space="0" w:color="000000"/>
            </w:tcBorders>
            <w:shd w:fill="CCEEFF" w:val="clear"/>
            <w:tcMar>
              <w:bottom w:w="28" w:type="dxa"/>
            </w:tcMar>
            <w:vAlign w:val="center"/>
          </w:tcPr>
          <w:p>
            <w:pPr>
              <w:pStyle w:val="TableContents"/>
              <w:bidi w:val="0"/>
              <w:spacing w:before="0" w:after="283"/>
              <w:jc w:val="right"/>
              <w:rPr/>
            </w:pPr>
            <w:r>
              <w:rPr/>
              <w:t>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1,126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233" w:type="dxa"/>
            <w:tcBorders/>
            <w:shd w:fill="CCEEFF" w:val="clear"/>
            <w:vAlign w:val="center"/>
          </w:tcPr>
          <w:p>
            <w:pPr>
              <w:pStyle w:val="TableContents"/>
              <w:bidi w:val="0"/>
              <w:spacing w:before="0" w:after="283"/>
              <w:jc w:val="left"/>
              <w:rPr/>
            </w:pPr>
            <w:r>
              <w:rPr/>
              <w:t> </w:t>
            </w:r>
          </w:p>
        </w:tc>
      </w:tr>
      <w:tr>
        <w:trPr/>
        <w:tc>
          <w:tcPr>
            <w:tcW w:w="5603" w:type="dxa"/>
            <w:tcBorders/>
            <w:shd w:fill="FFFFFF" w:val="clear"/>
            <w:vAlign w:val="center"/>
          </w:tcPr>
          <w:p>
            <w:pPr>
              <w:pStyle w:val="TableContents"/>
              <w:bidi w:val="0"/>
              <w:spacing w:before="0" w:after="283"/>
              <w:jc w:val="left"/>
              <w:rPr/>
            </w:pPr>
            <w:r>
              <w:rPr/>
              <w:t>Total operating expenses</w:t>
            </w:r>
          </w:p>
        </w:tc>
        <w:tc>
          <w:tcPr>
            <w:tcW w:w="60" w:type="dxa"/>
            <w:tcBorders/>
            <w:shd w:fill="FFFFFF" w:val="clear"/>
            <w:vAlign w:val="center"/>
          </w:tcPr>
          <w:p>
            <w:pPr>
              <w:pStyle w:val="TableContents"/>
              <w:bidi w:val="0"/>
              <w:spacing w:before="0" w:after="283"/>
              <w:jc w:val="left"/>
              <w:rPr/>
            </w:pPr>
            <w:r>
              <w:rPr/>
              <w:t> </w:t>
            </w:r>
          </w:p>
        </w:tc>
        <w:tc>
          <w:tcPr>
            <w:tcW w:w="1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36" w:type="dxa"/>
            <w:tcBorders>
              <w:bottom w:val="single" w:sz="8" w:space="0" w:color="000000"/>
            </w:tcBorders>
            <w:shd w:fill="FFFFFF" w:val="clear"/>
            <w:tcMar>
              <w:bottom w:w="28" w:type="dxa"/>
            </w:tcMar>
            <w:vAlign w:val="center"/>
          </w:tcPr>
          <w:p>
            <w:pPr>
              <w:pStyle w:val="TableContents"/>
              <w:bidi w:val="0"/>
              <w:spacing w:before="0" w:after="283"/>
              <w:jc w:val="right"/>
              <w:rPr/>
            </w:pPr>
            <w:r>
              <w:rPr/>
              <w:t>28,437</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36" w:type="dxa"/>
            <w:tcBorders>
              <w:bottom w:val="single" w:sz="8" w:space="0" w:color="000000"/>
            </w:tcBorders>
            <w:shd w:fill="FFFFFF" w:val="clear"/>
            <w:tcMar>
              <w:bottom w:w="28" w:type="dxa"/>
            </w:tcMar>
            <w:vAlign w:val="center"/>
          </w:tcPr>
          <w:p>
            <w:pPr>
              <w:pStyle w:val="TableContents"/>
              <w:bidi w:val="0"/>
              <w:spacing w:before="0" w:after="283"/>
              <w:jc w:val="right"/>
              <w:rPr/>
            </w:pPr>
            <w:r>
              <w:rPr/>
              <w:t>16,573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11,864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pPr>
            <w:r>
              <w:rPr/>
              <w:t>71.6</w:t>
            </w:r>
          </w:p>
        </w:tc>
        <w:tc>
          <w:tcPr>
            <w:tcW w:w="233" w:type="dxa"/>
            <w:tcBorders/>
            <w:shd w:fill="FFFFFF" w:val="clear"/>
            <w:vAlign w:val="center"/>
          </w:tcPr>
          <w:p>
            <w:pPr>
              <w:pStyle w:val="TableContents"/>
              <w:bidi w:val="0"/>
              <w:spacing w:before="0" w:after="283"/>
              <w:jc w:val="left"/>
              <w:rPr/>
            </w:pPr>
            <w:r>
              <w:rPr/>
              <w:t>%</w:t>
            </w:r>
          </w:p>
        </w:tc>
      </w:tr>
      <w:tr>
        <w:trPr/>
        <w:tc>
          <w:tcPr>
            <w:tcW w:w="5603" w:type="dxa"/>
            <w:tcBorders/>
            <w:shd w:fill="CCEEFF" w:val="clear"/>
            <w:vAlign w:val="center"/>
          </w:tcPr>
          <w:p>
            <w:pPr>
              <w:pStyle w:val="TableContents"/>
              <w:bidi w:val="0"/>
              <w:spacing w:before="0" w:after="283"/>
              <w:jc w:val="left"/>
              <w:rPr/>
            </w:pPr>
            <w:r>
              <w:rPr/>
              <w:t>Operating loss</w:t>
            </w:r>
          </w:p>
        </w:tc>
        <w:tc>
          <w:tcPr>
            <w:tcW w:w="60" w:type="dxa"/>
            <w:tcBorders/>
            <w:shd w:fill="CCEEFF" w:val="clear"/>
            <w:vAlign w:val="center"/>
          </w:tcPr>
          <w:p>
            <w:pPr>
              <w:pStyle w:val="TableContents"/>
              <w:bidi w:val="0"/>
              <w:spacing w:before="0" w:after="283"/>
              <w:jc w:val="left"/>
              <w:rPr/>
            </w:pPr>
            <w:r>
              <w:rPr/>
              <w:t> </w:t>
            </w:r>
          </w:p>
        </w:tc>
        <w:tc>
          <w:tcPr>
            <w:tcW w:w="1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36" w:type="dxa"/>
            <w:tcBorders>
              <w:bottom w:val="single" w:sz="8" w:space="0" w:color="000000"/>
            </w:tcBorders>
            <w:shd w:fill="CCEEFF" w:val="clear"/>
            <w:tcMar>
              <w:bottom w:w="28" w:type="dxa"/>
            </w:tcMar>
            <w:vAlign w:val="center"/>
          </w:tcPr>
          <w:p>
            <w:pPr>
              <w:pStyle w:val="TableContents"/>
              <w:bidi w:val="0"/>
              <w:spacing w:before="0" w:after="283"/>
              <w:jc w:val="right"/>
              <w:rPr/>
            </w:pPr>
            <w:r>
              <w:rPr/>
              <w:t>(18,465</w:t>
            </w:r>
          </w:p>
        </w:tc>
        <w:tc>
          <w:tcPr>
            <w:tcW w:w="117" w:type="dxa"/>
            <w:tcBorders/>
            <w:shd w:fill="CCEEFF" w:val="clear"/>
            <w:vAlign w:val="center"/>
          </w:tcPr>
          <w:p>
            <w:pPr>
              <w:pStyle w:val="TableContents"/>
              <w:bidi w:val="0"/>
              <w:spacing w:before="0" w:after="283"/>
              <w:jc w:val="left"/>
              <w:rPr/>
            </w:pPr>
            <w:r>
              <w:rPr/>
              <w:t>)</w:t>
            </w:r>
          </w:p>
        </w:tc>
        <w:tc>
          <w:tcPr>
            <w:tcW w:w="74" w:type="dxa"/>
            <w:tcBorders/>
            <w:shd w:fill="CCEEFF" w:val="clear"/>
            <w:vAlign w:val="center"/>
          </w:tcPr>
          <w:p>
            <w:pPr>
              <w:pStyle w:val="TableContents"/>
              <w:bidi w:val="0"/>
              <w:spacing w:before="0" w:after="283"/>
              <w:jc w:val="left"/>
              <w:rPr/>
            </w:pPr>
            <w:r>
              <w:rPr/>
              <w:t> </w:t>
            </w:r>
          </w:p>
        </w:tc>
        <w:tc>
          <w:tcPr>
            <w:tcW w:w="1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36" w:type="dxa"/>
            <w:tcBorders>
              <w:bottom w:val="single" w:sz="8" w:space="0" w:color="000000"/>
            </w:tcBorders>
            <w:shd w:fill="CCEEFF" w:val="clear"/>
            <w:tcMar>
              <w:bottom w:w="28" w:type="dxa"/>
            </w:tcMar>
            <w:vAlign w:val="center"/>
          </w:tcPr>
          <w:p>
            <w:pPr>
              <w:pStyle w:val="TableContents"/>
              <w:bidi w:val="0"/>
              <w:spacing w:before="0" w:after="283"/>
              <w:jc w:val="right"/>
              <w:rPr/>
            </w:pPr>
            <w:r>
              <w:rPr/>
              <w:t>(13,468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(4,997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pPr>
            <w:r>
              <w:rPr/>
              <w:t>37.1</w:t>
            </w:r>
          </w:p>
        </w:tc>
        <w:tc>
          <w:tcPr>
            <w:tcW w:w="233" w:type="dxa"/>
            <w:tcBorders/>
            <w:shd w:fill="CCEEFF" w:val="clear"/>
            <w:vAlign w:val="center"/>
          </w:tcPr>
          <w:p>
            <w:pPr>
              <w:pStyle w:val="TableContents"/>
              <w:bidi w:val="0"/>
              <w:spacing w:before="0" w:after="283"/>
              <w:jc w:val="left"/>
              <w:rPr/>
            </w:pPr>
            <w:r>
              <w:rPr/>
              <w:t>%</w:t>
            </w:r>
          </w:p>
        </w:tc>
      </w:tr>
      <w:tr>
        <w:trPr/>
        <w:tc>
          <w:tcPr>
            <w:tcW w:w="5603" w:type="dxa"/>
            <w:tcBorders/>
            <w:shd w:fill="FFFFFF" w:val="clear"/>
            <w:vAlign w:val="center"/>
          </w:tcPr>
          <w:p>
            <w:pPr>
              <w:pStyle w:val="TableContents"/>
              <w:bidi w:val="0"/>
              <w:spacing w:before="0" w:after="283"/>
              <w:jc w:val="left"/>
              <w:rPr/>
            </w:pPr>
            <w:r>
              <w:rPr/>
              <w:t>Other expenses (income):</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 </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233" w:type="dxa"/>
            <w:tcBorders/>
            <w:shd w:fill="FFFFFF" w:val="clear"/>
            <w:vAlign w:val="center"/>
          </w:tcPr>
          <w:p>
            <w:pPr>
              <w:pStyle w:val="TableContents"/>
              <w:bidi w:val="0"/>
              <w:spacing w:before="0" w:after="283"/>
              <w:jc w:val="left"/>
              <w:rPr/>
            </w:pPr>
            <w:r>
              <w:rPr/>
              <w:t> </w:t>
            </w:r>
          </w:p>
        </w:tc>
      </w:tr>
      <w:tr>
        <w:trPr/>
        <w:tc>
          <w:tcPr>
            <w:tcW w:w="5603" w:type="dxa"/>
            <w:tcBorders/>
            <w:shd w:fill="CCEEFF" w:val="clear"/>
            <w:vAlign w:val="center"/>
          </w:tcPr>
          <w:p>
            <w:pPr>
              <w:pStyle w:val="TableContents"/>
              <w:bidi w:val="0"/>
              <w:spacing w:before="0" w:after="283"/>
              <w:jc w:val="left"/>
              <w:rPr/>
            </w:pPr>
            <w:r>
              <w:rPr/>
              <w:t>GEM settlement fee expense</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w:t>
            </w:r>
          </w:p>
        </w:tc>
        <w:tc>
          <w:tcPr>
            <w:tcW w:w="117"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200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-100.0</w:t>
            </w:r>
          </w:p>
        </w:tc>
        <w:tc>
          <w:tcPr>
            <w:tcW w:w="233" w:type="dxa"/>
            <w:tcBorders/>
            <w:shd w:fill="CCEEFF" w:val="clear"/>
            <w:vAlign w:val="center"/>
          </w:tcPr>
          <w:p>
            <w:pPr>
              <w:pStyle w:val="TableContents"/>
              <w:bidi w:val="0"/>
              <w:spacing w:before="0" w:after="283"/>
              <w:jc w:val="left"/>
              <w:rPr/>
            </w:pPr>
            <w:r>
              <w:rPr/>
              <w:t>%</w:t>
            </w:r>
          </w:p>
        </w:tc>
      </w:tr>
      <w:tr>
        <w:trPr/>
        <w:tc>
          <w:tcPr>
            <w:tcW w:w="5603" w:type="dxa"/>
            <w:tcBorders/>
            <w:shd w:fill="FFFFFF" w:val="clear"/>
            <w:vAlign w:val="center"/>
          </w:tcPr>
          <w:p>
            <w:pPr>
              <w:pStyle w:val="TableContents"/>
              <w:bidi w:val="0"/>
              <w:spacing w:before="0" w:after="283"/>
              <w:jc w:val="left"/>
              <w:rPr/>
            </w:pPr>
            <w:r>
              <w:rPr/>
              <w:t>Interest income</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(3</w:t>
            </w:r>
          </w:p>
        </w:tc>
        <w:tc>
          <w:tcPr>
            <w:tcW w:w="117" w:type="dxa"/>
            <w:tcBorders/>
            <w:shd w:fill="FFFFFF" w:val="clear"/>
            <w:vAlign w:val="center"/>
          </w:tcPr>
          <w:p>
            <w:pPr>
              <w:pStyle w:val="TableContents"/>
              <w:bidi w:val="0"/>
              <w:spacing w:before="0" w:after="283"/>
              <w:jc w:val="left"/>
              <w:rPr/>
            </w:pPr>
            <w:r>
              <w:rPr/>
              <w:t>)</w:t>
            </w:r>
          </w:p>
        </w:tc>
        <w:tc>
          <w:tcPr>
            <w:tcW w:w="74"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233" w:type="dxa"/>
            <w:tcBorders/>
            <w:shd w:fill="FFFFFF" w:val="clear"/>
            <w:vAlign w:val="center"/>
          </w:tcPr>
          <w:p>
            <w:pPr>
              <w:pStyle w:val="TableContents"/>
              <w:bidi w:val="0"/>
              <w:spacing w:before="0" w:after="283"/>
              <w:jc w:val="left"/>
              <w:rPr/>
            </w:pPr>
            <w:r>
              <w:rPr/>
              <w:t> </w:t>
            </w:r>
          </w:p>
        </w:tc>
      </w:tr>
      <w:tr>
        <w:trPr/>
        <w:tc>
          <w:tcPr>
            <w:tcW w:w="5603" w:type="dxa"/>
            <w:tcBorders/>
            <w:shd w:fill="CCEEFF" w:val="clear"/>
            <w:vAlign w:val="center"/>
          </w:tcPr>
          <w:p>
            <w:pPr>
              <w:pStyle w:val="TableContents"/>
              <w:bidi w:val="0"/>
              <w:spacing w:before="0" w:after="283"/>
              <w:jc w:val="left"/>
              <w:rPr/>
            </w:pPr>
            <w:r>
              <w:rPr/>
              <w:t>Interest expense</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1,228</w:t>
            </w:r>
          </w:p>
        </w:tc>
        <w:tc>
          <w:tcPr>
            <w:tcW w:w="117"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1,228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233" w:type="dxa"/>
            <w:tcBorders/>
            <w:shd w:fill="CCEEFF" w:val="clear"/>
            <w:vAlign w:val="center"/>
          </w:tcPr>
          <w:p>
            <w:pPr>
              <w:pStyle w:val="TableContents"/>
              <w:bidi w:val="0"/>
              <w:spacing w:before="0" w:after="283"/>
              <w:jc w:val="left"/>
              <w:rPr/>
            </w:pPr>
            <w:r>
              <w:rPr/>
              <w:t> </w:t>
            </w:r>
          </w:p>
        </w:tc>
      </w:tr>
      <w:tr>
        <w:trPr/>
        <w:tc>
          <w:tcPr>
            <w:tcW w:w="5603" w:type="dxa"/>
            <w:tcBorders/>
            <w:shd w:fill="FFFFFF" w:val="clear"/>
            <w:vAlign w:val="center"/>
          </w:tcPr>
          <w:p>
            <w:pPr>
              <w:pStyle w:val="TableContents"/>
              <w:bidi w:val="0"/>
              <w:spacing w:before="0" w:after="283"/>
              <w:jc w:val="left"/>
              <w:rPr/>
            </w:pPr>
            <w:r>
              <w:rPr/>
              <w:t>Interest expense – related party</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1,157</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3,047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(1,890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-62.0</w:t>
            </w:r>
          </w:p>
        </w:tc>
        <w:tc>
          <w:tcPr>
            <w:tcW w:w="233" w:type="dxa"/>
            <w:tcBorders/>
            <w:shd w:fill="FFFFFF" w:val="clear"/>
            <w:vAlign w:val="center"/>
          </w:tcPr>
          <w:p>
            <w:pPr>
              <w:pStyle w:val="TableContents"/>
              <w:bidi w:val="0"/>
              <w:spacing w:before="0" w:after="283"/>
              <w:jc w:val="left"/>
              <w:rPr/>
            </w:pPr>
            <w:r>
              <w:rPr/>
              <w:t>%</w:t>
            </w:r>
          </w:p>
        </w:tc>
      </w:tr>
      <w:tr>
        <w:trPr/>
        <w:tc>
          <w:tcPr>
            <w:tcW w:w="5603" w:type="dxa"/>
            <w:tcBorders/>
            <w:shd w:fill="CCEEFF" w:val="clear"/>
            <w:vAlign w:val="center"/>
          </w:tcPr>
          <w:p>
            <w:pPr>
              <w:pStyle w:val="TableContents"/>
              <w:bidi w:val="0"/>
              <w:spacing w:before="0" w:after="283"/>
              <w:jc w:val="left"/>
              <w:rPr/>
            </w:pPr>
            <w:r>
              <w:rPr/>
              <w:t>Gain on extinguishment of liabilities</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(4,489</w:t>
            </w:r>
          </w:p>
        </w:tc>
        <w:tc>
          <w:tcPr>
            <w:tcW w:w="117" w:type="dxa"/>
            <w:tcBorders/>
            <w:shd w:fill="CCEEFF" w:val="clear"/>
            <w:vAlign w:val="center"/>
          </w:tcPr>
          <w:p>
            <w:pPr>
              <w:pStyle w:val="TableContents"/>
              <w:bidi w:val="0"/>
              <w:spacing w:before="0" w:after="283"/>
              <w:jc w:val="left"/>
              <w:rPr/>
            </w:pPr>
            <w:r>
              <w:rPr/>
              <w:t>)</w:t>
            </w:r>
          </w:p>
        </w:tc>
        <w:tc>
          <w:tcPr>
            <w:tcW w:w="74"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(681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(3,808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559.2</w:t>
            </w:r>
          </w:p>
        </w:tc>
        <w:tc>
          <w:tcPr>
            <w:tcW w:w="233" w:type="dxa"/>
            <w:tcBorders/>
            <w:shd w:fill="CCEEFF" w:val="clear"/>
            <w:vAlign w:val="center"/>
          </w:tcPr>
          <w:p>
            <w:pPr>
              <w:pStyle w:val="TableContents"/>
              <w:bidi w:val="0"/>
              <w:spacing w:before="0" w:after="283"/>
              <w:jc w:val="left"/>
              <w:rPr/>
            </w:pPr>
            <w:r>
              <w:rPr/>
              <w:t>%</w:t>
            </w:r>
          </w:p>
        </w:tc>
      </w:tr>
      <w:tr>
        <w:trPr/>
        <w:tc>
          <w:tcPr>
            <w:tcW w:w="5603" w:type="dxa"/>
            <w:tcBorders/>
            <w:shd w:fill="FFFFFF" w:val="clear"/>
            <w:vAlign w:val="center"/>
          </w:tcPr>
          <w:p>
            <w:pPr>
              <w:pStyle w:val="TableContents"/>
              <w:bidi w:val="0"/>
              <w:spacing w:before="0" w:after="283"/>
              <w:jc w:val="left"/>
              <w:rPr/>
            </w:pPr>
            <w:r>
              <w:rPr/>
              <w:t>Gain on release of Vidello revenue holdback</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(973</w:t>
            </w:r>
          </w:p>
        </w:tc>
        <w:tc>
          <w:tcPr>
            <w:tcW w:w="117" w:type="dxa"/>
            <w:tcBorders/>
            <w:shd w:fill="FFFFFF" w:val="clear"/>
            <w:vAlign w:val="center"/>
          </w:tcPr>
          <w:p>
            <w:pPr>
              <w:pStyle w:val="TableContents"/>
              <w:bidi w:val="0"/>
              <w:spacing w:before="0" w:after="283"/>
              <w:jc w:val="left"/>
              <w:rPr/>
            </w:pPr>
            <w:r>
              <w:rPr/>
              <w:t>)</w:t>
            </w:r>
          </w:p>
        </w:tc>
        <w:tc>
          <w:tcPr>
            <w:tcW w:w="74"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(973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233" w:type="dxa"/>
            <w:tcBorders/>
            <w:shd w:fill="FFFFFF" w:val="clear"/>
            <w:vAlign w:val="center"/>
          </w:tcPr>
          <w:p>
            <w:pPr>
              <w:pStyle w:val="TableContents"/>
              <w:bidi w:val="0"/>
              <w:spacing w:before="0" w:after="283"/>
              <w:jc w:val="left"/>
              <w:rPr/>
            </w:pPr>
            <w:r>
              <w:rPr/>
              <w:t> </w:t>
            </w:r>
          </w:p>
        </w:tc>
      </w:tr>
      <w:tr>
        <w:trPr/>
        <w:tc>
          <w:tcPr>
            <w:tcW w:w="5603" w:type="dxa"/>
            <w:tcBorders/>
            <w:shd w:fill="CCEEFF" w:val="clear"/>
            <w:vAlign w:val="center"/>
          </w:tcPr>
          <w:p>
            <w:pPr>
              <w:pStyle w:val="TableContents"/>
              <w:bidi w:val="0"/>
              <w:spacing w:before="0" w:after="283"/>
              <w:jc w:val="left"/>
              <w:rPr/>
            </w:pPr>
            <w:r>
              <w:rPr/>
              <w:t>Loss on debt issuance</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444</w:t>
            </w:r>
          </w:p>
        </w:tc>
        <w:tc>
          <w:tcPr>
            <w:tcW w:w="117"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653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(209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-32.0</w:t>
            </w:r>
          </w:p>
        </w:tc>
        <w:tc>
          <w:tcPr>
            <w:tcW w:w="233" w:type="dxa"/>
            <w:tcBorders/>
            <w:shd w:fill="CCEEFF" w:val="clear"/>
            <w:vAlign w:val="center"/>
          </w:tcPr>
          <w:p>
            <w:pPr>
              <w:pStyle w:val="TableContents"/>
              <w:bidi w:val="0"/>
              <w:spacing w:before="0" w:after="283"/>
              <w:jc w:val="left"/>
              <w:rPr/>
            </w:pPr>
            <w:r>
              <w:rPr/>
              <w:t>%</w:t>
            </w:r>
          </w:p>
        </w:tc>
      </w:tr>
      <w:tr>
        <w:trPr/>
        <w:tc>
          <w:tcPr>
            <w:tcW w:w="5603" w:type="dxa"/>
            <w:tcBorders/>
            <w:shd w:fill="FFFFFF" w:val="clear"/>
            <w:vAlign w:val="center"/>
          </w:tcPr>
          <w:p>
            <w:pPr>
              <w:pStyle w:val="TableContents"/>
              <w:bidi w:val="0"/>
              <w:spacing w:before="0" w:after="283"/>
              <w:jc w:val="left"/>
              <w:rPr/>
            </w:pPr>
            <w:r>
              <w:rPr/>
              <w:t>Loss on Private Placement Issuance</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4,874</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4,874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233" w:type="dxa"/>
            <w:tcBorders/>
            <w:shd w:fill="FFFFFF" w:val="clear"/>
            <w:vAlign w:val="center"/>
          </w:tcPr>
          <w:p>
            <w:pPr>
              <w:pStyle w:val="TableContents"/>
              <w:bidi w:val="0"/>
              <w:spacing w:before="0" w:after="283"/>
              <w:jc w:val="left"/>
              <w:rPr/>
            </w:pPr>
            <w:r>
              <w:rPr/>
              <w:t> </w:t>
            </w:r>
          </w:p>
        </w:tc>
      </w:tr>
      <w:tr>
        <w:trPr/>
        <w:tc>
          <w:tcPr>
            <w:tcW w:w="5603" w:type="dxa"/>
            <w:tcBorders/>
            <w:shd w:fill="CCEEFF" w:val="clear"/>
            <w:vAlign w:val="center"/>
          </w:tcPr>
          <w:p>
            <w:pPr>
              <w:pStyle w:val="TableContents"/>
              <w:bidi w:val="0"/>
              <w:spacing w:before="0" w:after="283"/>
              <w:jc w:val="left"/>
              <w:rPr/>
            </w:pPr>
            <w:r>
              <w:rPr/>
              <w:t>Loss on issuance of term notes</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111</w:t>
            </w:r>
          </w:p>
        </w:tc>
        <w:tc>
          <w:tcPr>
            <w:tcW w:w="117"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233" w:type="dxa"/>
            <w:tcBorders/>
            <w:shd w:fill="CCEEFF" w:val="clear"/>
            <w:vAlign w:val="center"/>
          </w:tcPr>
          <w:p>
            <w:pPr>
              <w:pStyle w:val="TableContents"/>
              <w:bidi w:val="0"/>
              <w:spacing w:before="0" w:after="283"/>
              <w:jc w:val="left"/>
              <w:rPr/>
            </w:pPr>
            <w:r>
              <w:rPr/>
              <w:t> </w:t>
            </w:r>
          </w:p>
        </w:tc>
      </w:tr>
      <w:tr>
        <w:trPr/>
        <w:tc>
          <w:tcPr>
            <w:tcW w:w="5603" w:type="dxa"/>
            <w:tcBorders/>
            <w:shd w:fill="FFFFFF" w:val="clear"/>
            <w:vAlign w:val="center"/>
          </w:tcPr>
          <w:p>
            <w:pPr>
              <w:pStyle w:val="TableContents"/>
              <w:bidi w:val="0"/>
              <w:spacing w:before="0" w:after="283"/>
              <w:jc w:val="left"/>
              <w:rPr/>
            </w:pPr>
            <w:r>
              <w:rPr/>
              <w:t>Loss on issuance of convertible bridge notes</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153</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153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233" w:type="dxa"/>
            <w:tcBorders/>
            <w:shd w:fill="FFFFFF" w:val="clear"/>
            <w:vAlign w:val="center"/>
          </w:tcPr>
          <w:p>
            <w:pPr>
              <w:pStyle w:val="TableContents"/>
              <w:bidi w:val="0"/>
              <w:spacing w:before="0" w:after="283"/>
              <w:jc w:val="left"/>
              <w:rPr/>
            </w:pPr>
            <w:r>
              <w:rPr/>
              <w:t> </w:t>
            </w:r>
          </w:p>
        </w:tc>
      </w:tr>
      <w:tr>
        <w:trPr/>
        <w:tc>
          <w:tcPr>
            <w:tcW w:w="5603" w:type="dxa"/>
            <w:tcBorders/>
            <w:shd w:fill="CCEEFF" w:val="clear"/>
            <w:vAlign w:val="center"/>
          </w:tcPr>
          <w:p>
            <w:pPr>
              <w:pStyle w:val="TableContents"/>
              <w:bidi w:val="0"/>
              <w:spacing w:before="0" w:after="283"/>
              <w:jc w:val="left"/>
              <w:rPr/>
            </w:pPr>
            <w:r>
              <w:rPr/>
              <w:t>Loss on conversion and settlement of Alco promissory notes – related party</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w:t>
            </w:r>
          </w:p>
        </w:tc>
        <w:tc>
          <w:tcPr>
            <w:tcW w:w="117"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4,809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(4,809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-100.0</w:t>
            </w:r>
          </w:p>
        </w:tc>
        <w:tc>
          <w:tcPr>
            <w:tcW w:w="233" w:type="dxa"/>
            <w:tcBorders/>
            <w:shd w:fill="CCEEFF" w:val="clear"/>
            <w:vAlign w:val="center"/>
          </w:tcPr>
          <w:p>
            <w:pPr>
              <w:pStyle w:val="TableContents"/>
              <w:bidi w:val="0"/>
              <w:spacing w:before="0" w:after="283"/>
              <w:jc w:val="left"/>
              <w:rPr/>
            </w:pPr>
            <w:r>
              <w:rPr/>
              <w:t>%</w:t>
            </w:r>
          </w:p>
        </w:tc>
      </w:tr>
      <w:tr>
        <w:trPr/>
        <w:tc>
          <w:tcPr>
            <w:tcW w:w="5603" w:type="dxa"/>
            <w:tcBorders/>
            <w:shd w:fill="FFFFFF" w:val="clear"/>
            <w:vAlign w:val="center"/>
          </w:tcPr>
          <w:p>
            <w:pPr>
              <w:pStyle w:val="TableContents"/>
              <w:bidi w:val="0"/>
              <w:spacing w:before="0" w:after="283"/>
              <w:jc w:val="left"/>
              <w:rPr/>
            </w:pPr>
            <w:r>
              <w:rPr/>
              <w:t>Loss on conversion and settlement of CP BF notes – related party</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6,529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(6,529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-100.0</w:t>
            </w:r>
          </w:p>
        </w:tc>
        <w:tc>
          <w:tcPr>
            <w:tcW w:w="233" w:type="dxa"/>
            <w:tcBorders/>
            <w:shd w:fill="FFFFFF" w:val="clear"/>
            <w:vAlign w:val="center"/>
          </w:tcPr>
          <w:p>
            <w:pPr>
              <w:pStyle w:val="TableContents"/>
              <w:bidi w:val="0"/>
              <w:spacing w:before="0" w:after="283"/>
              <w:jc w:val="left"/>
              <w:rPr/>
            </w:pPr>
            <w:r>
              <w:rPr/>
              <w:t>%</w:t>
            </w:r>
          </w:p>
        </w:tc>
      </w:tr>
      <w:tr>
        <w:trPr/>
        <w:tc>
          <w:tcPr>
            <w:tcW w:w="5603" w:type="dxa"/>
            <w:tcBorders/>
            <w:shd w:fill="CCEEFF" w:val="clear"/>
            <w:vAlign w:val="center"/>
          </w:tcPr>
          <w:p>
            <w:pPr>
              <w:pStyle w:val="TableContents"/>
              <w:bidi w:val="0"/>
              <w:spacing w:before="0" w:after="283"/>
              <w:jc w:val="left"/>
              <w:rPr/>
            </w:pPr>
            <w:r>
              <w:rPr/>
              <w:t>Loss on extinguishment of debt, net</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2,403</w:t>
            </w:r>
          </w:p>
        </w:tc>
        <w:tc>
          <w:tcPr>
            <w:tcW w:w="117"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1,072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1,331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124.2</w:t>
            </w:r>
          </w:p>
        </w:tc>
        <w:tc>
          <w:tcPr>
            <w:tcW w:w="233" w:type="dxa"/>
            <w:tcBorders/>
            <w:shd w:fill="CCEEFF" w:val="clear"/>
            <w:vAlign w:val="center"/>
          </w:tcPr>
          <w:p>
            <w:pPr>
              <w:pStyle w:val="TableContents"/>
              <w:bidi w:val="0"/>
              <w:spacing w:before="0" w:after="283"/>
              <w:jc w:val="left"/>
              <w:rPr/>
            </w:pPr>
            <w:r>
              <w:rPr/>
              <w:t>%</w:t>
            </w:r>
          </w:p>
        </w:tc>
      </w:tr>
      <w:tr>
        <w:trPr/>
        <w:tc>
          <w:tcPr>
            <w:tcW w:w="5603" w:type="dxa"/>
            <w:tcBorders/>
            <w:shd w:fill="FFFFFF" w:val="clear"/>
            <w:vAlign w:val="center"/>
          </w:tcPr>
          <w:p>
            <w:pPr>
              <w:pStyle w:val="TableContents"/>
              <w:bidi w:val="0"/>
              <w:spacing w:before="0" w:after="283"/>
              <w:jc w:val="left"/>
              <w:rPr/>
            </w:pPr>
            <w:r>
              <w:rPr/>
              <w:t>Change in fair value of warrant liability</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(1,244</w:t>
            </w:r>
          </w:p>
        </w:tc>
        <w:tc>
          <w:tcPr>
            <w:tcW w:w="117" w:type="dxa"/>
            <w:tcBorders/>
            <w:shd w:fill="FFFFFF" w:val="clear"/>
            <w:vAlign w:val="center"/>
          </w:tcPr>
          <w:p>
            <w:pPr>
              <w:pStyle w:val="TableContents"/>
              <w:bidi w:val="0"/>
              <w:spacing w:before="0" w:after="283"/>
              <w:jc w:val="left"/>
              <w:rPr/>
            </w:pPr>
            <w:r>
              <w:rPr/>
              <w:t>)</w:t>
            </w:r>
          </w:p>
        </w:tc>
        <w:tc>
          <w:tcPr>
            <w:tcW w:w="74"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(626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(618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98.7</w:t>
            </w:r>
          </w:p>
        </w:tc>
        <w:tc>
          <w:tcPr>
            <w:tcW w:w="233" w:type="dxa"/>
            <w:tcBorders/>
            <w:shd w:fill="FFFFFF" w:val="clear"/>
            <w:vAlign w:val="center"/>
          </w:tcPr>
          <w:p>
            <w:pPr>
              <w:pStyle w:val="TableContents"/>
              <w:bidi w:val="0"/>
              <w:spacing w:before="0" w:after="283"/>
              <w:jc w:val="left"/>
              <w:rPr/>
            </w:pPr>
            <w:r>
              <w:rPr/>
              <w:t>%</w:t>
            </w:r>
          </w:p>
        </w:tc>
      </w:tr>
      <w:tr>
        <w:trPr/>
        <w:tc>
          <w:tcPr>
            <w:tcW w:w="5603" w:type="dxa"/>
            <w:tcBorders/>
            <w:shd w:fill="CCEEFF" w:val="clear"/>
            <w:vAlign w:val="center"/>
          </w:tcPr>
          <w:p>
            <w:pPr>
              <w:pStyle w:val="TableContents"/>
              <w:bidi w:val="0"/>
              <w:spacing w:before="0" w:after="283"/>
              <w:jc w:val="left"/>
              <w:rPr/>
            </w:pPr>
            <w:r>
              <w:rPr/>
              <w:t>Change in fair value of warrant liability – related party</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(2</w:t>
            </w:r>
          </w:p>
        </w:tc>
        <w:tc>
          <w:tcPr>
            <w:tcW w:w="117" w:type="dxa"/>
            <w:tcBorders/>
            <w:shd w:fill="CCEEFF" w:val="clear"/>
            <w:vAlign w:val="center"/>
          </w:tcPr>
          <w:p>
            <w:pPr>
              <w:pStyle w:val="TableContents"/>
              <w:bidi w:val="0"/>
              <w:spacing w:before="0" w:after="283"/>
              <w:jc w:val="left"/>
              <w:rPr/>
            </w:pPr>
            <w:r>
              <w:rPr/>
              <w:t>)</w:t>
            </w:r>
          </w:p>
        </w:tc>
        <w:tc>
          <w:tcPr>
            <w:tcW w:w="74"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(573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-99.7</w:t>
            </w:r>
          </w:p>
        </w:tc>
        <w:tc>
          <w:tcPr>
            <w:tcW w:w="233" w:type="dxa"/>
            <w:tcBorders/>
            <w:shd w:fill="CCEEFF" w:val="clear"/>
            <w:vAlign w:val="center"/>
          </w:tcPr>
          <w:p>
            <w:pPr>
              <w:pStyle w:val="TableContents"/>
              <w:bidi w:val="0"/>
              <w:spacing w:before="0" w:after="283"/>
              <w:jc w:val="left"/>
              <w:rPr/>
            </w:pPr>
            <w:r>
              <w:rPr/>
              <w:t>%</w:t>
            </w:r>
          </w:p>
        </w:tc>
      </w:tr>
      <w:tr>
        <w:trPr/>
        <w:tc>
          <w:tcPr>
            <w:tcW w:w="5603" w:type="dxa"/>
            <w:tcBorders/>
            <w:shd w:fill="FFFFFF" w:val="clear"/>
            <w:vAlign w:val="center"/>
          </w:tcPr>
          <w:p>
            <w:pPr>
              <w:pStyle w:val="TableContents"/>
              <w:bidi w:val="0"/>
              <w:spacing w:before="0" w:after="283"/>
              <w:jc w:val="left"/>
              <w:rPr/>
            </w:pPr>
            <w:r>
              <w:rPr/>
              <w:t>Change in fair value of bifurcated embedded derivative assets – related party</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54</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(51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105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-205.9</w:t>
            </w:r>
          </w:p>
        </w:tc>
        <w:tc>
          <w:tcPr>
            <w:tcW w:w="233" w:type="dxa"/>
            <w:tcBorders/>
            <w:shd w:fill="FFFFFF" w:val="clear"/>
            <w:vAlign w:val="center"/>
          </w:tcPr>
          <w:p>
            <w:pPr>
              <w:pStyle w:val="TableContents"/>
              <w:bidi w:val="0"/>
              <w:spacing w:before="0" w:after="283"/>
              <w:jc w:val="left"/>
              <w:rPr/>
            </w:pPr>
            <w:r>
              <w:rPr/>
              <w:t>%</w:t>
            </w:r>
          </w:p>
        </w:tc>
      </w:tr>
      <w:tr>
        <w:trPr/>
        <w:tc>
          <w:tcPr>
            <w:tcW w:w="5603" w:type="dxa"/>
            <w:tcBorders/>
            <w:shd w:fill="CCEEFF" w:val="clear"/>
            <w:vAlign w:val="center"/>
          </w:tcPr>
          <w:p>
            <w:pPr>
              <w:pStyle w:val="TableContents"/>
              <w:bidi w:val="0"/>
              <w:spacing w:before="0" w:after="283"/>
              <w:jc w:val="left"/>
              <w:rPr/>
            </w:pPr>
            <w:r>
              <w:rPr/>
              <w:t>Change in fair value of convertible notes</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(1,987</w:t>
            </w:r>
          </w:p>
        </w:tc>
        <w:tc>
          <w:tcPr>
            <w:tcW w:w="117" w:type="dxa"/>
            <w:tcBorders/>
            <w:shd w:fill="CCEEFF" w:val="clear"/>
            <w:vAlign w:val="center"/>
          </w:tcPr>
          <w:p>
            <w:pPr>
              <w:pStyle w:val="TableContents"/>
              <w:bidi w:val="0"/>
              <w:spacing w:before="0" w:after="283"/>
              <w:jc w:val="left"/>
              <w:rPr/>
            </w:pPr>
            <w:r>
              <w:rPr/>
              <w:t>)</w:t>
            </w:r>
          </w:p>
        </w:tc>
        <w:tc>
          <w:tcPr>
            <w:tcW w:w="74"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693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(2,680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-386.7</w:t>
            </w:r>
          </w:p>
        </w:tc>
        <w:tc>
          <w:tcPr>
            <w:tcW w:w="233" w:type="dxa"/>
            <w:tcBorders/>
            <w:shd w:fill="CCEEFF" w:val="clear"/>
            <w:vAlign w:val="center"/>
          </w:tcPr>
          <w:p>
            <w:pPr>
              <w:pStyle w:val="TableContents"/>
              <w:bidi w:val="0"/>
              <w:spacing w:before="0" w:after="283"/>
              <w:jc w:val="left"/>
              <w:rPr/>
            </w:pPr>
            <w:r>
              <w:rPr/>
              <w:t>%</w:t>
            </w:r>
          </w:p>
        </w:tc>
      </w:tr>
      <w:tr>
        <w:trPr/>
        <w:tc>
          <w:tcPr>
            <w:tcW w:w="5603" w:type="dxa"/>
            <w:tcBorders/>
            <w:shd w:fill="FFFFFF" w:val="clear"/>
            <w:vAlign w:val="center"/>
          </w:tcPr>
          <w:p>
            <w:pPr>
              <w:pStyle w:val="TableContents"/>
              <w:bidi w:val="0"/>
              <w:spacing w:before="0" w:after="283"/>
              <w:jc w:val="left"/>
              <w:rPr/>
            </w:pPr>
            <w:r>
              <w:rPr/>
              <w:t>Change in fair value of term notes</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173</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89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84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94.4</w:t>
            </w:r>
          </w:p>
        </w:tc>
        <w:tc>
          <w:tcPr>
            <w:tcW w:w="233" w:type="dxa"/>
            <w:tcBorders/>
            <w:shd w:fill="FFFFFF" w:val="clear"/>
            <w:vAlign w:val="center"/>
          </w:tcPr>
          <w:p>
            <w:pPr>
              <w:pStyle w:val="TableContents"/>
              <w:bidi w:val="0"/>
              <w:spacing w:before="0" w:after="283"/>
              <w:jc w:val="left"/>
              <w:rPr/>
            </w:pPr>
            <w:r>
              <w:rPr/>
              <w:t>%</w:t>
            </w:r>
          </w:p>
        </w:tc>
      </w:tr>
      <w:tr>
        <w:trPr/>
        <w:tc>
          <w:tcPr>
            <w:tcW w:w="5603" w:type="dxa"/>
            <w:tcBorders/>
            <w:shd w:fill="CCEEFF" w:val="clear"/>
            <w:vAlign w:val="center"/>
          </w:tcPr>
          <w:p>
            <w:pPr>
              <w:pStyle w:val="TableContents"/>
              <w:bidi w:val="0"/>
              <w:spacing w:before="0" w:after="283"/>
              <w:jc w:val="left"/>
              <w:rPr/>
            </w:pPr>
            <w:r>
              <w:rPr/>
              <w:t>Change in fair value of convertible bridge notes</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(46</w:t>
            </w:r>
          </w:p>
        </w:tc>
        <w:tc>
          <w:tcPr>
            <w:tcW w:w="117" w:type="dxa"/>
            <w:tcBorders/>
            <w:shd w:fill="CCEEFF" w:val="clear"/>
            <w:vAlign w:val="center"/>
          </w:tcPr>
          <w:p>
            <w:pPr>
              <w:pStyle w:val="TableContents"/>
              <w:bidi w:val="0"/>
              <w:spacing w:before="0" w:after="283"/>
              <w:jc w:val="left"/>
              <w:rPr/>
            </w:pPr>
            <w:r>
              <w:rPr/>
              <w:t>)</w:t>
            </w:r>
          </w:p>
        </w:tc>
        <w:tc>
          <w:tcPr>
            <w:tcW w:w="74"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(10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360.0</w:t>
            </w:r>
          </w:p>
        </w:tc>
        <w:tc>
          <w:tcPr>
            <w:tcW w:w="233" w:type="dxa"/>
            <w:tcBorders/>
            <w:shd w:fill="CCEEFF" w:val="clear"/>
            <w:vAlign w:val="center"/>
          </w:tcPr>
          <w:p>
            <w:pPr>
              <w:pStyle w:val="TableContents"/>
              <w:bidi w:val="0"/>
              <w:spacing w:before="0" w:after="283"/>
              <w:jc w:val="left"/>
              <w:rPr/>
            </w:pPr>
            <w:r>
              <w:rPr/>
              <w:t>%</w:t>
            </w:r>
          </w:p>
        </w:tc>
      </w:tr>
      <w:tr>
        <w:trPr/>
        <w:tc>
          <w:tcPr>
            <w:tcW w:w="5603" w:type="dxa"/>
            <w:tcBorders/>
            <w:shd w:fill="FFFFFF" w:val="clear"/>
            <w:vAlign w:val="center"/>
          </w:tcPr>
          <w:p>
            <w:pPr>
              <w:pStyle w:val="TableContents"/>
              <w:bidi w:val="0"/>
              <w:spacing w:before="0" w:after="283"/>
              <w:jc w:val="left"/>
              <w:rPr/>
            </w:pPr>
            <w:r>
              <w:rPr/>
              <w:t>Yorkville prepayment premium expense</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81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(81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-100.0</w:t>
            </w:r>
          </w:p>
        </w:tc>
        <w:tc>
          <w:tcPr>
            <w:tcW w:w="233" w:type="dxa"/>
            <w:tcBorders/>
            <w:shd w:fill="FFFFFF" w:val="clear"/>
            <w:vAlign w:val="center"/>
          </w:tcPr>
          <w:p>
            <w:pPr>
              <w:pStyle w:val="TableContents"/>
              <w:bidi w:val="0"/>
              <w:spacing w:before="0" w:after="283"/>
              <w:jc w:val="left"/>
              <w:rPr/>
            </w:pPr>
            <w:r>
              <w:rPr/>
              <w:t>%</w:t>
            </w:r>
          </w:p>
        </w:tc>
      </w:tr>
      <w:tr>
        <w:trPr/>
        <w:tc>
          <w:tcPr>
            <w:tcW w:w="5603" w:type="dxa"/>
            <w:tcBorders/>
            <w:shd w:fill="CCEEFF" w:val="clear"/>
            <w:vAlign w:val="center"/>
          </w:tcPr>
          <w:p>
            <w:pPr>
              <w:pStyle w:val="TableContents"/>
              <w:bidi w:val="0"/>
              <w:spacing w:before="0" w:after="283"/>
              <w:jc w:val="left"/>
              <w:rPr/>
            </w:pPr>
            <w:r>
              <w:rPr/>
              <w:t>Loss on Yorkville SEPA advances</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974</w:t>
            </w:r>
          </w:p>
        </w:tc>
        <w:tc>
          <w:tcPr>
            <w:tcW w:w="117"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974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233" w:type="dxa"/>
            <w:tcBorders/>
            <w:shd w:fill="CCEEFF" w:val="clear"/>
            <w:vAlign w:val="center"/>
          </w:tcPr>
          <w:p>
            <w:pPr>
              <w:pStyle w:val="TableContents"/>
              <w:bidi w:val="0"/>
              <w:spacing w:before="0" w:after="283"/>
              <w:jc w:val="left"/>
              <w:rPr/>
            </w:pPr>
            <w:r>
              <w:rPr/>
              <w:t> </w:t>
            </w:r>
          </w:p>
        </w:tc>
      </w:tr>
      <w:tr>
        <w:trPr/>
        <w:tc>
          <w:tcPr>
            <w:tcW w:w="5603" w:type="dxa"/>
            <w:tcBorders/>
            <w:shd w:fill="FFFFFF" w:val="clear"/>
            <w:vAlign w:val="center"/>
          </w:tcPr>
          <w:p>
            <w:pPr>
              <w:pStyle w:val="TableContents"/>
              <w:bidi w:val="0"/>
              <w:spacing w:before="0" w:after="283"/>
              <w:jc w:val="left"/>
              <w:rPr/>
            </w:pPr>
            <w:r>
              <w:rPr/>
              <w:t>Vidello earnout expense</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486</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486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233" w:type="dxa"/>
            <w:tcBorders/>
            <w:shd w:fill="FFFFFF" w:val="clear"/>
            <w:vAlign w:val="center"/>
          </w:tcPr>
          <w:p>
            <w:pPr>
              <w:pStyle w:val="TableContents"/>
              <w:bidi w:val="0"/>
              <w:spacing w:before="0" w:after="283"/>
              <w:jc w:val="left"/>
              <w:rPr/>
            </w:pPr>
            <w:r>
              <w:rPr/>
              <w:t> </w:t>
            </w:r>
          </w:p>
        </w:tc>
      </w:tr>
      <w:tr>
        <w:trPr/>
        <w:tc>
          <w:tcPr>
            <w:tcW w:w="5603" w:type="dxa"/>
            <w:tcBorders/>
            <w:shd w:fill="CCEEFF" w:val="clear"/>
            <w:vAlign w:val="center"/>
          </w:tcPr>
          <w:p>
            <w:pPr>
              <w:pStyle w:val="TableContents"/>
              <w:bidi w:val="0"/>
              <w:spacing w:before="0" w:after="283"/>
              <w:jc w:val="left"/>
              <w:rPr/>
            </w:pPr>
            <w:r>
              <w:rPr/>
              <w:t>Failed acquisition costs</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1,382</w:t>
            </w:r>
          </w:p>
        </w:tc>
        <w:tc>
          <w:tcPr>
            <w:tcW w:w="117"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1,382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233" w:type="dxa"/>
            <w:tcBorders/>
            <w:shd w:fill="CCEEFF" w:val="clear"/>
            <w:vAlign w:val="center"/>
          </w:tcPr>
          <w:p>
            <w:pPr>
              <w:pStyle w:val="TableContents"/>
              <w:bidi w:val="0"/>
              <w:spacing w:before="0" w:after="283"/>
              <w:jc w:val="left"/>
              <w:rPr/>
            </w:pPr>
            <w:r>
              <w:rPr/>
              <w:t> </w:t>
            </w:r>
          </w:p>
        </w:tc>
      </w:tr>
      <w:tr>
        <w:trPr/>
        <w:tc>
          <w:tcPr>
            <w:tcW w:w="5603" w:type="dxa"/>
            <w:tcBorders/>
            <w:shd w:fill="FFFFFF" w:val="clear"/>
            <w:vAlign w:val="center"/>
          </w:tcPr>
          <w:p>
            <w:pPr>
              <w:pStyle w:val="TableContents"/>
              <w:bidi w:val="0"/>
              <w:spacing w:before="0" w:after="283"/>
              <w:jc w:val="left"/>
              <w:rPr/>
            </w:pPr>
            <w:r>
              <w:rPr/>
              <w:t>Goodwill impairment</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2,725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(2,725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-100.0</w:t>
            </w:r>
          </w:p>
        </w:tc>
        <w:tc>
          <w:tcPr>
            <w:tcW w:w="233" w:type="dxa"/>
            <w:tcBorders/>
            <w:shd w:fill="FFFFFF" w:val="clear"/>
            <w:vAlign w:val="center"/>
          </w:tcPr>
          <w:p>
            <w:pPr>
              <w:pStyle w:val="TableContents"/>
              <w:bidi w:val="0"/>
              <w:spacing w:before="0" w:after="283"/>
              <w:jc w:val="left"/>
              <w:rPr/>
            </w:pPr>
            <w:r>
              <w:rPr/>
              <w:t>%</w:t>
            </w:r>
          </w:p>
        </w:tc>
      </w:tr>
      <w:tr>
        <w:trPr/>
        <w:tc>
          <w:tcPr>
            <w:tcW w:w="5603" w:type="dxa"/>
            <w:tcBorders/>
            <w:shd w:fill="CCEEFF" w:val="clear"/>
            <w:vAlign w:val="center"/>
          </w:tcPr>
          <w:p>
            <w:pPr>
              <w:pStyle w:val="TableContents"/>
              <w:bidi w:val="0"/>
              <w:spacing w:before="0" w:after="283"/>
              <w:jc w:val="left"/>
              <w:rPr/>
            </w:pPr>
            <w:r>
              <w:rPr/>
              <w:t>Other (income) expense, net</w:t>
            </w:r>
          </w:p>
        </w:tc>
        <w:tc>
          <w:tcPr>
            <w:tcW w:w="60" w:type="dxa"/>
            <w:tcBorders/>
            <w:shd w:fill="CCEEFF" w:val="clear"/>
            <w:vAlign w:val="center"/>
          </w:tcPr>
          <w:p>
            <w:pPr>
              <w:pStyle w:val="TableContents"/>
              <w:bidi w:val="0"/>
              <w:spacing w:before="0" w:after="283"/>
              <w:jc w:val="left"/>
              <w:rPr/>
            </w:pPr>
            <w:r>
              <w:rPr/>
              <w:t> </w:t>
            </w:r>
          </w:p>
        </w:tc>
        <w:tc>
          <w:tcPr>
            <w:tcW w:w="1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36" w:type="dxa"/>
            <w:tcBorders>
              <w:bottom w:val="single" w:sz="8" w:space="0" w:color="000000"/>
            </w:tcBorders>
            <w:shd w:fill="CCEEFF" w:val="clear"/>
            <w:tcMar>
              <w:bottom w:w="28" w:type="dxa"/>
            </w:tcMar>
            <w:vAlign w:val="center"/>
          </w:tcPr>
          <w:p>
            <w:pPr>
              <w:pStyle w:val="TableContents"/>
              <w:bidi w:val="0"/>
              <w:spacing w:before="0" w:after="283"/>
              <w:jc w:val="right"/>
              <w:rPr/>
            </w:pPr>
            <w:r>
              <w:rPr/>
              <w:t>(727</w:t>
            </w:r>
          </w:p>
        </w:tc>
        <w:tc>
          <w:tcPr>
            <w:tcW w:w="117" w:type="dxa"/>
            <w:tcBorders/>
            <w:shd w:fill="CCEEFF" w:val="clear"/>
            <w:vAlign w:val="center"/>
          </w:tcPr>
          <w:p>
            <w:pPr>
              <w:pStyle w:val="TableContents"/>
              <w:bidi w:val="0"/>
              <w:spacing w:before="0" w:after="283"/>
              <w:jc w:val="left"/>
              <w:rPr/>
            </w:pPr>
            <w:r>
              <w:rPr/>
              <w:t>)</w:t>
            </w:r>
          </w:p>
        </w:tc>
        <w:tc>
          <w:tcPr>
            <w:tcW w:w="74" w:type="dxa"/>
            <w:tcBorders/>
            <w:shd w:fill="CCEEFF" w:val="clear"/>
            <w:vAlign w:val="center"/>
          </w:tcPr>
          <w:p>
            <w:pPr>
              <w:pStyle w:val="TableContents"/>
              <w:bidi w:val="0"/>
              <w:spacing w:before="0" w:after="283"/>
              <w:jc w:val="left"/>
              <w:rPr/>
            </w:pPr>
            <w:r>
              <w:rPr/>
              <w:t> </w:t>
            </w:r>
          </w:p>
        </w:tc>
        <w:tc>
          <w:tcPr>
            <w:tcW w:w="1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36" w:type="dxa"/>
            <w:tcBorders>
              <w:bottom w:val="single" w:sz="8" w:space="0" w:color="000000"/>
            </w:tcBorders>
            <w:shd w:fill="CCEEFF" w:val="clear"/>
            <w:tcMar>
              <w:bottom w:w="28" w:type="dxa"/>
            </w:tcMar>
            <w:vAlign w:val="center"/>
          </w:tcPr>
          <w:p>
            <w:pPr>
              <w:pStyle w:val="TableContents"/>
              <w:bidi w:val="0"/>
              <w:spacing w:before="0" w:after="283"/>
              <w:jc w:val="right"/>
              <w:rPr/>
            </w:pPr>
            <w:r>
              <w:rPr/>
              <w:t>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(815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233" w:type="dxa"/>
            <w:tcBorders/>
            <w:shd w:fill="CCEEFF" w:val="clear"/>
            <w:vAlign w:val="center"/>
          </w:tcPr>
          <w:p>
            <w:pPr>
              <w:pStyle w:val="TableContents"/>
              <w:bidi w:val="0"/>
              <w:spacing w:before="0" w:after="283"/>
              <w:jc w:val="left"/>
              <w:rPr/>
            </w:pPr>
            <w:r>
              <w:rPr/>
              <w:t> </w:t>
            </w:r>
          </w:p>
        </w:tc>
      </w:tr>
      <w:tr>
        <w:trPr/>
        <w:tc>
          <w:tcPr>
            <w:tcW w:w="5603" w:type="dxa"/>
            <w:tcBorders/>
            <w:shd w:fill="FFFFFF" w:val="clear"/>
            <w:vAlign w:val="center"/>
          </w:tcPr>
          <w:p>
            <w:pPr>
              <w:pStyle w:val="TableContents"/>
              <w:bidi w:val="0"/>
              <w:spacing w:before="0" w:after="283"/>
              <w:jc w:val="left"/>
              <w:rPr/>
            </w:pPr>
            <w:r>
              <w:rPr/>
              <w:t>Total other expenses, net</w:t>
            </w:r>
          </w:p>
        </w:tc>
        <w:tc>
          <w:tcPr>
            <w:tcW w:w="60" w:type="dxa"/>
            <w:tcBorders/>
            <w:shd w:fill="FFFFFF" w:val="clear"/>
            <w:vAlign w:val="center"/>
          </w:tcPr>
          <w:p>
            <w:pPr>
              <w:pStyle w:val="TableContents"/>
              <w:bidi w:val="0"/>
              <w:spacing w:before="0" w:after="283"/>
              <w:jc w:val="left"/>
              <w:rPr/>
            </w:pPr>
            <w:r>
              <w:rPr/>
              <w:t> </w:t>
            </w:r>
          </w:p>
        </w:tc>
        <w:tc>
          <w:tcPr>
            <w:tcW w:w="1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36" w:type="dxa"/>
            <w:tcBorders>
              <w:bottom w:val="single" w:sz="8" w:space="0" w:color="000000"/>
            </w:tcBorders>
            <w:shd w:fill="FFFFFF" w:val="clear"/>
            <w:tcMar>
              <w:bottom w:w="28" w:type="dxa"/>
            </w:tcMar>
            <w:vAlign w:val="center"/>
          </w:tcPr>
          <w:p>
            <w:pPr>
              <w:pStyle w:val="TableContents"/>
              <w:bidi w:val="0"/>
              <w:spacing w:before="0" w:after="283"/>
              <w:jc w:val="right"/>
              <w:rPr/>
            </w:pPr>
            <w:r>
              <w:rPr/>
              <w:t>3,968</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36" w:type="dxa"/>
            <w:tcBorders>
              <w:bottom w:val="single" w:sz="8" w:space="0" w:color="000000"/>
            </w:tcBorders>
            <w:shd w:fill="FFFFFF" w:val="clear"/>
            <w:tcMar>
              <w:bottom w:w="28" w:type="dxa"/>
            </w:tcMar>
            <w:vAlign w:val="center"/>
          </w:tcPr>
          <w:p>
            <w:pPr>
              <w:pStyle w:val="TableContents"/>
              <w:bidi w:val="0"/>
              <w:spacing w:before="0" w:after="283"/>
              <w:jc w:val="right"/>
              <w:rPr/>
            </w:pPr>
            <w:r>
              <w:rPr/>
              <w:t>18,045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(14,077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pPr>
            <w:r>
              <w:rPr/>
              <w:t>-78.0</w:t>
            </w:r>
          </w:p>
        </w:tc>
        <w:tc>
          <w:tcPr>
            <w:tcW w:w="233" w:type="dxa"/>
            <w:tcBorders/>
            <w:shd w:fill="FFFFFF" w:val="clear"/>
            <w:vAlign w:val="center"/>
          </w:tcPr>
          <w:p>
            <w:pPr>
              <w:pStyle w:val="TableContents"/>
              <w:bidi w:val="0"/>
              <w:spacing w:before="0" w:after="283"/>
              <w:jc w:val="left"/>
              <w:rPr/>
            </w:pPr>
            <w:r>
              <w:rPr/>
              <w:t>%</w:t>
            </w:r>
          </w:p>
        </w:tc>
      </w:tr>
      <w:tr>
        <w:trPr/>
        <w:tc>
          <w:tcPr>
            <w:tcW w:w="5603" w:type="dxa"/>
            <w:tcBorders/>
            <w:shd w:fill="CCEEFF" w:val="clear"/>
            <w:vAlign w:val="center"/>
          </w:tcPr>
          <w:p>
            <w:pPr>
              <w:pStyle w:val="TableContents"/>
              <w:bidi w:val="0"/>
              <w:spacing w:before="0" w:after="283"/>
              <w:jc w:val="left"/>
              <w:rPr/>
            </w:pPr>
            <w:r>
              <w:rPr/>
              <w:t>Loss before income taxes</w:t>
            </w:r>
          </w:p>
        </w:tc>
        <w:tc>
          <w:tcPr>
            <w:tcW w:w="60" w:type="dxa"/>
            <w:tcBorders/>
            <w:shd w:fill="CCEEFF" w:val="clear"/>
            <w:vAlign w:val="center"/>
          </w:tcPr>
          <w:p>
            <w:pPr>
              <w:pStyle w:val="TableContents"/>
              <w:bidi w:val="0"/>
              <w:spacing w:before="0" w:after="283"/>
              <w:jc w:val="left"/>
              <w:rPr/>
            </w:pPr>
            <w:r>
              <w:rPr/>
              <w:t> </w:t>
            </w:r>
          </w:p>
        </w:tc>
        <w:tc>
          <w:tcPr>
            <w:tcW w:w="1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36" w:type="dxa"/>
            <w:tcBorders>
              <w:bottom w:val="single" w:sz="8" w:space="0" w:color="000000"/>
            </w:tcBorders>
            <w:shd w:fill="CCEEFF" w:val="clear"/>
            <w:tcMar>
              <w:bottom w:w="28" w:type="dxa"/>
            </w:tcMar>
            <w:vAlign w:val="center"/>
          </w:tcPr>
          <w:p>
            <w:pPr>
              <w:pStyle w:val="TableContents"/>
              <w:bidi w:val="0"/>
              <w:spacing w:before="0" w:after="283"/>
              <w:jc w:val="right"/>
              <w:rPr/>
            </w:pPr>
            <w:r>
              <w:rPr/>
              <w:t>(22,433</w:t>
            </w:r>
          </w:p>
        </w:tc>
        <w:tc>
          <w:tcPr>
            <w:tcW w:w="117" w:type="dxa"/>
            <w:tcBorders/>
            <w:shd w:fill="CCEEFF" w:val="clear"/>
            <w:vAlign w:val="center"/>
          </w:tcPr>
          <w:p>
            <w:pPr>
              <w:pStyle w:val="TableContents"/>
              <w:bidi w:val="0"/>
              <w:spacing w:before="0" w:after="283"/>
              <w:jc w:val="left"/>
              <w:rPr/>
            </w:pPr>
            <w:r>
              <w:rPr/>
              <w:t>)</w:t>
            </w:r>
          </w:p>
        </w:tc>
        <w:tc>
          <w:tcPr>
            <w:tcW w:w="74" w:type="dxa"/>
            <w:tcBorders/>
            <w:shd w:fill="CCEEFF" w:val="clear"/>
            <w:vAlign w:val="center"/>
          </w:tcPr>
          <w:p>
            <w:pPr>
              <w:pStyle w:val="TableContents"/>
              <w:bidi w:val="0"/>
              <w:spacing w:before="0" w:after="283"/>
              <w:jc w:val="left"/>
              <w:rPr/>
            </w:pPr>
            <w:r>
              <w:rPr/>
              <w:t> </w:t>
            </w:r>
          </w:p>
        </w:tc>
        <w:tc>
          <w:tcPr>
            <w:tcW w:w="1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36" w:type="dxa"/>
            <w:tcBorders>
              <w:bottom w:val="single" w:sz="8" w:space="0" w:color="000000"/>
            </w:tcBorders>
            <w:shd w:fill="CCEEFF" w:val="clear"/>
            <w:tcMar>
              <w:bottom w:w="28" w:type="dxa"/>
            </w:tcMar>
            <w:vAlign w:val="center"/>
          </w:tcPr>
          <w:p>
            <w:pPr>
              <w:pStyle w:val="TableContents"/>
              <w:bidi w:val="0"/>
              <w:spacing w:before="0" w:after="283"/>
              <w:jc w:val="right"/>
              <w:rPr/>
            </w:pPr>
            <w:r>
              <w:rPr/>
              <w:t>(31,513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pPr>
            <w:r>
              <w:rPr/>
              <w:t>0.0</w:t>
            </w:r>
          </w:p>
        </w:tc>
        <w:tc>
          <w:tcPr>
            <w:tcW w:w="233" w:type="dxa"/>
            <w:tcBorders/>
            <w:shd w:fill="CCEEFF" w:val="clear"/>
            <w:vAlign w:val="center"/>
          </w:tcPr>
          <w:p>
            <w:pPr>
              <w:pStyle w:val="TableContents"/>
              <w:bidi w:val="0"/>
              <w:spacing w:before="0" w:after="283"/>
              <w:jc w:val="left"/>
              <w:rPr/>
            </w:pPr>
            <w:r>
              <w:rPr/>
              <w:t>%</w:t>
            </w:r>
          </w:p>
        </w:tc>
      </w:tr>
      <w:tr>
        <w:trPr/>
        <w:tc>
          <w:tcPr>
            <w:tcW w:w="5603" w:type="dxa"/>
            <w:tcBorders/>
            <w:shd w:fill="FFFFFF" w:val="clear"/>
            <w:vAlign w:val="center"/>
          </w:tcPr>
          <w:p>
            <w:pPr>
              <w:pStyle w:val="TableContents"/>
              <w:bidi w:val="0"/>
              <w:spacing w:before="0" w:after="283"/>
              <w:jc w:val="left"/>
              <w:rPr/>
            </w:pPr>
            <w:r>
              <w:rPr/>
              <w:t>Income tax expense</w:t>
            </w:r>
          </w:p>
        </w:tc>
        <w:tc>
          <w:tcPr>
            <w:tcW w:w="60" w:type="dxa"/>
            <w:tcBorders/>
            <w:shd w:fill="FFFFFF" w:val="clear"/>
            <w:vAlign w:val="center"/>
          </w:tcPr>
          <w:p>
            <w:pPr>
              <w:pStyle w:val="TableContents"/>
              <w:bidi w:val="0"/>
              <w:spacing w:before="0" w:after="283"/>
              <w:jc w:val="left"/>
              <w:rPr/>
            </w:pPr>
            <w:r>
              <w:rPr/>
              <w:t> </w:t>
            </w:r>
          </w:p>
        </w:tc>
        <w:tc>
          <w:tcPr>
            <w:tcW w:w="1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36" w:type="dxa"/>
            <w:tcBorders>
              <w:bottom w:val="single" w:sz="8" w:space="0" w:color="000000"/>
            </w:tcBorders>
            <w:shd w:fill="FFFFFF" w:val="clear"/>
            <w:tcMar>
              <w:bottom w:w="28" w:type="dxa"/>
            </w:tcMar>
            <w:vAlign w:val="center"/>
          </w:tcPr>
          <w:p>
            <w:pPr>
              <w:pStyle w:val="TableContents"/>
              <w:bidi w:val="0"/>
              <w:spacing w:before="0" w:after="283"/>
              <w:jc w:val="right"/>
              <w:rPr/>
            </w:pPr>
            <w:r>
              <w:rPr/>
              <w:t>61</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36"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61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233" w:type="dxa"/>
            <w:tcBorders/>
            <w:shd w:fill="FFFFFF" w:val="clear"/>
            <w:vAlign w:val="center"/>
          </w:tcPr>
          <w:p>
            <w:pPr>
              <w:pStyle w:val="TableContents"/>
              <w:bidi w:val="0"/>
              <w:spacing w:before="0" w:after="283"/>
              <w:jc w:val="left"/>
              <w:rPr/>
            </w:pPr>
            <w:r>
              <w:rPr/>
              <w:t> </w:t>
            </w:r>
          </w:p>
        </w:tc>
      </w:tr>
      <w:tr>
        <w:trPr/>
        <w:tc>
          <w:tcPr>
            <w:tcW w:w="5603"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7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36" w:type="dxa"/>
            <w:tcBorders>
              <w:bottom w:val="double" w:sz="6" w:space="0" w:color="000000"/>
            </w:tcBorders>
            <w:shd w:fill="CCEEFF" w:val="clear"/>
            <w:tcMar>
              <w:bottom w:w="28" w:type="dxa"/>
            </w:tcMar>
            <w:vAlign w:val="center"/>
          </w:tcPr>
          <w:p>
            <w:pPr>
              <w:pStyle w:val="TableContents"/>
              <w:bidi w:val="0"/>
              <w:spacing w:before="0" w:after="283"/>
              <w:jc w:val="right"/>
              <w:rPr/>
            </w:pPr>
            <w:r>
              <w:rPr/>
              <w:t>(22,494</w:t>
            </w:r>
          </w:p>
        </w:tc>
        <w:tc>
          <w:tcPr>
            <w:tcW w:w="117" w:type="dxa"/>
            <w:tcBorders/>
            <w:shd w:fill="CCEEFF" w:val="clear"/>
            <w:vAlign w:val="center"/>
          </w:tcPr>
          <w:p>
            <w:pPr>
              <w:pStyle w:val="TableContents"/>
              <w:bidi w:val="0"/>
              <w:spacing w:before="0" w:after="283"/>
              <w:jc w:val="left"/>
              <w:rPr/>
            </w:pPr>
            <w:r>
              <w:rPr/>
              <w:t>)</w:t>
            </w:r>
          </w:p>
        </w:tc>
        <w:tc>
          <w:tcPr>
            <w:tcW w:w="74" w:type="dxa"/>
            <w:tcBorders/>
            <w:shd w:fill="CCEEFF" w:val="clear"/>
            <w:vAlign w:val="center"/>
          </w:tcPr>
          <w:p>
            <w:pPr>
              <w:pStyle w:val="TableContents"/>
              <w:bidi w:val="0"/>
              <w:spacing w:before="0" w:after="283"/>
              <w:jc w:val="left"/>
              <w:rPr/>
            </w:pPr>
            <w:r>
              <w:rPr/>
              <w:t> </w:t>
            </w:r>
          </w:p>
        </w:tc>
        <w:tc>
          <w:tcPr>
            <w:tcW w:w="17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36" w:type="dxa"/>
            <w:tcBorders>
              <w:bottom w:val="double" w:sz="6" w:space="0" w:color="000000"/>
            </w:tcBorders>
            <w:shd w:fill="CCEEFF" w:val="clear"/>
            <w:tcMar>
              <w:bottom w:w="28" w:type="dxa"/>
            </w:tcMar>
            <w:vAlign w:val="center"/>
          </w:tcPr>
          <w:p>
            <w:pPr>
              <w:pStyle w:val="TableContents"/>
              <w:bidi w:val="0"/>
              <w:spacing w:before="0" w:after="283"/>
              <w:jc w:val="right"/>
              <w:rPr/>
            </w:pPr>
            <w:r>
              <w:rPr/>
              <w:t>(31,513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9,019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double" w:sz="6" w:space="0" w:color="000000"/>
            </w:tcBorders>
            <w:shd w:fill="CCEEFF" w:val="clear"/>
            <w:tcMar>
              <w:bottom w:w="28" w:type="dxa"/>
            </w:tcMar>
            <w:vAlign w:val="center"/>
          </w:tcPr>
          <w:p>
            <w:pPr>
              <w:pStyle w:val="TableContents"/>
              <w:bidi w:val="0"/>
              <w:spacing w:before="0" w:after="283"/>
              <w:jc w:val="right"/>
              <w:rPr/>
            </w:pPr>
            <w:r>
              <w:rPr/>
              <w:t>-28.6</w:t>
            </w:r>
          </w:p>
        </w:tc>
        <w:tc>
          <w:tcPr>
            <w:tcW w:w="233"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percentage changes included in the tables herein that are not considered meaningful are presented as “nm.”</w:t>
      </w:r>
    </w:p>
    <w:p>
      <w:pPr>
        <w:pStyle w:val="TextBody"/>
        <w:bidi w:val="0"/>
        <w:spacing w:before="0" w:after="0"/>
        <w:ind w:left="432" w:right="0" w:firstLine="432"/>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Comparison of years ended December 31, 2025 and 2024</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 Analysis</w:t>
      </w:r>
    </w:p>
    <w:p>
      <w:pPr>
        <w:pStyle w:val="TextBody"/>
        <w:bidi w:val="0"/>
        <w:spacing w:before="0" w:after="0"/>
        <w:ind w:left="360" w:right="0" w:hanging="0"/>
        <w:jc w:val="both"/>
        <w:rPr>
          <w:caps w:val="false"/>
          <w:smallCaps w:val="false"/>
        </w:rPr>
      </w:pPr>
      <w:r>
        <w:rPr>
          <w:caps w:val="false"/>
          <w:smallCaps w:val="false"/>
        </w:rPr>
        <w:t> </w:t>
      </w:r>
    </w:p>
    <w:tbl>
      <w:tblPr>
        <w:tblW w:w="6167" w:type="dxa"/>
        <w:jc w:val="left"/>
        <w:tblInd w:w="0" w:type="dxa"/>
        <w:tblLayout w:type="fixed"/>
        <w:tblCellMar>
          <w:top w:w="0" w:type="dxa"/>
          <w:left w:w="0" w:type="dxa"/>
          <w:bottom w:w="0" w:type="dxa"/>
          <w:right w:w="0" w:type="dxa"/>
        </w:tblCellMar>
      </w:tblPr>
      <w:tblGrid>
        <w:gridCol w:w="1640"/>
        <w:gridCol w:w="60"/>
        <w:gridCol w:w="221"/>
        <w:gridCol w:w="1078"/>
        <w:gridCol w:w="95"/>
        <w:gridCol w:w="95"/>
        <w:gridCol w:w="221"/>
        <w:gridCol w:w="887"/>
        <w:gridCol w:w="60"/>
        <w:gridCol w:w="60"/>
        <w:gridCol w:w="147"/>
        <w:gridCol w:w="591"/>
        <w:gridCol w:w="63"/>
        <w:gridCol w:w="63"/>
        <w:gridCol w:w="63"/>
        <w:gridCol w:w="593"/>
        <w:gridCol w:w="230"/>
      </w:tblGrid>
      <w:tr>
        <w:trPr/>
        <w:tc>
          <w:tcPr>
            <w:tcW w:w="16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597"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Year Ended December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0"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Year-over-Year</w:t>
            </w:r>
          </w:p>
        </w:tc>
        <w:tc>
          <w:tcPr>
            <w:tcW w:w="230" w:type="dxa"/>
            <w:tcBorders/>
            <w:vAlign w:val="center"/>
          </w:tcPr>
          <w:p>
            <w:pPr>
              <w:pStyle w:val="TableContents"/>
              <w:bidi w:val="0"/>
              <w:spacing w:before="0" w:after="283"/>
              <w:jc w:val="left"/>
              <w:rPr/>
            </w:pPr>
            <w:r>
              <w:rPr/>
              <w:t> </w:t>
            </w:r>
          </w:p>
        </w:tc>
      </w:tr>
      <w:tr>
        <w:trPr/>
        <w:tc>
          <w:tcPr>
            <w:tcW w:w="1640" w:type="dxa"/>
            <w:tcBorders>
              <w:bottom w:val="single" w:sz="8" w:space="0" w:color="000000"/>
            </w:tcBorders>
            <w:tcMar>
              <w:bottom w:w="28" w:type="dxa"/>
            </w:tcMar>
            <w:vAlign w:val="center"/>
          </w:tcPr>
          <w:p>
            <w:pPr>
              <w:pStyle w:val="TableContents"/>
              <w:bidi w:val="0"/>
              <w:spacing w:before="0" w:after="283"/>
              <w:jc w:val="left"/>
              <w:rPr>
                <w:i/>
              </w:rPr>
            </w:pPr>
            <w:r>
              <w:rPr>
                <w:i/>
              </w:rPr>
              <w:t>($ in Thousands)</w:t>
            </w:r>
          </w:p>
        </w:tc>
        <w:tc>
          <w:tcPr>
            <w:tcW w:w="60" w:type="dxa"/>
            <w:tcBorders/>
            <w:vAlign w:val="center"/>
          </w:tcPr>
          <w:p>
            <w:pPr>
              <w:pStyle w:val="TableContents"/>
              <w:bidi w:val="0"/>
              <w:spacing w:before="0" w:after="283"/>
              <w:jc w:val="left"/>
              <w:rPr/>
            </w:pPr>
            <w:r>
              <w:rPr/>
              <w:t> </w:t>
            </w:r>
          </w:p>
        </w:tc>
        <w:tc>
          <w:tcPr>
            <w:tcW w:w="1299"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2025</w:t>
            </w:r>
          </w:p>
        </w:tc>
        <w:tc>
          <w:tcPr>
            <w:tcW w:w="9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108"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8"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656"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230" w:type="dxa"/>
            <w:tcBorders/>
            <w:vAlign w:val="center"/>
          </w:tcPr>
          <w:p>
            <w:pPr>
              <w:pStyle w:val="TableContents"/>
              <w:bidi w:val="0"/>
              <w:spacing w:before="0" w:after="283"/>
              <w:jc w:val="left"/>
              <w:rPr/>
            </w:pPr>
            <w:r>
              <w:rPr/>
              <w:t> </w:t>
            </w:r>
          </w:p>
        </w:tc>
      </w:tr>
      <w:tr>
        <w:trPr/>
        <w:tc>
          <w:tcPr>
            <w:tcW w:w="1640" w:type="dxa"/>
            <w:tcBorders/>
            <w:shd w:fill="CCEEFF" w:val="clear"/>
            <w:vAlign w:val="center"/>
          </w:tcPr>
          <w:p>
            <w:pPr>
              <w:pStyle w:val="TableContents"/>
              <w:bidi w:val="0"/>
              <w:spacing w:before="0" w:after="283"/>
              <w:jc w:val="left"/>
              <w:rPr/>
            </w:pPr>
            <w:r>
              <w:rPr/>
              <w:t>Revenue</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w:t>
            </w:r>
          </w:p>
        </w:tc>
        <w:tc>
          <w:tcPr>
            <w:tcW w:w="1078" w:type="dxa"/>
            <w:tcBorders/>
            <w:shd w:fill="CCEEFF" w:val="clear"/>
            <w:vAlign w:val="center"/>
          </w:tcPr>
          <w:p>
            <w:pPr>
              <w:pStyle w:val="TableContents"/>
              <w:bidi w:val="0"/>
              <w:spacing w:before="0" w:after="283"/>
              <w:jc w:val="right"/>
              <w:rPr/>
            </w:pPr>
            <w:r>
              <w:rPr/>
              <w:t>12,161</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w:t>
            </w:r>
          </w:p>
        </w:tc>
        <w:tc>
          <w:tcPr>
            <w:tcW w:w="887" w:type="dxa"/>
            <w:tcBorders/>
            <w:shd w:fill="CCEEFF" w:val="clear"/>
            <w:vAlign w:val="center"/>
          </w:tcPr>
          <w:p>
            <w:pPr>
              <w:pStyle w:val="TableContents"/>
              <w:bidi w:val="0"/>
              <w:spacing w:before="0" w:after="283"/>
              <w:jc w:val="right"/>
              <w:rPr/>
            </w:pPr>
            <w:r>
              <w:rPr/>
              <w:t>4,528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w:t>
            </w:r>
          </w:p>
        </w:tc>
        <w:tc>
          <w:tcPr>
            <w:tcW w:w="591" w:type="dxa"/>
            <w:tcBorders/>
            <w:shd w:fill="CCEEFF" w:val="clear"/>
            <w:vAlign w:val="center"/>
          </w:tcPr>
          <w:p>
            <w:pPr>
              <w:pStyle w:val="TableContents"/>
              <w:bidi w:val="0"/>
              <w:spacing w:before="0" w:after="283"/>
              <w:jc w:val="right"/>
              <w:rPr/>
            </w:pPr>
            <w:r>
              <w:rPr/>
              <w:t>7,633</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593" w:type="dxa"/>
            <w:tcBorders/>
            <w:shd w:fill="CCEEFF" w:val="clear"/>
            <w:vAlign w:val="center"/>
          </w:tcPr>
          <w:p>
            <w:pPr>
              <w:pStyle w:val="TableContents"/>
              <w:bidi w:val="0"/>
              <w:spacing w:before="0" w:after="283"/>
              <w:jc w:val="right"/>
              <w:rPr/>
            </w:pPr>
            <w:r>
              <w:rPr/>
              <w:t>168.6</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432"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revenue increase was primarily due to the acquisitions of OpenReel in December 2024 and Vidello in January 2025. Revenue from OpenReel and Vidello was approximately $5,473 thousand and $2,261 thousand, respectively, for the year ended December 31, 2025. Revenue from Banzai Operating increased by approximately $121 thousand.</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of Revenue Analysis</w:t>
      </w:r>
    </w:p>
    <w:p>
      <w:pPr>
        <w:pStyle w:val="TextBody"/>
        <w:bidi w:val="0"/>
        <w:spacing w:before="0" w:after="0"/>
        <w:ind w:left="360" w:right="0" w:hanging="0"/>
        <w:jc w:val="both"/>
        <w:rPr>
          <w:caps w:val="false"/>
          <w:smallCaps w:val="false"/>
        </w:rPr>
      </w:pPr>
      <w:r>
        <w:rPr>
          <w:caps w:val="false"/>
          <w:smallCaps w:val="false"/>
        </w:rPr>
        <w:t> </w:t>
      </w:r>
    </w:p>
    <w:tbl>
      <w:tblPr>
        <w:tblW w:w="6166" w:type="dxa"/>
        <w:jc w:val="left"/>
        <w:tblInd w:w="0" w:type="dxa"/>
        <w:tblLayout w:type="fixed"/>
        <w:tblCellMar>
          <w:top w:w="0" w:type="dxa"/>
          <w:left w:w="0" w:type="dxa"/>
          <w:bottom w:w="0" w:type="dxa"/>
          <w:right w:w="0" w:type="dxa"/>
        </w:tblCellMar>
      </w:tblPr>
      <w:tblGrid>
        <w:gridCol w:w="1640"/>
        <w:gridCol w:w="60"/>
        <w:gridCol w:w="239"/>
        <w:gridCol w:w="957"/>
        <w:gridCol w:w="102"/>
        <w:gridCol w:w="102"/>
        <w:gridCol w:w="239"/>
        <w:gridCol w:w="957"/>
        <w:gridCol w:w="60"/>
        <w:gridCol w:w="60"/>
        <w:gridCol w:w="186"/>
        <w:gridCol w:w="506"/>
        <w:gridCol w:w="80"/>
        <w:gridCol w:w="80"/>
        <w:gridCol w:w="80"/>
        <w:gridCol w:w="588"/>
        <w:gridCol w:w="230"/>
      </w:tblGrid>
      <w:tr>
        <w:trPr/>
        <w:tc>
          <w:tcPr>
            <w:tcW w:w="16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596"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Year Ended December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0"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Year-over-Year</w:t>
            </w:r>
          </w:p>
        </w:tc>
        <w:tc>
          <w:tcPr>
            <w:tcW w:w="230" w:type="dxa"/>
            <w:tcBorders/>
            <w:vAlign w:val="center"/>
          </w:tcPr>
          <w:p>
            <w:pPr>
              <w:pStyle w:val="TableContents"/>
              <w:bidi w:val="0"/>
              <w:spacing w:before="0" w:after="283"/>
              <w:jc w:val="left"/>
              <w:rPr/>
            </w:pPr>
            <w:r>
              <w:rPr/>
              <w:t> </w:t>
            </w:r>
          </w:p>
        </w:tc>
      </w:tr>
      <w:tr>
        <w:trPr/>
        <w:tc>
          <w:tcPr>
            <w:tcW w:w="1640" w:type="dxa"/>
            <w:tcBorders>
              <w:bottom w:val="single" w:sz="8" w:space="0" w:color="000000"/>
            </w:tcBorders>
            <w:tcMar>
              <w:bottom w:w="28" w:type="dxa"/>
            </w:tcMar>
            <w:vAlign w:val="center"/>
          </w:tcPr>
          <w:p>
            <w:pPr>
              <w:pStyle w:val="TableContents"/>
              <w:bidi w:val="0"/>
              <w:spacing w:before="0" w:after="283"/>
              <w:jc w:val="left"/>
              <w:rPr>
                <w:i/>
              </w:rPr>
            </w:pPr>
            <w:r>
              <w:rPr>
                <w:i/>
              </w:rPr>
              <w:t>($ in Thousands)</w:t>
            </w:r>
          </w:p>
        </w:tc>
        <w:tc>
          <w:tcPr>
            <w:tcW w:w="60" w:type="dxa"/>
            <w:tcBorders/>
            <w:vAlign w:val="center"/>
          </w:tcPr>
          <w:p>
            <w:pPr>
              <w:pStyle w:val="TableContents"/>
              <w:bidi w:val="0"/>
              <w:spacing w:before="0" w:after="283"/>
              <w:jc w:val="left"/>
              <w:rPr/>
            </w:pPr>
            <w:r>
              <w:rPr/>
              <w:t> </w:t>
            </w:r>
          </w:p>
        </w:tc>
        <w:tc>
          <w:tcPr>
            <w:tcW w:w="1196"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2025</w:t>
            </w:r>
          </w:p>
        </w:tc>
        <w:tc>
          <w:tcPr>
            <w:tcW w:w="10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196"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2"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68"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230" w:type="dxa"/>
            <w:tcBorders/>
            <w:vAlign w:val="center"/>
          </w:tcPr>
          <w:p>
            <w:pPr>
              <w:pStyle w:val="TableContents"/>
              <w:bidi w:val="0"/>
              <w:spacing w:before="0" w:after="283"/>
              <w:jc w:val="left"/>
              <w:rPr/>
            </w:pPr>
            <w:r>
              <w:rPr/>
              <w:t> </w:t>
            </w:r>
          </w:p>
        </w:tc>
      </w:tr>
      <w:tr>
        <w:trPr/>
        <w:tc>
          <w:tcPr>
            <w:tcW w:w="1640" w:type="dxa"/>
            <w:tcBorders/>
            <w:shd w:fill="CCEEFF" w:val="clear"/>
            <w:vAlign w:val="center"/>
          </w:tcPr>
          <w:p>
            <w:pPr>
              <w:pStyle w:val="TableContents"/>
              <w:bidi w:val="0"/>
              <w:spacing w:before="0" w:after="283"/>
              <w:jc w:val="left"/>
              <w:rPr/>
            </w:pPr>
            <w:r>
              <w:rPr/>
              <w:t>Cost of revenue</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w:t>
            </w:r>
          </w:p>
        </w:tc>
        <w:tc>
          <w:tcPr>
            <w:tcW w:w="957" w:type="dxa"/>
            <w:tcBorders/>
            <w:shd w:fill="CCEEFF" w:val="clear"/>
            <w:vAlign w:val="center"/>
          </w:tcPr>
          <w:p>
            <w:pPr>
              <w:pStyle w:val="TableContents"/>
              <w:bidi w:val="0"/>
              <w:spacing w:before="0" w:after="283"/>
              <w:jc w:val="right"/>
              <w:rPr/>
            </w:pPr>
            <w:r>
              <w:rPr/>
              <w:t>2,189</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w:t>
            </w:r>
          </w:p>
        </w:tc>
        <w:tc>
          <w:tcPr>
            <w:tcW w:w="957" w:type="dxa"/>
            <w:tcBorders/>
            <w:shd w:fill="CCEEFF" w:val="clear"/>
            <w:vAlign w:val="center"/>
          </w:tcPr>
          <w:p>
            <w:pPr>
              <w:pStyle w:val="TableContents"/>
              <w:bidi w:val="0"/>
              <w:spacing w:before="0" w:after="283"/>
              <w:jc w:val="right"/>
              <w:rPr/>
            </w:pPr>
            <w:r>
              <w:rPr/>
              <w:t>1,423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506" w:type="dxa"/>
            <w:tcBorders/>
            <w:shd w:fill="CCEEFF" w:val="clear"/>
            <w:vAlign w:val="center"/>
          </w:tcPr>
          <w:p>
            <w:pPr>
              <w:pStyle w:val="TableContents"/>
              <w:bidi w:val="0"/>
              <w:spacing w:before="0" w:after="283"/>
              <w:jc w:val="right"/>
              <w:rPr/>
            </w:pPr>
            <w:r>
              <w:rPr/>
              <w:t>766</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588" w:type="dxa"/>
            <w:tcBorders/>
            <w:shd w:fill="CCEEFF" w:val="clear"/>
            <w:vAlign w:val="center"/>
          </w:tcPr>
          <w:p>
            <w:pPr>
              <w:pStyle w:val="TableContents"/>
              <w:bidi w:val="0"/>
              <w:spacing w:before="0" w:after="283"/>
              <w:jc w:val="right"/>
              <w:rPr/>
            </w:pPr>
            <w:r>
              <w:rPr/>
              <w:t>53.8</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432"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of revenue increase was primarily due to the acquisitions of OpenReel and Vidello. Cost of revenue from OpenReel and Vidello was approximately $310 thousand and $402 thousand, respectively, for the year ended December 31, 2025. Cost of revenue from Banzai Operating increased by approximately $69 thousand.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Gross Profit Analysis</w:t>
      </w:r>
    </w:p>
    <w:p>
      <w:pPr>
        <w:pStyle w:val="TextBody"/>
        <w:bidi w:val="0"/>
        <w:spacing w:before="0" w:after="0"/>
        <w:ind w:left="432" w:right="0" w:firstLine="432"/>
        <w:jc w:val="both"/>
        <w:rPr>
          <w:caps w:val="false"/>
          <w:smallCaps w:val="false"/>
        </w:rPr>
      </w:pPr>
      <w:r>
        <w:rPr>
          <w:caps w:val="false"/>
          <w:smallCaps w:val="false"/>
        </w:rPr>
        <w:t> </w:t>
      </w:r>
    </w:p>
    <w:tbl>
      <w:tblPr>
        <w:tblW w:w="6166" w:type="dxa"/>
        <w:jc w:val="left"/>
        <w:tblInd w:w="0" w:type="dxa"/>
        <w:tblLayout w:type="fixed"/>
        <w:tblCellMar>
          <w:top w:w="0" w:type="dxa"/>
          <w:left w:w="0" w:type="dxa"/>
          <w:bottom w:w="0" w:type="dxa"/>
          <w:right w:w="0" w:type="dxa"/>
        </w:tblCellMar>
      </w:tblPr>
      <w:tblGrid>
        <w:gridCol w:w="1640"/>
        <w:gridCol w:w="60"/>
        <w:gridCol w:w="239"/>
        <w:gridCol w:w="957"/>
        <w:gridCol w:w="102"/>
        <w:gridCol w:w="102"/>
        <w:gridCol w:w="239"/>
        <w:gridCol w:w="957"/>
        <w:gridCol w:w="60"/>
        <w:gridCol w:w="60"/>
        <w:gridCol w:w="147"/>
        <w:gridCol w:w="591"/>
        <w:gridCol w:w="63"/>
        <w:gridCol w:w="63"/>
        <w:gridCol w:w="63"/>
        <w:gridCol w:w="593"/>
        <w:gridCol w:w="230"/>
      </w:tblGrid>
      <w:tr>
        <w:trPr/>
        <w:tc>
          <w:tcPr>
            <w:tcW w:w="16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596"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Year Ended December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0"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Year-over-Year</w:t>
            </w:r>
          </w:p>
        </w:tc>
        <w:tc>
          <w:tcPr>
            <w:tcW w:w="230" w:type="dxa"/>
            <w:tcBorders/>
            <w:vAlign w:val="center"/>
          </w:tcPr>
          <w:p>
            <w:pPr>
              <w:pStyle w:val="TableContents"/>
              <w:bidi w:val="0"/>
              <w:spacing w:before="0" w:after="283"/>
              <w:jc w:val="left"/>
              <w:rPr/>
            </w:pPr>
            <w:r>
              <w:rPr/>
              <w:t> </w:t>
            </w:r>
          </w:p>
        </w:tc>
      </w:tr>
      <w:tr>
        <w:trPr/>
        <w:tc>
          <w:tcPr>
            <w:tcW w:w="1640" w:type="dxa"/>
            <w:tcBorders>
              <w:bottom w:val="single" w:sz="8" w:space="0" w:color="000000"/>
            </w:tcBorders>
            <w:tcMar>
              <w:bottom w:w="28" w:type="dxa"/>
            </w:tcMar>
            <w:vAlign w:val="center"/>
          </w:tcPr>
          <w:p>
            <w:pPr>
              <w:pStyle w:val="TableContents"/>
              <w:bidi w:val="0"/>
              <w:spacing w:before="0" w:after="283"/>
              <w:jc w:val="left"/>
              <w:rPr>
                <w:i/>
              </w:rPr>
            </w:pPr>
            <w:r>
              <w:rPr>
                <w:i/>
              </w:rPr>
              <w:t>($ in Thousands)</w:t>
            </w:r>
          </w:p>
        </w:tc>
        <w:tc>
          <w:tcPr>
            <w:tcW w:w="60" w:type="dxa"/>
            <w:tcBorders/>
            <w:vAlign w:val="center"/>
          </w:tcPr>
          <w:p>
            <w:pPr>
              <w:pStyle w:val="TableContents"/>
              <w:bidi w:val="0"/>
              <w:spacing w:before="0" w:after="283"/>
              <w:jc w:val="left"/>
              <w:rPr/>
            </w:pPr>
            <w:r>
              <w:rPr/>
              <w:t> </w:t>
            </w:r>
          </w:p>
        </w:tc>
        <w:tc>
          <w:tcPr>
            <w:tcW w:w="1196"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2025</w:t>
            </w:r>
          </w:p>
        </w:tc>
        <w:tc>
          <w:tcPr>
            <w:tcW w:w="10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196"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8"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656"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230" w:type="dxa"/>
            <w:tcBorders/>
            <w:vAlign w:val="center"/>
          </w:tcPr>
          <w:p>
            <w:pPr>
              <w:pStyle w:val="TableContents"/>
              <w:bidi w:val="0"/>
              <w:spacing w:before="0" w:after="283"/>
              <w:jc w:val="left"/>
              <w:rPr/>
            </w:pPr>
            <w:r>
              <w:rPr/>
              <w:t> </w:t>
            </w:r>
          </w:p>
        </w:tc>
      </w:tr>
      <w:tr>
        <w:trPr/>
        <w:tc>
          <w:tcPr>
            <w:tcW w:w="1640" w:type="dxa"/>
            <w:tcBorders/>
            <w:shd w:fill="CCEEFF" w:val="clear"/>
            <w:vAlign w:val="center"/>
          </w:tcPr>
          <w:p>
            <w:pPr>
              <w:pStyle w:val="TableContents"/>
              <w:bidi w:val="0"/>
              <w:spacing w:before="0" w:after="283"/>
              <w:jc w:val="left"/>
              <w:rPr/>
            </w:pPr>
            <w:r>
              <w:rPr/>
              <w:t>Gross profit</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w:t>
            </w:r>
          </w:p>
        </w:tc>
        <w:tc>
          <w:tcPr>
            <w:tcW w:w="957" w:type="dxa"/>
            <w:tcBorders/>
            <w:shd w:fill="CCEEFF" w:val="clear"/>
            <w:vAlign w:val="center"/>
          </w:tcPr>
          <w:p>
            <w:pPr>
              <w:pStyle w:val="TableContents"/>
              <w:bidi w:val="0"/>
              <w:spacing w:before="0" w:after="283"/>
              <w:jc w:val="right"/>
              <w:rPr/>
            </w:pPr>
            <w:r>
              <w:rPr/>
              <w:t>9,972</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w:t>
            </w:r>
          </w:p>
        </w:tc>
        <w:tc>
          <w:tcPr>
            <w:tcW w:w="957" w:type="dxa"/>
            <w:tcBorders/>
            <w:shd w:fill="CCEEFF" w:val="clear"/>
            <w:vAlign w:val="center"/>
          </w:tcPr>
          <w:p>
            <w:pPr>
              <w:pStyle w:val="TableContents"/>
              <w:bidi w:val="0"/>
              <w:spacing w:before="0" w:after="283"/>
              <w:jc w:val="right"/>
              <w:rPr/>
            </w:pPr>
            <w:r>
              <w:rPr/>
              <w:t>3,105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w:t>
            </w:r>
          </w:p>
        </w:tc>
        <w:tc>
          <w:tcPr>
            <w:tcW w:w="591" w:type="dxa"/>
            <w:tcBorders/>
            <w:shd w:fill="CCEEFF" w:val="clear"/>
            <w:vAlign w:val="center"/>
          </w:tcPr>
          <w:p>
            <w:pPr>
              <w:pStyle w:val="TableContents"/>
              <w:bidi w:val="0"/>
              <w:spacing w:before="0" w:after="283"/>
              <w:jc w:val="right"/>
              <w:rPr/>
            </w:pPr>
            <w:r>
              <w:rPr/>
              <w:t>6,867</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593" w:type="dxa"/>
            <w:tcBorders/>
            <w:shd w:fill="CCEEFF" w:val="clear"/>
            <w:vAlign w:val="center"/>
          </w:tcPr>
          <w:p>
            <w:pPr>
              <w:pStyle w:val="TableContents"/>
              <w:bidi w:val="0"/>
              <w:spacing w:before="0" w:after="283"/>
              <w:jc w:val="right"/>
              <w:rPr/>
            </w:pPr>
            <w:r>
              <w:rPr/>
              <w:t>221.2</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432"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gross profit increase was primarily due to the acquisitions of OpenReel and Vidello as described above. Gross profit from OpenReel and Vidello was approximately $5,163 thousand and $1,860 thousand, respectively, for the year ended December 31, 2025, and Banzai Operating was approximately $52 thousand.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Expense Analysis</w:t>
      </w:r>
    </w:p>
    <w:p>
      <w:pPr>
        <w:pStyle w:val="TextBody"/>
        <w:bidi w:val="0"/>
        <w:spacing w:before="0" w:after="0"/>
        <w:ind w:left="432" w:right="0" w:firstLine="432"/>
        <w:jc w:val="both"/>
        <w:rPr>
          <w:caps w:val="false"/>
          <w:smallCaps w:val="false"/>
        </w:rPr>
      </w:pPr>
      <w:r>
        <w:rPr>
          <w:caps w:val="false"/>
          <w:smallCaps w:val="false"/>
        </w:rPr>
        <w:t> </w:t>
      </w:r>
    </w:p>
    <w:tbl>
      <w:tblPr>
        <w:tblW w:w="6916" w:type="dxa"/>
        <w:jc w:val="left"/>
        <w:tblInd w:w="0" w:type="dxa"/>
        <w:tblLayout w:type="fixed"/>
        <w:tblCellMar>
          <w:top w:w="0" w:type="dxa"/>
          <w:left w:w="0" w:type="dxa"/>
          <w:bottom w:w="0" w:type="dxa"/>
          <w:right w:w="0" w:type="dxa"/>
        </w:tblCellMar>
      </w:tblPr>
      <w:tblGrid>
        <w:gridCol w:w="2390"/>
        <w:gridCol w:w="60"/>
        <w:gridCol w:w="206"/>
        <w:gridCol w:w="1004"/>
        <w:gridCol w:w="88"/>
        <w:gridCol w:w="88"/>
        <w:gridCol w:w="206"/>
        <w:gridCol w:w="1004"/>
        <w:gridCol w:w="60"/>
        <w:gridCol w:w="60"/>
        <w:gridCol w:w="147"/>
        <w:gridCol w:w="717"/>
        <w:gridCol w:w="63"/>
        <w:gridCol w:w="63"/>
        <w:gridCol w:w="63"/>
        <w:gridCol w:w="467"/>
        <w:gridCol w:w="230"/>
      </w:tblGrid>
      <w:tr>
        <w:trPr/>
        <w:tc>
          <w:tcPr>
            <w:tcW w:w="23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596"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Year Ended December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0"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Year-over-Year</w:t>
            </w:r>
          </w:p>
        </w:tc>
        <w:tc>
          <w:tcPr>
            <w:tcW w:w="230" w:type="dxa"/>
            <w:tcBorders/>
            <w:vAlign w:val="center"/>
          </w:tcPr>
          <w:p>
            <w:pPr>
              <w:pStyle w:val="TableContents"/>
              <w:bidi w:val="0"/>
              <w:spacing w:before="0" w:after="283"/>
              <w:jc w:val="left"/>
              <w:rPr/>
            </w:pPr>
            <w:r>
              <w:rPr/>
              <w:t> </w:t>
            </w:r>
          </w:p>
        </w:tc>
      </w:tr>
      <w:tr>
        <w:trPr/>
        <w:tc>
          <w:tcPr>
            <w:tcW w:w="2390" w:type="dxa"/>
            <w:tcBorders>
              <w:bottom w:val="single" w:sz="8" w:space="0" w:color="000000"/>
            </w:tcBorders>
            <w:tcMar>
              <w:bottom w:w="28" w:type="dxa"/>
            </w:tcMar>
            <w:vAlign w:val="center"/>
          </w:tcPr>
          <w:p>
            <w:pPr>
              <w:pStyle w:val="TableContents"/>
              <w:bidi w:val="0"/>
              <w:spacing w:before="0" w:after="283"/>
              <w:jc w:val="left"/>
              <w:rPr>
                <w:i/>
              </w:rPr>
            </w:pPr>
            <w:r>
              <w:rPr>
                <w:i/>
              </w:rPr>
              <w:t>($ in Thousands)</w:t>
            </w:r>
          </w:p>
        </w:tc>
        <w:tc>
          <w:tcPr>
            <w:tcW w:w="60" w:type="dxa"/>
            <w:tcBorders/>
            <w:vAlign w:val="center"/>
          </w:tcPr>
          <w:p>
            <w:pPr>
              <w:pStyle w:val="TableContents"/>
              <w:bidi w:val="0"/>
              <w:spacing w:before="0" w:after="283"/>
              <w:jc w:val="left"/>
              <w:rPr/>
            </w:pPr>
            <w:r>
              <w:rPr/>
              <w:t> </w:t>
            </w:r>
          </w:p>
        </w:tc>
        <w:tc>
          <w:tcPr>
            <w:tcW w:w="1210"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2025</w:t>
            </w:r>
          </w:p>
        </w:tc>
        <w:tc>
          <w:tcPr>
            <w:tcW w:w="88"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210"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4"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530"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230" w:type="dxa"/>
            <w:tcBorders/>
            <w:vAlign w:val="center"/>
          </w:tcPr>
          <w:p>
            <w:pPr>
              <w:pStyle w:val="TableContents"/>
              <w:bidi w:val="0"/>
              <w:spacing w:before="0" w:after="283"/>
              <w:jc w:val="left"/>
              <w:rPr/>
            </w:pPr>
            <w:r>
              <w:rPr/>
              <w:t> </w:t>
            </w:r>
          </w:p>
        </w:tc>
      </w:tr>
      <w:tr>
        <w:trPr/>
        <w:tc>
          <w:tcPr>
            <w:tcW w:w="2390" w:type="dxa"/>
            <w:tcBorders/>
            <w:shd w:fill="CCEEFF" w:val="clear"/>
            <w:vAlign w:val="center"/>
          </w:tcPr>
          <w:p>
            <w:pPr>
              <w:pStyle w:val="TableContents"/>
              <w:bidi w:val="0"/>
              <w:spacing w:before="0" w:after="283"/>
              <w:jc w:val="left"/>
              <w:rPr/>
            </w:pPr>
            <w:r>
              <w:rPr/>
              <w:t>Total operating expenses</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w:t>
            </w:r>
          </w:p>
        </w:tc>
        <w:tc>
          <w:tcPr>
            <w:tcW w:w="1004" w:type="dxa"/>
            <w:tcBorders/>
            <w:shd w:fill="CCEEFF" w:val="clear"/>
            <w:vAlign w:val="center"/>
          </w:tcPr>
          <w:p>
            <w:pPr>
              <w:pStyle w:val="TableContents"/>
              <w:bidi w:val="0"/>
              <w:spacing w:before="0" w:after="283"/>
              <w:jc w:val="right"/>
              <w:rPr/>
            </w:pPr>
            <w:r>
              <w:rPr/>
              <w:t>28,437</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w:t>
            </w:r>
          </w:p>
        </w:tc>
        <w:tc>
          <w:tcPr>
            <w:tcW w:w="1004" w:type="dxa"/>
            <w:tcBorders/>
            <w:shd w:fill="CCEEFF" w:val="clear"/>
            <w:vAlign w:val="center"/>
          </w:tcPr>
          <w:p>
            <w:pPr>
              <w:pStyle w:val="TableContents"/>
              <w:bidi w:val="0"/>
              <w:spacing w:before="0" w:after="283"/>
              <w:jc w:val="right"/>
              <w:rPr/>
            </w:pPr>
            <w:r>
              <w:rPr/>
              <w:t>16,573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w:t>
            </w:r>
          </w:p>
        </w:tc>
        <w:tc>
          <w:tcPr>
            <w:tcW w:w="717" w:type="dxa"/>
            <w:tcBorders/>
            <w:shd w:fill="CCEEFF" w:val="clear"/>
            <w:vAlign w:val="center"/>
          </w:tcPr>
          <w:p>
            <w:pPr>
              <w:pStyle w:val="TableContents"/>
              <w:bidi w:val="0"/>
              <w:spacing w:before="0" w:after="283"/>
              <w:jc w:val="right"/>
              <w:rPr/>
            </w:pPr>
            <w:r>
              <w:rPr/>
              <w:t>11,864</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467" w:type="dxa"/>
            <w:tcBorders/>
            <w:shd w:fill="CCEEFF" w:val="clear"/>
            <w:vAlign w:val="center"/>
          </w:tcPr>
          <w:p>
            <w:pPr>
              <w:pStyle w:val="TableContents"/>
              <w:bidi w:val="0"/>
              <w:spacing w:before="0" w:after="283"/>
              <w:jc w:val="right"/>
              <w:rPr/>
            </w:pPr>
            <w:r>
              <w:rPr/>
              <w:t>71.6</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432"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operating expenses increased primarily due to the acquisitions of OpenReel and Vidello, which were approximately $6.1 million and $1.9 million, respectively, for the year ended December 31, 2025. Additionally the increase was due to an overall increase in salaries and related expenses of approximately $1.6 million primarily driven by stock-based compensation expense, marketing expenses by approximately $0.6 million, and costs associated with audit, technical accounting, and legal and other professional services of approximately $1.8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Expense Analysis</w:t>
      </w:r>
    </w:p>
    <w:p>
      <w:pPr>
        <w:pStyle w:val="TextBody"/>
        <w:bidi w:val="0"/>
        <w:spacing w:before="0" w:after="0"/>
        <w:ind w:left="432" w:right="0" w:firstLine="432"/>
        <w:jc w:val="both"/>
        <w:rPr>
          <w:caps w:val="false"/>
          <w:smallCaps w:val="false"/>
        </w:rPr>
      </w:pPr>
      <w:r>
        <w:rPr>
          <w:caps w:val="false"/>
          <w:smallCaps w:val="false"/>
        </w:rPr>
        <w:t> </w:t>
      </w:r>
    </w:p>
    <w:tbl>
      <w:tblPr>
        <w:tblW w:w="7022" w:type="dxa"/>
        <w:jc w:val="left"/>
        <w:tblInd w:w="0" w:type="dxa"/>
        <w:tblLayout w:type="fixed"/>
        <w:tblCellMar>
          <w:top w:w="0" w:type="dxa"/>
          <w:left w:w="0" w:type="dxa"/>
          <w:bottom w:w="0" w:type="dxa"/>
          <w:right w:w="0" w:type="dxa"/>
        </w:tblCellMar>
      </w:tblPr>
      <w:tblGrid>
        <w:gridCol w:w="2390"/>
        <w:gridCol w:w="60"/>
        <w:gridCol w:w="221"/>
        <w:gridCol w:w="887"/>
        <w:gridCol w:w="95"/>
        <w:gridCol w:w="95"/>
        <w:gridCol w:w="221"/>
        <w:gridCol w:w="1078"/>
        <w:gridCol w:w="60"/>
        <w:gridCol w:w="60"/>
        <w:gridCol w:w="140"/>
        <w:gridCol w:w="755"/>
        <w:gridCol w:w="95"/>
        <w:gridCol w:w="60"/>
        <w:gridCol w:w="60"/>
        <w:gridCol w:w="515"/>
        <w:gridCol w:w="230"/>
      </w:tblGrid>
      <w:tr>
        <w:trPr/>
        <w:tc>
          <w:tcPr>
            <w:tcW w:w="23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597"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Year Ended December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5"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Year-over-Year</w:t>
            </w:r>
          </w:p>
        </w:tc>
        <w:tc>
          <w:tcPr>
            <w:tcW w:w="230" w:type="dxa"/>
            <w:tcBorders/>
            <w:vAlign w:val="center"/>
          </w:tcPr>
          <w:p>
            <w:pPr>
              <w:pStyle w:val="TableContents"/>
              <w:bidi w:val="0"/>
              <w:spacing w:before="0" w:after="283"/>
              <w:jc w:val="left"/>
              <w:rPr/>
            </w:pPr>
            <w:r>
              <w:rPr/>
              <w:t> </w:t>
            </w:r>
          </w:p>
        </w:tc>
      </w:tr>
      <w:tr>
        <w:trPr/>
        <w:tc>
          <w:tcPr>
            <w:tcW w:w="2390" w:type="dxa"/>
            <w:tcBorders>
              <w:bottom w:val="single" w:sz="8" w:space="0" w:color="000000"/>
            </w:tcBorders>
            <w:tcMar>
              <w:bottom w:w="28" w:type="dxa"/>
            </w:tcMar>
            <w:vAlign w:val="center"/>
          </w:tcPr>
          <w:p>
            <w:pPr>
              <w:pStyle w:val="TableContents"/>
              <w:bidi w:val="0"/>
              <w:spacing w:before="0" w:after="283"/>
              <w:jc w:val="left"/>
              <w:rPr>
                <w:i/>
              </w:rPr>
            </w:pPr>
            <w:r>
              <w:rPr>
                <w:i/>
              </w:rPr>
              <w:t>($ in Thousands)</w:t>
            </w:r>
          </w:p>
        </w:tc>
        <w:tc>
          <w:tcPr>
            <w:tcW w:w="60" w:type="dxa"/>
            <w:tcBorders/>
            <w:vAlign w:val="center"/>
          </w:tcPr>
          <w:p>
            <w:pPr>
              <w:pStyle w:val="TableContents"/>
              <w:bidi w:val="0"/>
              <w:spacing w:before="0" w:after="283"/>
              <w:jc w:val="left"/>
              <w:rPr/>
            </w:pPr>
            <w:r>
              <w:rPr/>
              <w:t> </w:t>
            </w:r>
          </w:p>
        </w:tc>
        <w:tc>
          <w:tcPr>
            <w:tcW w:w="1108"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2025</w:t>
            </w:r>
          </w:p>
        </w:tc>
        <w:tc>
          <w:tcPr>
            <w:tcW w:w="9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299"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230" w:type="dxa"/>
            <w:tcBorders/>
            <w:vAlign w:val="center"/>
          </w:tcPr>
          <w:p>
            <w:pPr>
              <w:pStyle w:val="TableContents"/>
              <w:bidi w:val="0"/>
              <w:spacing w:before="0" w:after="283"/>
              <w:jc w:val="left"/>
              <w:rPr/>
            </w:pPr>
            <w:r>
              <w:rPr/>
              <w:t> </w:t>
            </w:r>
          </w:p>
        </w:tc>
      </w:tr>
      <w:tr>
        <w:trPr/>
        <w:tc>
          <w:tcPr>
            <w:tcW w:w="2390" w:type="dxa"/>
            <w:tcBorders/>
            <w:shd w:fill="CCEEFF" w:val="clear"/>
            <w:vAlign w:val="center"/>
          </w:tcPr>
          <w:p>
            <w:pPr>
              <w:pStyle w:val="TableContents"/>
              <w:bidi w:val="0"/>
              <w:spacing w:before="0" w:after="283"/>
              <w:jc w:val="left"/>
              <w:rPr/>
            </w:pPr>
            <w:r>
              <w:rPr/>
              <w:t>Total other expenses, net</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w:t>
            </w:r>
          </w:p>
        </w:tc>
        <w:tc>
          <w:tcPr>
            <w:tcW w:w="887" w:type="dxa"/>
            <w:tcBorders/>
            <w:shd w:fill="CCEEFF" w:val="clear"/>
            <w:vAlign w:val="center"/>
          </w:tcPr>
          <w:p>
            <w:pPr>
              <w:pStyle w:val="TableContents"/>
              <w:bidi w:val="0"/>
              <w:spacing w:before="0" w:after="283"/>
              <w:jc w:val="right"/>
              <w:rPr/>
            </w:pPr>
            <w:r>
              <w:rPr/>
              <w:t>3,968</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w:t>
            </w:r>
          </w:p>
        </w:tc>
        <w:tc>
          <w:tcPr>
            <w:tcW w:w="1078" w:type="dxa"/>
            <w:tcBorders/>
            <w:shd w:fill="CCEEFF" w:val="clear"/>
            <w:vAlign w:val="center"/>
          </w:tcPr>
          <w:p>
            <w:pPr>
              <w:pStyle w:val="TableContents"/>
              <w:bidi w:val="0"/>
              <w:spacing w:before="0" w:after="283"/>
              <w:jc w:val="right"/>
              <w:rPr/>
            </w:pPr>
            <w:r>
              <w:rPr/>
              <w:t>18,045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(14,077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-78.0</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432" w:right="0" w:firstLine="432"/>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35</w:t>
            </w:r>
          </w:p>
        </w:tc>
      </w:tr>
    </w:tbl>
    <w:p>
      <w:pPr>
        <w:pStyle w:val="TextBody"/>
        <w:bidi w:val="0"/>
        <w:spacing w:before="0" w:after="0"/>
        <w:ind w:left="0" w:right="0" w:hanging="0"/>
        <w:jc w:val="left"/>
        <w:rPr/>
      </w:pPr>
      <w:r>
        <w:rPr/>
        <w:t> </w:t>
      </w:r>
    </w:p>
    <w:p>
      <w:pPr>
        <w:pStyle w:val="TextBody"/>
        <w:bidi w:val="0"/>
        <w:spacing w:before="0" w:after="0"/>
        <w:ind w:left="432"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2025, we reported total other income of approximately $4.0 million. The change in other expenses (income), net was primarily driven by the following: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interest expense of approximately $2.4 million recognized during the year ended December 31, 2025 compared to $3.0 million during the year ended December 31, 2024.</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on extinguishment of liabilities of approximately $4.5 million recognized during the year ended December 31, 2025 compared to $0.7 million recognized during the year ended December 31, 2024.</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issuance of debt of approximately $0.4 million during the year ended December 31, 2025 compared to $0.7 million during the year ended December 31, 2024.</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Private Placement Issuance of debt of approximately $4.9 million during the year ended December 31, 2025.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extinguishment of debt, net of approximately $2.4 million during the year ended December 31, 2025 compared to $1.1 million during the year ended December 31, 2024.</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convertible notes was a gain of approximately $2.0 million during the year ended December 31, 2025 compared to a loss of approximately $0.7 million during the year ended December 31, 2024.</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SEPA advances to Yorkville of approximately $1.0 million during the year ended December 31, 2025.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related to the terminated Act-On acquisition of $1.4 million during the year ended December 31, 2025.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conversion and settlement of CP BF notes of approximately $6.5 million during the year ended December 31, 2024.</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conversion and settlement of Alco promissory notes of approximately $4.8 million during the year ended December 31, 2024.</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impairment loss associated with the OpenReel acquisition of approximately $2.7 million during the year ended December 31, 2024.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Provision for Income Taxes</w:t>
      </w:r>
    </w:p>
    <w:p>
      <w:pPr>
        <w:pStyle w:val="TextBody"/>
        <w:bidi w:val="0"/>
        <w:spacing w:before="0" w:after="0"/>
        <w:ind w:left="432" w:right="0" w:firstLine="432"/>
        <w:jc w:val="both"/>
        <w:rPr>
          <w:caps w:val="false"/>
          <w:smallCaps w:val="false"/>
        </w:rPr>
      </w:pPr>
      <w:r>
        <w:rPr>
          <w:caps w:val="false"/>
          <w:smallCaps w:val="false"/>
        </w:rPr>
        <w:t> </w:t>
      </w:r>
    </w:p>
    <w:tbl>
      <w:tblPr>
        <w:tblW w:w="6436" w:type="dxa"/>
        <w:jc w:val="left"/>
        <w:tblInd w:w="0" w:type="dxa"/>
        <w:tblLayout w:type="fixed"/>
        <w:tblCellMar>
          <w:top w:w="0" w:type="dxa"/>
          <w:left w:w="0" w:type="dxa"/>
          <w:bottom w:w="0" w:type="dxa"/>
          <w:right w:w="0" w:type="dxa"/>
        </w:tblCellMar>
      </w:tblPr>
      <w:tblGrid>
        <w:gridCol w:w="1910"/>
        <w:gridCol w:w="60"/>
        <w:gridCol w:w="393"/>
        <w:gridCol w:w="733"/>
        <w:gridCol w:w="167"/>
        <w:gridCol w:w="167"/>
        <w:gridCol w:w="393"/>
        <w:gridCol w:w="743"/>
        <w:gridCol w:w="60"/>
        <w:gridCol w:w="60"/>
        <w:gridCol w:w="168"/>
        <w:gridCol w:w="313"/>
        <w:gridCol w:w="72"/>
        <w:gridCol w:w="72"/>
        <w:gridCol w:w="72"/>
        <w:gridCol w:w="823"/>
        <w:gridCol w:w="230"/>
      </w:tblGrid>
      <w:tr>
        <w:trPr/>
        <w:tc>
          <w:tcPr>
            <w:tcW w:w="19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596"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Year Ended December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0"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Year-over-Year</w:t>
            </w:r>
          </w:p>
        </w:tc>
        <w:tc>
          <w:tcPr>
            <w:tcW w:w="230" w:type="dxa"/>
            <w:tcBorders/>
            <w:vAlign w:val="center"/>
          </w:tcPr>
          <w:p>
            <w:pPr>
              <w:pStyle w:val="TableContents"/>
              <w:bidi w:val="0"/>
              <w:spacing w:before="0" w:after="283"/>
              <w:jc w:val="left"/>
              <w:rPr/>
            </w:pPr>
            <w:r>
              <w:rPr/>
              <w:t> </w:t>
            </w:r>
          </w:p>
        </w:tc>
      </w:tr>
      <w:tr>
        <w:trPr/>
        <w:tc>
          <w:tcPr>
            <w:tcW w:w="1910" w:type="dxa"/>
            <w:tcBorders>
              <w:bottom w:val="single" w:sz="8" w:space="0" w:color="000000"/>
            </w:tcBorders>
            <w:tcMar>
              <w:bottom w:w="28" w:type="dxa"/>
            </w:tcMar>
            <w:vAlign w:val="center"/>
          </w:tcPr>
          <w:p>
            <w:pPr>
              <w:pStyle w:val="TableContents"/>
              <w:bidi w:val="0"/>
              <w:spacing w:before="0" w:after="283"/>
              <w:jc w:val="left"/>
              <w:rPr>
                <w:i/>
              </w:rPr>
            </w:pPr>
            <w:r>
              <w:rPr>
                <w:i/>
              </w:rPr>
              <w:t>($ in Thousands)</w:t>
            </w:r>
          </w:p>
        </w:tc>
        <w:tc>
          <w:tcPr>
            <w:tcW w:w="60" w:type="dxa"/>
            <w:tcBorders/>
            <w:vAlign w:val="center"/>
          </w:tcPr>
          <w:p>
            <w:pPr>
              <w:pStyle w:val="TableContents"/>
              <w:bidi w:val="0"/>
              <w:spacing w:before="0" w:after="283"/>
              <w:jc w:val="left"/>
              <w:rPr/>
            </w:pPr>
            <w:r>
              <w:rPr/>
              <w:t> </w:t>
            </w:r>
          </w:p>
        </w:tc>
        <w:tc>
          <w:tcPr>
            <w:tcW w:w="1126"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2025</w:t>
            </w:r>
          </w:p>
        </w:tc>
        <w:tc>
          <w:tcPr>
            <w:tcW w:w="167"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1136"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1"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230" w:type="dxa"/>
            <w:tcBorders/>
            <w:vAlign w:val="center"/>
          </w:tcPr>
          <w:p>
            <w:pPr>
              <w:pStyle w:val="TableContents"/>
              <w:bidi w:val="0"/>
              <w:spacing w:before="0" w:after="283"/>
              <w:jc w:val="left"/>
              <w:rPr/>
            </w:pPr>
            <w:r>
              <w:rPr/>
              <w:t> </w:t>
            </w:r>
          </w:p>
        </w:tc>
      </w:tr>
      <w:tr>
        <w:trPr/>
        <w:tc>
          <w:tcPr>
            <w:tcW w:w="1910" w:type="dxa"/>
            <w:tcBorders/>
            <w:shd w:fill="CCEEFF" w:val="clear"/>
            <w:vAlign w:val="center"/>
          </w:tcPr>
          <w:p>
            <w:pPr>
              <w:pStyle w:val="TableContents"/>
              <w:bidi w:val="0"/>
              <w:spacing w:before="0" w:after="283"/>
              <w:jc w:val="left"/>
              <w:rPr/>
            </w:pPr>
            <w:r>
              <w:rPr/>
              <w:t>Income tax expense</w:t>
            </w:r>
          </w:p>
        </w:tc>
        <w:tc>
          <w:tcPr>
            <w:tcW w:w="60" w:type="dxa"/>
            <w:tcBorders/>
            <w:shd w:fill="CCEEFF" w:val="clear"/>
            <w:vAlign w:val="center"/>
          </w:tcPr>
          <w:p>
            <w:pPr>
              <w:pStyle w:val="TableContents"/>
              <w:bidi w:val="0"/>
              <w:spacing w:before="0" w:after="283"/>
              <w:jc w:val="left"/>
              <w:rPr/>
            </w:pPr>
            <w:r>
              <w:rPr/>
              <w:t> </w:t>
            </w:r>
          </w:p>
        </w:tc>
        <w:tc>
          <w:tcPr>
            <w:tcW w:w="393" w:type="dxa"/>
            <w:tcBorders/>
            <w:shd w:fill="CCEEFF" w:val="clear"/>
            <w:vAlign w:val="center"/>
          </w:tcPr>
          <w:p>
            <w:pPr>
              <w:pStyle w:val="TableContents"/>
              <w:bidi w:val="0"/>
              <w:spacing w:before="0" w:after="283"/>
              <w:jc w:val="left"/>
              <w:rPr/>
            </w:pPr>
            <w:r>
              <w:rPr/>
              <w:t>$</w:t>
            </w:r>
          </w:p>
        </w:tc>
        <w:tc>
          <w:tcPr>
            <w:tcW w:w="733" w:type="dxa"/>
            <w:tcBorders/>
            <w:shd w:fill="CCEEFF" w:val="clear"/>
            <w:vAlign w:val="center"/>
          </w:tcPr>
          <w:p>
            <w:pPr>
              <w:pStyle w:val="TableContents"/>
              <w:bidi w:val="0"/>
              <w:spacing w:before="0" w:after="283"/>
              <w:jc w:val="right"/>
              <w:rPr/>
            </w:pPr>
            <w:r>
              <w:rPr/>
              <w:t>61</w:t>
            </w:r>
          </w:p>
        </w:tc>
        <w:tc>
          <w:tcPr>
            <w:tcW w:w="167"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393" w:type="dxa"/>
            <w:tcBorders/>
            <w:shd w:fill="CCEEFF" w:val="clear"/>
            <w:vAlign w:val="center"/>
          </w:tcPr>
          <w:p>
            <w:pPr>
              <w:pStyle w:val="TableContents"/>
              <w:bidi w:val="0"/>
              <w:spacing w:before="0" w:after="283"/>
              <w:jc w:val="left"/>
              <w:rPr/>
            </w:pPr>
            <w:r>
              <w:rPr/>
              <w:t>$</w:t>
            </w:r>
          </w:p>
        </w:tc>
        <w:tc>
          <w:tcPr>
            <w:tcW w:w="74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w:t>
            </w:r>
          </w:p>
        </w:tc>
        <w:tc>
          <w:tcPr>
            <w:tcW w:w="313" w:type="dxa"/>
            <w:tcBorders/>
            <w:shd w:fill="CCEEFF" w:val="clear"/>
            <w:vAlign w:val="center"/>
          </w:tcPr>
          <w:p>
            <w:pPr>
              <w:pStyle w:val="TableContents"/>
              <w:bidi w:val="0"/>
              <w:spacing w:before="0" w:after="283"/>
              <w:jc w:val="right"/>
              <w:rPr/>
            </w:pPr>
            <w:r>
              <w:rPr/>
              <w:t>61</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823" w:type="dxa"/>
            <w:tcBorders/>
            <w:shd w:fill="CCEEFF" w:val="clear"/>
            <w:vAlign w:val="center"/>
          </w:tcPr>
          <w:p>
            <w:pPr>
              <w:pStyle w:val="TableContents"/>
              <w:bidi w:val="0"/>
              <w:spacing w:before="0" w:after="283"/>
              <w:jc w:val="right"/>
              <w:rPr/>
            </w:pPr>
            <w:r>
              <w:rPr/>
              <w:t>1614.3</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432"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our history of losses since inception, there is not enough evidence at this time to support that we will generate future income of a sufficient amount and nature to utilize the benefits of our net deferred tax assets associated with the U.S. taxing jurisdiction. Accordingly, the U.S. deferred tax assets have been reduced by a full valuation allowance, since we cannot currently support that realization of our deferred tax assets is more likely than not.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December 31, 2025, we had no unrecognized tax benefits that would impact our effective tax rate if recognized.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consolidated financial statements have been prepared in accordance with generally accepted accounting principles in the United States. The preparation of these consolidated financial statements requires us to make judgments and estimates that affect the reported amounts of assets, liabilities, revenues and expenses, and the disclosure of contingent assets and liabilities in our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Our actual results may differ from these estimates under different assumptions or conditions. On a recurring basis, we evaluate our judgments and estimates in light of changes in circumstances, facts, and experience. The effects of material revisions in an estimate, if any, will be reflected in the consolidated financial statements prospectively from the date of the change in the estimate.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the following accounting policies are those most critical to the judgments and estimates used in the preparation of our financial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Impairment of goodwill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represents the excess of the purchase price over the fair value of the net identifiable assets acquired in a business combination. Goodwill is reviewed for impairment at least annually, in December, or more frequently if a triggering event occurs between impairment testing dates. As of December 31, 2025, the Company had three operating segments, which were deemed to be its reporting units, for the purpose of evaluating goodwill impairment, and the annual impairment test is performed as of December 31.</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36</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impairment assessment begins with a qualitative assessment to determine whether it is more likely than not that the fair value of the reporting unit is less than its carrying value. Qualitative factors may include, macroeconomic conditions, industry and market considerations, cost factors, and other relevant entity and Company specific events. If, based on the qualitative test, the Company determines that it is “more likely than not” that the fair value of a reporting unit is less than its carrying value, then we evaluate goodwill for impairment by comparing the fair value of our reporting unit to its respective carrying value, including its goodwill. If it is determined that it is not likely that the fair value of the reporting unit is less than its carrying value, then no further testing is required.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selection and assessment of qualitative factors used to determine whether it is more likely than not that the fair value of a reporting unit exceeds the carrying value involves significant judgment and estimates. Fair values may be determined using a combination of both income and market-based approaches.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annual impairment testing date of December 31, 2025, the Company performed a quantitative assessment by estimating the fair value of the Company using the market capitalization method of the market approach and an income valuation methodology, consisting of a discounted cash flow analysis and market valuation methodologies, consisting of the guideline public company and guideline transaction methods.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capitalization method calculated the aggregate market value of the Company based on the total number of outstanding shares of common and preferred stock and the market prices of the shares as of the assessment date.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discounted cash flow (“DCF”) estimated the present value of future cash flows. A DCF analysis requires significant judgment to model financial forecasts, which included revenue growth, cost of sales as a percentage of revenue, gross profit margin, operating expenses as a percentage of revenue, EBITDA margin, EBITDA growth, industry and economic trends, and other relevant considerations. For periods beyond those forecasted, a terminal value was estimated based on an assumed long-term growth rate, which was derived using the Gordon Growth Model. The discount rate applied to the forecasted cash flows was calculated using a build-up approach, which starts with the risk-free interest rate, which was then calibrated for market and small stock risk premiums, including a beta, equity risk, size, and small stock risk premiums to reflect risks and uncertainties in the financial market and in the Company’s business projections.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approach for the guideline public company method utilizes observable market data from comparable public companies, including revenue multiples, to estimate the Company’s fair value. This approach also incorporates a control premium to represent the Company’s expectation of a hypothetical acquisition. The market approach for the guideline transaction method utilizes observable transactions of actual prices paid for target companies that operated in comparable industries or markets facing similar risks. Both methods of the market approach require judgment in the selection of comparable companies or comparable transactions and includes those with similar business activities, and related operating environments.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results of the quantitative assessment indicated that the fair value of each of the Company’s reporting units exceeded its carrying value, therefore no goodwill impairment was recognized for the year ended December 31, 2025.</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negative industry or economic trends, including declines in the market price of the Company’s stock, reduced estimates of future cash flows or business disruptions could result in impairments to goodwill in the future, which would result in recording an impairment loss. Any resulting impairment loss could have a material adverse impact on the Company’s financial condition and results of operations. Management evaluates the economic conditions in between reporting periods for triggering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Business combinations</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business combinations under the acquisition method of accounting, which requires the recognition of acquired tangible and identifiable intangible assets and assumed liabilities at their acquisition date fair values. These fair values are a result of valuation techniques that use significant assumptions that are subject to a high degree of judgment. The excess of the acquisition price over the fair value of assets acquired and liabilities assumed is recorded as goodwill. Results of operations related to acquired entities are included prospectively beginning with the date of acquisition. Acquisition-related costs are expensed as incurred.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Fair value estimates under the Fair Value Option</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measures certain debt instruments at fair value on a recurring basis. Fair value is defined as the price that would be paid to transfer a liability in an orderly transaction between market participants at the measurement date. The determination of fair value requires management judgment, including the selection of valuation methodologies and the use of assumptions that may not be observable in the market.</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elected the fair value option for certain debt instruments that contain conversion features. When the fair value option is elected, the note is measured at fair value at each reporting date as a single unit of account, and changes in fair value are recognized in earnings.</w:t>
      </w:r>
    </w:p>
    <w:p>
      <w:pPr>
        <w:pStyle w:val="TextBody"/>
        <w:bidi w:val="0"/>
        <w:spacing w:before="0" w:after="0"/>
        <w:ind w:left="0" w:right="0" w:firstLine="49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37</w:t>
            </w:r>
          </w:p>
        </w:tc>
      </w:tr>
    </w:tbl>
    <w:p>
      <w:pPr>
        <w:pStyle w:val="TextBody"/>
        <w:bidi w:val="0"/>
        <w:spacing w:before="0" w:after="0"/>
        <w:ind w:left="0" w:right="0" w:hanging="0"/>
        <w:jc w:val="left"/>
        <w:rPr/>
      </w:pPr>
      <w:r>
        <w:rPr/>
        <w:t> </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election of the fair value option results in recurring fair value measurements that are considered a critical accounting estimate due to the judgment required in estimating fair value and the sensitivity of the measurement to changes in assumptions. The fair value of these debt instruments are estimated using valuation techniques that incorporate inputs that may not be observable in the market and, accordingly, the fair value measurements are generally classified within Level 3 of the fair value hierarchy. Key assumptions used to estimate fair value may include, among other things, the Company’s credit risk, discount rates, the expected timing and amount of future cash flows, and assumptions related to the conversion feature, including the Company’s stock price and expected volatility. These assumptions are inherently subjective and may change from period to period. As a result, the estimated fair value could differ materially from amounts that would be paid to transfer the liability in a current market transaction, and changes in these assumptions could materially affect the Company’s consolidated financial statements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Financial Measures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Adjusted EBITDA</w:t>
      </w:r>
    </w:p>
    <w:p>
      <w:pPr>
        <w:pStyle w:val="TextBody"/>
        <w:bidi w:val="0"/>
        <w:spacing w:before="0" w:after="0"/>
        <w:ind w:left="432"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our results determined in accordance with U.S. GAAP, we believe that Adjusted EBITDA, a non-GAAP measure as defined below, is useful in evaluating our operational performance distinct and apart from certain irregular, non-cash, and non-operational expenses. We use this information for ongoing evaluation of operations and for internal planning purposes. We believe that non-GAAP financial information, when taken collectively with results under GAAP, may be helpful to investors in assessing our operating performance and comparing our performance with competitors and other comparable companies.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Non-GAAP measures should not be considered in isolation or as a substitute for analysis of our results as reported under GAAP. We endeavor to compensate for the limitation of Adjusted EBITDA, by also providing the most directly comparable GAAP measure, which is net loss, and a description of the reconciling items and adjustments to derive the non-GAAP measure. Some of these limitations are:</w:t>
      </w:r>
    </w:p>
    <w:p>
      <w:pPr>
        <w:pStyle w:val="TextBody"/>
        <w:bidi w:val="0"/>
        <w:spacing w:before="0" w:after="0"/>
        <w:ind w:left="432" w:right="0" w:firstLine="432"/>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does not consider the potentially dilutive impact of stock-based compensation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depreciation and amortization are non-cash charges, the assets being depreciated and amortized may have to be replaced in the future, and Adjusted EBITDA does not reflect cash capital expenditure requirements for such replacements or for new capital expenditures or contractual commitments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does not reflect impairment and restructuring costs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does not reflect interest expense or other income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does not reflect income taxes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does not reflect audit, legal, incremental accounting and other expenses tied to M&amp;A or the Business Combination;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companies, including companies in our own industry, may calculate Adjusted EBITDA differently from the way we do, limiting its usefulness as a comparative measure.</w:t>
            </w:r>
          </w:p>
        </w:tc>
      </w:tr>
    </w:tbl>
    <w:p>
      <w:pPr>
        <w:pStyle w:val="TextBody"/>
        <w:bidi w:val="0"/>
        <w:spacing w:before="0" w:after="0"/>
        <w:ind w:left="432"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of these limitations, Adjusted EBITDA should only be considered alongside results prepared in accordance with GAAP, including various cash-flow metrics, net income (loss) and our other GAAP results and financial performance measures.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Adjusted EBITDA Analysis</w:t>
      </w:r>
    </w:p>
    <w:p>
      <w:pPr>
        <w:pStyle w:val="TextBody"/>
        <w:bidi w:val="0"/>
        <w:spacing w:before="0" w:after="0"/>
        <w:ind w:left="432" w:right="0" w:firstLine="432"/>
        <w:jc w:val="both"/>
        <w:rPr>
          <w:caps w:val="false"/>
          <w:smallCaps w:val="false"/>
        </w:rPr>
      </w:pPr>
      <w:r>
        <w:rPr>
          <w:caps w:val="false"/>
          <w:smallCaps w:val="false"/>
        </w:rPr>
        <w:t> </w:t>
      </w:r>
    </w:p>
    <w:tbl>
      <w:tblPr>
        <w:tblW w:w="7072" w:type="dxa"/>
        <w:jc w:val="left"/>
        <w:tblInd w:w="0" w:type="dxa"/>
        <w:tblLayout w:type="fixed"/>
        <w:tblCellMar>
          <w:top w:w="0" w:type="dxa"/>
          <w:left w:w="0" w:type="dxa"/>
          <w:bottom w:w="0" w:type="dxa"/>
          <w:right w:w="0" w:type="dxa"/>
        </w:tblCellMar>
      </w:tblPr>
      <w:tblGrid>
        <w:gridCol w:w="2510"/>
        <w:gridCol w:w="60"/>
        <w:gridCol w:w="213"/>
        <w:gridCol w:w="968"/>
        <w:gridCol w:w="144"/>
        <w:gridCol w:w="91"/>
        <w:gridCol w:w="213"/>
        <w:gridCol w:w="968"/>
        <w:gridCol w:w="95"/>
        <w:gridCol w:w="60"/>
        <w:gridCol w:w="170"/>
        <w:gridCol w:w="553"/>
        <w:gridCol w:w="115"/>
        <w:gridCol w:w="72"/>
        <w:gridCol w:w="72"/>
        <w:gridCol w:w="538"/>
        <w:gridCol w:w="230"/>
      </w:tblGrid>
      <w:tr>
        <w:trPr/>
        <w:tc>
          <w:tcPr>
            <w:tcW w:w="25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597"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Year Ended December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0"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Year-over-Year</w:t>
            </w:r>
          </w:p>
        </w:tc>
        <w:tc>
          <w:tcPr>
            <w:tcW w:w="230" w:type="dxa"/>
            <w:tcBorders/>
            <w:vAlign w:val="center"/>
          </w:tcPr>
          <w:p>
            <w:pPr>
              <w:pStyle w:val="TableContents"/>
              <w:bidi w:val="0"/>
              <w:spacing w:before="0" w:after="283"/>
              <w:jc w:val="left"/>
              <w:rPr/>
            </w:pPr>
            <w:r>
              <w:rPr/>
              <w:t> </w:t>
            </w:r>
          </w:p>
        </w:tc>
      </w:tr>
      <w:tr>
        <w:trPr/>
        <w:tc>
          <w:tcPr>
            <w:tcW w:w="2510" w:type="dxa"/>
            <w:tcBorders>
              <w:bottom w:val="single" w:sz="8" w:space="0" w:color="000000"/>
            </w:tcBorders>
            <w:tcMar>
              <w:bottom w:w="28" w:type="dxa"/>
            </w:tcMar>
            <w:vAlign w:val="center"/>
          </w:tcPr>
          <w:p>
            <w:pPr>
              <w:pStyle w:val="TableContents"/>
              <w:bidi w:val="0"/>
              <w:spacing w:before="0" w:after="283"/>
              <w:jc w:val="left"/>
              <w:rPr>
                <w:i/>
              </w:rPr>
            </w:pPr>
            <w:r>
              <w:rPr>
                <w:i/>
              </w:rPr>
              <w:t>($ in Thousands)</w:t>
            </w:r>
          </w:p>
        </w:tc>
        <w:tc>
          <w:tcPr>
            <w:tcW w:w="60" w:type="dxa"/>
            <w:tcBorders/>
            <w:vAlign w:val="center"/>
          </w:tcPr>
          <w:p>
            <w:pPr>
              <w:pStyle w:val="TableContents"/>
              <w:bidi w:val="0"/>
              <w:spacing w:before="0" w:after="283"/>
              <w:jc w:val="left"/>
              <w:rPr/>
            </w:pPr>
            <w:r>
              <w:rPr/>
              <w:t> </w:t>
            </w:r>
          </w:p>
        </w:tc>
        <w:tc>
          <w:tcPr>
            <w:tcW w:w="1181"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2025</w:t>
            </w:r>
          </w:p>
        </w:tc>
        <w:tc>
          <w:tcPr>
            <w:tcW w:w="144"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181"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3"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115"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610"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230" w:type="dxa"/>
            <w:tcBorders/>
            <w:vAlign w:val="center"/>
          </w:tcPr>
          <w:p>
            <w:pPr>
              <w:pStyle w:val="TableContents"/>
              <w:bidi w:val="0"/>
              <w:spacing w:before="0" w:after="283"/>
              <w:jc w:val="left"/>
              <w:rPr/>
            </w:pPr>
            <w:r>
              <w:rPr/>
              <w:t> </w:t>
            </w:r>
          </w:p>
        </w:tc>
      </w:tr>
      <w:tr>
        <w:trPr/>
        <w:tc>
          <w:tcPr>
            <w:tcW w:w="2510" w:type="dxa"/>
            <w:tcBorders/>
            <w:shd w:fill="CCEEFF" w:val="clear"/>
            <w:vAlign w:val="center"/>
          </w:tcPr>
          <w:p>
            <w:pPr>
              <w:pStyle w:val="TableContents"/>
              <w:bidi w:val="0"/>
              <w:spacing w:before="0" w:after="283"/>
              <w:jc w:val="left"/>
              <w:rPr/>
            </w:pPr>
            <w:r>
              <w:rPr/>
              <w:t>Adjusted EBITDA (Loss)</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w:t>
            </w:r>
          </w:p>
        </w:tc>
        <w:tc>
          <w:tcPr>
            <w:tcW w:w="968" w:type="dxa"/>
            <w:tcBorders/>
            <w:shd w:fill="CCEEFF" w:val="clear"/>
            <w:vAlign w:val="center"/>
          </w:tcPr>
          <w:p>
            <w:pPr>
              <w:pStyle w:val="TableContents"/>
              <w:bidi w:val="0"/>
              <w:spacing w:before="0" w:after="283"/>
              <w:jc w:val="right"/>
              <w:rPr/>
            </w:pPr>
            <w:r>
              <w:rPr/>
              <w:t>(7,267</w:t>
            </w:r>
          </w:p>
        </w:tc>
        <w:tc>
          <w:tcPr>
            <w:tcW w:w="144" w:type="dxa"/>
            <w:tcBorders/>
            <w:shd w:fill="CCEEFF" w:val="clear"/>
            <w:vAlign w:val="center"/>
          </w:tcPr>
          <w:p>
            <w:pPr>
              <w:pStyle w:val="TableContents"/>
              <w:bidi w:val="0"/>
              <w:spacing w:before="0" w:after="283"/>
              <w:jc w:val="left"/>
              <w:rPr/>
            </w:pPr>
            <w:r>
              <w:rPr/>
              <w:t>)</w:t>
            </w:r>
          </w:p>
        </w:tc>
        <w:tc>
          <w:tcPr>
            <w:tcW w:w="91"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w:t>
            </w:r>
          </w:p>
        </w:tc>
        <w:tc>
          <w:tcPr>
            <w:tcW w:w="968" w:type="dxa"/>
            <w:tcBorders/>
            <w:shd w:fill="CCEEFF" w:val="clear"/>
            <w:vAlign w:val="center"/>
          </w:tcPr>
          <w:p>
            <w:pPr>
              <w:pStyle w:val="TableContents"/>
              <w:bidi w:val="0"/>
              <w:spacing w:before="0" w:after="283"/>
              <w:jc w:val="right"/>
              <w:rPr/>
            </w:pPr>
            <w:r>
              <w:rPr/>
              <w:t>(6,506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553" w:type="dxa"/>
            <w:tcBorders/>
            <w:shd w:fill="CCEEFF" w:val="clear"/>
            <w:vAlign w:val="center"/>
          </w:tcPr>
          <w:p>
            <w:pPr>
              <w:pStyle w:val="TableContents"/>
              <w:bidi w:val="0"/>
              <w:spacing w:before="0" w:after="283"/>
              <w:jc w:val="right"/>
              <w:rPr/>
            </w:pPr>
            <w:r>
              <w:rPr/>
              <w:t>(761</w:t>
            </w:r>
          </w:p>
        </w:tc>
        <w:tc>
          <w:tcPr>
            <w:tcW w:w="115" w:type="dxa"/>
            <w:tcBorders/>
            <w:shd w:fill="CCEEFF" w:val="clear"/>
            <w:vAlign w:val="center"/>
          </w:tcPr>
          <w:p>
            <w:pPr>
              <w:pStyle w:val="TableContents"/>
              <w:bidi w:val="0"/>
              <w:spacing w:before="0" w:after="283"/>
              <w:jc w:val="lef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538" w:type="dxa"/>
            <w:tcBorders/>
            <w:shd w:fill="CCEEFF" w:val="clear"/>
            <w:vAlign w:val="center"/>
          </w:tcPr>
          <w:p>
            <w:pPr>
              <w:pStyle w:val="TableContents"/>
              <w:bidi w:val="0"/>
              <w:spacing w:before="0" w:after="283"/>
              <w:jc w:val="right"/>
              <w:rPr/>
            </w:pPr>
            <w:r>
              <w:rPr/>
              <w:t>11.7</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Adjusted EBITDA decrease is primarily attributable to increased general and administrative expenses.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Income/(Loss) to Adjusted EBITDA Reconciliation</w:t>
      </w:r>
    </w:p>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670"/>
        <w:gridCol w:w="60"/>
        <w:gridCol w:w="174"/>
        <w:gridCol w:w="939"/>
        <w:gridCol w:w="117"/>
        <w:gridCol w:w="74"/>
        <w:gridCol w:w="174"/>
        <w:gridCol w:w="939"/>
        <w:gridCol w:w="95"/>
        <w:gridCol w:w="60"/>
        <w:gridCol w:w="140"/>
        <w:gridCol w:w="635"/>
        <w:gridCol w:w="95"/>
        <w:gridCol w:w="60"/>
        <w:gridCol w:w="60"/>
        <w:gridCol w:w="680"/>
        <w:gridCol w:w="233"/>
      </w:tblGrid>
      <w:tr>
        <w:trPr/>
        <w:tc>
          <w:tcPr>
            <w:tcW w:w="56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417"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Year Ended December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70"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Year-over-Year</w:t>
            </w:r>
          </w:p>
        </w:tc>
        <w:tc>
          <w:tcPr>
            <w:tcW w:w="233" w:type="dxa"/>
            <w:tcBorders/>
            <w:vAlign w:val="center"/>
          </w:tcPr>
          <w:p>
            <w:pPr>
              <w:pStyle w:val="TableContents"/>
              <w:bidi w:val="0"/>
              <w:spacing w:before="0" w:after="283"/>
              <w:jc w:val="left"/>
              <w:rPr/>
            </w:pPr>
            <w:r>
              <w:rPr/>
              <w:t> </w:t>
            </w:r>
          </w:p>
        </w:tc>
      </w:tr>
      <w:tr>
        <w:trPr/>
        <w:tc>
          <w:tcPr>
            <w:tcW w:w="5670" w:type="dxa"/>
            <w:tcBorders>
              <w:bottom w:val="single" w:sz="8" w:space="0" w:color="000000"/>
            </w:tcBorders>
            <w:tcMar>
              <w:bottom w:w="28" w:type="dxa"/>
            </w:tcMar>
            <w:vAlign w:val="center"/>
          </w:tcPr>
          <w:p>
            <w:pPr>
              <w:pStyle w:val="TableContents"/>
              <w:bidi w:val="0"/>
              <w:spacing w:before="0" w:after="283"/>
              <w:jc w:val="left"/>
              <w:rPr>
                <w:i/>
              </w:rPr>
            </w:pPr>
            <w:r>
              <w:rPr>
                <w:i/>
              </w:rPr>
              <w:t>($ in Thousands)</w:t>
            </w:r>
          </w:p>
        </w:tc>
        <w:tc>
          <w:tcPr>
            <w:tcW w:w="60" w:type="dxa"/>
            <w:tcBorders/>
            <w:vAlign w:val="center"/>
          </w:tcPr>
          <w:p>
            <w:pPr>
              <w:pStyle w:val="TableContents"/>
              <w:bidi w:val="0"/>
              <w:spacing w:before="0" w:after="283"/>
              <w:jc w:val="left"/>
              <w:rPr/>
            </w:pPr>
            <w:r>
              <w:rPr/>
              <w:t> </w:t>
            </w:r>
          </w:p>
        </w:tc>
        <w:tc>
          <w:tcPr>
            <w:tcW w:w="1113"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2025</w:t>
            </w:r>
          </w:p>
        </w:tc>
        <w:tc>
          <w:tcPr>
            <w:tcW w:w="117"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113"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233" w:type="dxa"/>
            <w:tcBorders/>
            <w:vAlign w:val="center"/>
          </w:tcPr>
          <w:p>
            <w:pPr>
              <w:pStyle w:val="TableContents"/>
              <w:bidi w:val="0"/>
              <w:spacing w:before="0" w:after="283"/>
              <w:jc w:val="left"/>
              <w:rPr/>
            </w:pPr>
            <w:r>
              <w:rPr/>
              <w:t> </w:t>
            </w:r>
          </w:p>
        </w:tc>
      </w:tr>
      <w:tr>
        <w:trPr/>
        <w:tc>
          <w:tcPr>
            <w:tcW w:w="567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w:t>
            </w:r>
          </w:p>
        </w:tc>
        <w:tc>
          <w:tcPr>
            <w:tcW w:w="939" w:type="dxa"/>
            <w:tcBorders/>
            <w:shd w:fill="CCEEFF" w:val="clear"/>
            <w:vAlign w:val="center"/>
          </w:tcPr>
          <w:p>
            <w:pPr>
              <w:pStyle w:val="TableContents"/>
              <w:bidi w:val="0"/>
              <w:spacing w:before="0" w:after="283"/>
              <w:jc w:val="right"/>
              <w:rPr/>
            </w:pPr>
            <w:r>
              <w:rPr/>
              <w:t>(22,494</w:t>
            </w:r>
          </w:p>
        </w:tc>
        <w:tc>
          <w:tcPr>
            <w:tcW w:w="117" w:type="dxa"/>
            <w:tcBorders/>
            <w:shd w:fill="CCEEFF" w:val="clear"/>
            <w:vAlign w:val="center"/>
          </w:tcPr>
          <w:p>
            <w:pPr>
              <w:pStyle w:val="TableContents"/>
              <w:bidi w:val="0"/>
              <w:spacing w:before="0" w:after="283"/>
              <w:jc w:val="left"/>
              <w:rPr/>
            </w:pPr>
            <w:r>
              <w:rPr/>
              <w:t>)</w:t>
            </w:r>
          </w:p>
        </w:tc>
        <w:tc>
          <w:tcPr>
            <w:tcW w:w="74"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w:t>
            </w:r>
          </w:p>
        </w:tc>
        <w:tc>
          <w:tcPr>
            <w:tcW w:w="939" w:type="dxa"/>
            <w:tcBorders/>
            <w:shd w:fill="CCEEFF" w:val="clear"/>
            <w:vAlign w:val="center"/>
          </w:tcPr>
          <w:p>
            <w:pPr>
              <w:pStyle w:val="TableContents"/>
              <w:bidi w:val="0"/>
              <w:spacing w:before="0" w:after="283"/>
              <w:jc w:val="right"/>
              <w:rPr/>
            </w:pPr>
            <w:r>
              <w:rPr/>
              <w:t>(31,513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9,019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-28.6</w:t>
            </w:r>
          </w:p>
        </w:tc>
        <w:tc>
          <w:tcPr>
            <w:tcW w:w="233" w:type="dxa"/>
            <w:tcBorders/>
            <w:shd w:fill="CCEEFF" w:val="clear"/>
            <w:vAlign w:val="center"/>
          </w:tcPr>
          <w:p>
            <w:pPr>
              <w:pStyle w:val="TableContents"/>
              <w:bidi w:val="0"/>
              <w:spacing w:before="0" w:after="283"/>
              <w:jc w:val="left"/>
              <w:rPr/>
            </w:pPr>
            <w:r>
              <w:rPr/>
              <w:t>%</w:t>
            </w:r>
          </w:p>
        </w:tc>
      </w:tr>
      <w:tr>
        <w:trPr/>
        <w:tc>
          <w:tcPr>
            <w:tcW w:w="5670" w:type="dxa"/>
            <w:tcBorders/>
            <w:shd w:fill="FFFFFF" w:val="clear"/>
            <w:vAlign w:val="center"/>
          </w:tcPr>
          <w:p>
            <w:pPr>
              <w:pStyle w:val="TableContents"/>
              <w:bidi w:val="0"/>
              <w:spacing w:before="0" w:after="283"/>
              <w:jc w:val="left"/>
              <w:rPr/>
            </w:pPr>
            <w:r>
              <w:rPr/>
              <w:t>Interest expense</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1,228</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233" w:type="dxa"/>
            <w:tcBorders/>
            <w:shd w:fill="FFFFFF" w:val="clear"/>
            <w:vAlign w:val="center"/>
          </w:tcPr>
          <w:p>
            <w:pPr>
              <w:pStyle w:val="TableContents"/>
              <w:bidi w:val="0"/>
              <w:spacing w:before="0" w:after="283"/>
              <w:jc w:val="left"/>
              <w:rPr/>
            </w:pPr>
            <w:r>
              <w:rPr/>
              <w:t> </w:t>
            </w:r>
          </w:p>
        </w:tc>
      </w:tr>
      <w:tr>
        <w:trPr/>
        <w:tc>
          <w:tcPr>
            <w:tcW w:w="5670" w:type="dxa"/>
            <w:tcBorders/>
            <w:shd w:fill="CCEEFF" w:val="clear"/>
            <w:vAlign w:val="center"/>
          </w:tcPr>
          <w:p>
            <w:pPr>
              <w:pStyle w:val="TableContents"/>
              <w:bidi w:val="0"/>
              <w:spacing w:before="0" w:after="283"/>
              <w:jc w:val="left"/>
              <w:rPr/>
            </w:pPr>
            <w:r>
              <w:rPr/>
              <w:t>Interest income</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(3</w:t>
            </w:r>
          </w:p>
        </w:tc>
        <w:tc>
          <w:tcPr>
            <w:tcW w:w="117" w:type="dxa"/>
            <w:tcBorders/>
            <w:shd w:fill="CCEEFF" w:val="clear"/>
            <w:vAlign w:val="center"/>
          </w:tcPr>
          <w:p>
            <w:pPr>
              <w:pStyle w:val="TableContents"/>
              <w:bidi w:val="0"/>
              <w:spacing w:before="0" w:after="283"/>
              <w:jc w:val="left"/>
              <w:rPr/>
            </w:pPr>
            <w:r>
              <w:rPr/>
              <w:t>)</w:t>
            </w:r>
          </w:p>
        </w:tc>
        <w:tc>
          <w:tcPr>
            <w:tcW w:w="74"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233" w:type="dxa"/>
            <w:tcBorders/>
            <w:shd w:fill="CCEEFF" w:val="clear"/>
            <w:vAlign w:val="center"/>
          </w:tcPr>
          <w:p>
            <w:pPr>
              <w:pStyle w:val="TableContents"/>
              <w:bidi w:val="0"/>
              <w:spacing w:before="0" w:after="283"/>
              <w:jc w:val="left"/>
              <w:rPr/>
            </w:pPr>
            <w:r>
              <w:rPr/>
              <w:t> </w:t>
            </w:r>
          </w:p>
        </w:tc>
      </w:tr>
      <w:tr>
        <w:trPr/>
        <w:tc>
          <w:tcPr>
            <w:tcW w:w="5670" w:type="dxa"/>
            <w:tcBorders/>
            <w:shd w:fill="FFFFFF" w:val="clear"/>
            <w:vAlign w:val="center"/>
          </w:tcPr>
          <w:p>
            <w:pPr>
              <w:pStyle w:val="TableContents"/>
              <w:bidi w:val="0"/>
              <w:spacing w:before="0" w:after="283"/>
              <w:jc w:val="left"/>
              <w:rPr/>
            </w:pPr>
            <w:r>
              <w:rPr/>
              <w:t>Interest expense – related party</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1,157</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3,047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(1,890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-62.0</w:t>
            </w:r>
          </w:p>
        </w:tc>
        <w:tc>
          <w:tcPr>
            <w:tcW w:w="233" w:type="dxa"/>
            <w:tcBorders/>
            <w:shd w:fill="FFFFFF" w:val="clear"/>
            <w:vAlign w:val="center"/>
          </w:tcPr>
          <w:p>
            <w:pPr>
              <w:pStyle w:val="TableContents"/>
              <w:bidi w:val="0"/>
              <w:spacing w:before="0" w:after="283"/>
              <w:jc w:val="left"/>
              <w:rPr/>
            </w:pPr>
            <w:r>
              <w:rPr/>
              <w:t>%</w:t>
            </w:r>
          </w:p>
        </w:tc>
      </w:tr>
      <w:tr>
        <w:trPr/>
        <w:tc>
          <w:tcPr>
            <w:tcW w:w="5670" w:type="dxa"/>
            <w:tcBorders/>
            <w:shd w:fill="CCEEFF" w:val="clear"/>
            <w:vAlign w:val="center"/>
          </w:tcPr>
          <w:p>
            <w:pPr>
              <w:pStyle w:val="TableContents"/>
              <w:bidi w:val="0"/>
              <w:spacing w:before="0" w:after="283"/>
              <w:jc w:val="left"/>
              <w:rPr/>
            </w:pPr>
            <w:r>
              <w:rPr/>
              <w:t>Income tax expense</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61</w:t>
            </w:r>
          </w:p>
        </w:tc>
        <w:tc>
          <w:tcPr>
            <w:tcW w:w="117"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233" w:type="dxa"/>
            <w:tcBorders/>
            <w:shd w:fill="CCEEFF" w:val="clear"/>
            <w:vAlign w:val="center"/>
          </w:tcPr>
          <w:p>
            <w:pPr>
              <w:pStyle w:val="TableContents"/>
              <w:bidi w:val="0"/>
              <w:spacing w:before="0" w:after="283"/>
              <w:jc w:val="left"/>
              <w:rPr/>
            </w:pPr>
            <w:r>
              <w:rPr/>
              <w:t> </w:t>
            </w:r>
          </w:p>
        </w:tc>
      </w:tr>
      <w:tr>
        <w:trPr/>
        <w:tc>
          <w:tcPr>
            <w:tcW w:w="5670" w:type="dxa"/>
            <w:tcBorders/>
            <w:shd w:fill="FFFFFF" w:val="clear"/>
            <w:vAlign w:val="center"/>
          </w:tcPr>
          <w:p>
            <w:pPr>
              <w:pStyle w:val="TableContents"/>
              <w:bidi w:val="0"/>
              <w:spacing w:before="0" w:after="283"/>
              <w:jc w:val="left"/>
              <w:rPr/>
            </w:pPr>
            <w:r>
              <w:rPr/>
              <w:t>Depreciation and amortization expense</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1,150</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24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1,126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4691.7</w:t>
            </w:r>
          </w:p>
        </w:tc>
        <w:tc>
          <w:tcPr>
            <w:tcW w:w="233" w:type="dxa"/>
            <w:tcBorders/>
            <w:shd w:fill="FFFFFF" w:val="clear"/>
            <w:vAlign w:val="center"/>
          </w:tcPr>
          <w:p>
            <w:pPr>
              <w:pStyle w:val="TableContents"/>
              <w:bidi w:val="0"/>
              <w:spacing w:before="0" w:after="283"/>
              <w:jc w:val="left"/>
              <w:rPr/>
            </w:pPr>
            <w:r>
              <w:rPr/>
              <w:t>%</w:t>
            </w:r>
          </w:p>
        </w:tc>
      </w:tr>
      <w:tr>
        <w:trPr/>
        <w:tc>
          <w:tcPr>
            <w:tcW w:w="5670" w:type="dxa"/>
            <w:tcBorders/>
            <w:shd w:fill="CCEEFF" w:val="clear"/>
            <w:vAlign w:val="center"/>
          </w:tcPr>
          <w:p>
            <w:pPr>
              <w:pStyle w:val="TableContents"/>
              <w:bidi w:val="0"/>
              <w:spacing w:before="0" w:after="283"/>
              <w:jc w:val="left"/>
              <w:rPr/>
            </w:pPr>
            <w:r>
              <w:rPr/>
              <w:t>Stock based compensation</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2,679</w:t>
            </w:r>
          </w:p>
        </w:tc>
        <w:tc>
          <w:tcPr>
            <w:tcW w:w="117"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1,166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1,513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129.8</w:t>
            </w:r>
          </w:p>
        </w:tc>
        <w:tc>
          <w:tcPr>
            <w:tcW w:w="233" w:type="dxa"/>
            <w:tcBorders/>
            <w:shd w:fill="CCEEFF" w:val="clear"/>
            <w:vAlign w:val="center"/>
          </w:tcPr>
          <w:p>
            <w:pPr>
              <w:pStyle w:val="TableContents"/>
              <w:bidi w:val="0"/>
              <w:spacing w:before="0" w:after="283"/>
              <w:jc w:val="left"/>
              <w:rPr/>
            </w:pPr>
            <w:r>
              <w:rPr/>
              <w:t>%</w:t>
            </w:r>
          </w:p>
        </w:tc>
      </w:tr>
      <w:tr>
        <w:trPr/>
        <w:tc>
          <w:tcPr>
            <w:tcW w:w="5670" w:type="dxa"/>
            <w:tcBorders/>
            <w:shd w:fill="FFFFFF" w:val="clear"/>
            <w:vAlign w:val="center"/>
          </w:tcPr>
          <w:p>
            <w:pPr>
              <w:pStyle w:val="TableContents"/>
              <w:bidi w:val="0"/>
              <w:spacing w:before="0" w:after="283"/>
              <w:jc w:val="left"/>
              <w:rPr/>
            </w:pPr>
            <w:r>
              <w:rPr/>
              <w:t>GEM commitment fee expense</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200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(200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233" w:type="dxa"/>
            <w:tcBorders/>
            <w:shd w:fill="FFFFFF" w:val="clear"/>
            <w:vAlign w:val="center"/>
          </w:tcPr>
          <w:p>
            <w:pPr>
              <w:pStyle w:val="TableContents"/>
              <w:bidi w:val="0"/>
              <w:spacing w:before="0" w:after="283"/>
              <w:jc w:val="left"/>
              <w:rPr/>
            </w:pPr>
            <w:r>
              <w:rPr/>
              <w:t> </w:t>
            </w:r>
          </w:p>
        </w:tc>
      </w:tr>
      <w:tr>
        <w:trPr/>
        <w:tc>
          <w:tcPr>
            <w:tcW w:w="5670" w:type="dxa"/>
            <w:tcBorders/>
            <w:shd w:fill="CCEEFF" w:val="clear"/>
            <w:vAlign w:val="center"/>
          </w:tcPr>
          <w:p>
            <w:pPr>
              <w:pStyle w:val="TableContents"/>
              <w:bidi w:val="0"/>
              <w:spacing w:before="0" w:after="283"/>
              <w:jc w:val="left"/>
              <w:rPr/>
            </w:pPr>
            <w:r>
              <w:rPr/>
              <w:t>Gain on extinguishment of liabilities</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(4,489</w:t>
            </w:r>
          </w:p>
        </w:tc>
        <w:tc>
          <w:tcPr>
            <w:tcW w:w="117" w:type="dxa"/>
            <w:tcBorders/>
            <w:shd w:fill="CCEEFF" w:val="clear"/>
            <w:vAlign w:val="center"/>
          </w:tcPr>
          <w:p>
            <w:pPr>
              <w:pStyle w:val="TableContents"/>
              <w:bidi w:val="0"/>
              <w:spacing w:before="0" w:after="283"/>
              <w:jc w:val="left"/>
              <w:rPr/>
            </w:pPr>
            <w:r>
              <w:rPr/>
              <w:t>)</w:t>
            </w:r>
          </w:p>
        </w:tc>
        <w:tc>
          <w:tcPr>
            <w:tcW w:w="74"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(681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(3,808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559.2</w:t>
            </w:r>
          </w:p>
        </w:tc>
        <w:tc>
          <w:tcPr>
            <w:tcW w:w="233" w:type="dxa"/>
            <w:tcBorders/>
            <w:shd w:fill="CCEEFF" w:val="clear"/>
            <w:vAlign w:val="center"/>
          </w:tcPr>
          <w:p>
            <w:pPr>
              <w:pStyle w:val="TableContents"/>
              <w:bidi w:val="0"/>
              <w:spacing w:before="0" w:after="283"/>
              <w:jc w:val="left"/>
              <w:rPr/>
            </w:pPr>
            <w:r>
              <w:rPr/>
              <w:t>%</w:t>
            </w:r>
          </w:p>
        </w:tc>
      </w:tr>
      <w:tr>
        <w:trPr/>
        <w:tc>
          <w:tcPr>
            <w:tcW w:w="5670" w:type="dxa"/>
            <w:tcBorders/>
            <w:shd w:fill="FFFFFF" w:val="clear"/>
            <w:vAlign w:val="center"/>
          </w:tcPr>
          <w:p>
            <w:pPr>
              <w:pStyle w:val="TableContents"/>
              <w:bidi w:val="0"/>
              <w:spacing w:before="0" w:after="283"/>
              <w:jc w:val="left"/>
              <w:rPr/>
            </w:pPr>
            <w:r>
              <w:rPr/>
              <w:t>Gain on release of Vidello revenue holdback</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(973</w:t>
            </w:r>
          </w:p>
        </w:tc>
        <w:tc>
          <w:tcPr>
            <w:tcW w:w="117" w:type="dxa"/>
            <w:tcBorders/>
            <w:shd w:fill="FFFFFF" w:val="clear"/>
            <w:vAlign w:val="center"/>
          </w:tcPr>
          <w:p>
            <w:pPr>
              <w:pStyle w:val="TableContents"/>
              <w:bidi w:val="0"/>
              <w:spacing w:before="0" w:after="283"/>
              <w:jc w:val="left"/>
              <w:rPr/>
            </w:pPr>
            <w:r>
              <w:rPr/>
              <w:t>)</w:t>
            </w:r>
          </w:p>
        </w:tc>
        <w:tc>
          <w:tcPr>
            <w:tcW w:w="74"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(973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233" w:type="dxa"/>
            <w:tcBorders/>
            <w:shd w:fill="FFFFFF" w:val="clear"/>
            <w:vAlign w:val="center"/>
          </w:tcPr>
          <w:p>
            <w:pPr>
              <w:pStyle w:val="TableContents"/>
              <w:bidi w:val="0"/>
              <w:spacing w:before="0" w:after="283"/>
              <w:jc w:val="left"/>
              <w:rPr/>
            </w:pPr>
            <w:r>
              <w:rPr/>
              <w:t> </w:t>
            </w:r>
          </w:p>
        </w:tc>
      </w:tr>
      <w:tr>
        <w:trPr/>
        <w:tc>
          <w:tcPr>
            <w:tcW w:w="5670" w:type="dxa"/>
            <w:tcBorders/>
            <w:shd w:fill="CCEEFF" w:val="clear"/>
            <w:vAlign w:val="center"/>
          </w:tcPr>
          <w:p>
            <w:pPr>
              <w:pStyle w:val="TableContents"/>
              <w:bidi w:val="0"/>
              <w:spacing w:before="0" w:after="283"/>
              <w:jc w:val="left"/>
              <w:rPr/>
            </w:pPr>
            <w:r>
              <w:rPr/>
              <w:t>Loss on debt issuance</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444</w:t>
            </w:r>
          </w:p>
        </w:tc>
        <w:tc>
          <w:tcPr>
            <w:tcW w:w="117"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653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(209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-32.0</w:t>
            </w:r>
          </w:p>
        </w:tc>
        <w:tc>
          <w:tcPr>
            <w:tcW w:w="233" w:type="dxa"/>
            <w:tcBorders/>
            <w:shd w:fill="CCEEFF" w:val="clear"/>
            <w:vAlign w:val="center"/>
          </w:tcPr>
          <w:p>
            <w:pPr>
              <w:pStyle w:val="TableContents"/>
              <w:bidi w:val="0"/>
              <w:spacing w:before="0" w:after="283"/>
              <w:jc w:val="left"/>
              <w:rPr/>
            </w:pPr>
            <w:r>
              <w:rPr/>
              <w:t>%</w:t>
            </w:r>
          </w:p>
        </w:tc>
      </w:tr>
      <w:tr>
        <w:trPr/>
        <w:tc>
          <w:tcPr>
            <w:tcW w:w="5670" w:type="dxa"/>
            <w:tcBorders/>
            <w:shd w:fill="FFFFFF" w:val="clear"/>
            <w:vAlign w:val="center"/>
          </w:tcPr>
          <w:p>
            <w:pPr>
              <w:pStyle w:val="TableContents"/>
              <w:bidi w:val="0"/>
              <w:spacing w:before="0" w:after="283"/>
              <w:jc w:val="left"/>
              <w:rPr/>
            </w:pPr>
            <w:r>
              <w:rPr/>
              <w:t>Loss on Private Placement Issuance</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4,874</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4,874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233" w:type="dxa"/>
            <w:tcBorders/>
            <w:shd w:fill="FFFFFF" w:val="clear"/>
            <w:vAlign w:val="center"/>
          </w:tcPr>
          <w:p>
            <w:pPr>
              <w:pStyle w:val="TableContents"/>
              <w:bidi w:val="0"/>
              <w:spacing w:before="0" w:after="283"/>
              <w:jc w:val="left"/>
              <w:rPr/>
            </w:pPr>
            <w:r>
              <w:rPr/>
              <w:t> </w:t>
            </w:r>
          </w:p>
        </w:tc>
      </w:tr>
      <w:tr>
        <w:trPr/>
        <w:tc>
          <w:tcPr>
            <w:tcW w:w="5670" w:type="dxa"/>
            <w:tcBorders/>
            <w:shd w:fill="CCEEFF" w:val="clear"/>
            <w:vAlign w:val="center"/>
          </w:tcPr>
          <w:p>
            <w:pPr>
              <w:pStyle w:val="TableContents"/>
              <w:bidi w:val="0"/>
              <w:spacing w:before="0" w:after="283"/>
              <w:jc w:val="left"/>
              <w:rPr/>
            </w:pPr>
            <w:r>
              <w:rPr/>
              <w:t>Loss on issuance of term notes</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111</w:t>
            </w:r>
          </w:p>
        </w:tc>
        <w:tc>
          <w:tcPr>
            <w:tcW w:w="117"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233" w:type="dxa"/>
            <w:tcBorders/>
            <w:shd w:fill="CCEEFF" w:val="clear"/>
            <w:vAlign w:val="center"/>
          </w:tcPr>
          <w:p>
            <w:pPr>
              <w:pStyle w:val="TableContents"/>
              <w:bidi w:val="0"/>
              <w:spacing w:before="0" w:after="283"/>
              <w:jc w:val="left"/>
              <w:rPr/>
            </w:pPr>
            <w:r>
              <w:rPr/>
              <w:t> </w:t>
            </w:r>
          </w:p>
        </w:tc>
      </w:tr>
      <w:tr>
        <w:trPr/>
        <w:tc>
          <w:tcPr>
            <w:tcW w:w="5670" w:type="dxa"/>
            <w:tcBorders/>
            <w:shd w:fill="FFFFFF" w:val="clear"/>
            <w:vAlign w:val="center"/>
          </w:tcPr>
          <w:p>
            <w:pPr>
              <w:pStyle w:val="TableContents"/>
              <w:bidi w:val="0"/>
              <w:spacing w:before="0" w:after="283"/>
              <w:jc w:val="left"/>
              <w:rPr/>
            </w:pPr>
            <w:r>
              <w:rPr/>
              <w:t>Loss on issuance of convertible bridge notes</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153</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153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233" w:type="dxa"/>
            <w:tcBorders/>
            <w:shd w:fill="FFFFFF" w:val="clear"/>
            <w:vAlign w:val="center"/>
          </w:tcPr>
          <w:p>
            <w:pPr>
              <w:pStyle w:val="TableContents"/>
              <w:bidi w:val="0"/>
              <w:spacing w:before="0" w:after="283"/>
              <w:jc w:val="left"/>
              <w:rPr/>
            </w:pPr>
            <w:r>
              <w:rPr/>
              <w:t> </w:t>
            </w:r>
          </w:p>
        </w:tc>
      </w:tr>
      <w:tr>
        <w:trPr/>
        <w:tc>
          <w:tcPr>
            <w:tcW w:w="5670" w:type="dxa"/>
            <w:tcBorders/>
            <w:shd w:fill="CCEEFF" w:val="clear"/>
            <w:vAlign w:val="center"/>
          </w:tcPr>
          <w:p>
            <w:pPr>
              <w:pStyle w:val="TableContents"/>
              <w:bidi w:val="0"/>
              <w:spacing w:before="0" w:after="283"/>
              <w:jc w:val="left"/>
              <w:rPr/>
            </w:pPr>
            <w:r>
              <w:rPr/>
              <w:t>Loss on conversion and settlement of Alco promissory notes - related party</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w:t>
            </w:r>
          </w:p>
        </w:tc>
        <w:tc>
          <w:tcPr>
            <w:tcW w:w="117"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4,809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(4,809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-100.0</w:t>
            </w:r>
          </w:p>
        </w:tc>
        <w:tc>
          <w:tcPr>
            <w:tcW w:w="233" w:type="dxa"/>
            <w:tcBorders/>
            <w:shd w:fill="CCEEFF" w:val="clear"/>
            <w:vAlign w:val="center"/>
          </w:tcPr>
          <w:p>
            <w:pPr>
              <w:pStyle w:val="TableContents"/>
              <w:bidi w:val="0"/>
              <w:spacing w:before="0" w:after="283"/>
              <w:jc w:val="left"/>
              <w:rPr/>
            </w:pPr>
            <w:r>
              <w:rPr/>
              <w:t>%</w:t>
            </w:r>
          </w:p>
        </w:tc>
      </w:tr>
      <w:tr>
        <w:trPr/>
        <w:tc>
          <w:tcPr>
            <w:tcW w:w="5670" w:type="dxa"/>
            <w:tcBorders/>
            <w:shd w:fill="FFFFFF" w:val="clear"/>
            <w:vAlign w:val="center"/>
          </w:tcPr>
          <w:p>
            <w:pPr>
              <w:pStyle w:val="TableContents"/>
              <w:bidi w:val="0"/>
              <w:spacing w:before="0" w:after="283"/>
              <w:jc w:val="left"/>
              <w:rPr/>
            </w:pPr>
            <w:r>
              <w:rPr/>
              <w:t>Loss on conversion and settlement of CP BF notes – related party</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6,529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(6,529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-100.0</w:t>
            </w:r>
          </w:p>
        </w:tc>
        <w:tc>
          <w:tcPr>
            <w:tcW w:w="233" w:type="dxa"/>
            <w:tcBorders/>
            <w:shd w:fill="FFFFFF" w:val="clear"/>
            <w:vAlign w:val="center"/>
          </w:tcPr>
          <w:p>
            <w:pPr>
              <w:pStyle w:val="TableContents"/>
              <w:bidi w:val="0"/>
              <w:spacing w:before="0" w:after="283"/>
              <w:jc w:val="left"/>
              <w:rPr/>
            </w:pPr>
            <w:r>
              <w:rPr/>
              <w:t>%</w:t>
            </w:r>
          </w:p>
        </w:tc>
      </w:tr>
      <w:tr>
        <w:trPr/>
        <w:tc>
          <w:tcPr>
            <w:tcW w:w="5670" w:type="dxa"/>
            <w:tcBorders/>
            <w:shd w:fill="CCEEFF" w:val="clear"/>
            <w:vAlign w:val="center"/>
          </w:tcPr>
          <w:p>
            <w:pPr>
              <w:pStyle w:val="TableContents"/>
              <w:bidi w:val="0"/>
              <w:spacing w:before="0" w:after="283"/>
              <w:jc w:val="left"/>
              <w:rPr/>
            </w:pPr>
            <w:r>
              <w:rPr/>
              <w:t>Loss on extinguishment of debt, net</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2,403</w:t>
            </w:r>
          </w:p>
        </w:tc>
        <w:tc>
          <w:tcPr>
            <w:tcW w:w="117"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1,072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1,331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124.2</w:t>
            </w:r>
          </w:p>
        </w:tc>
        <w:tc>
          <w:tcPr>
            <w:tcW w:w="233" w:type="dxa"/>
            <w:tcBorders/>
            <w:shd w:fill="CCEEFF" w:val="clear"/>
            <w:vAlign w:val="center"/>
          </w:tcPr>
          <w:p>
            <w:pPr>
              <w:pStyle w:val="TableContents"/>
              <w:bidi w:val="0"/>
              <w:spacing w:before="0" w:after="283"/>
              <w:jc w:val="left"/>
              <w:rPr/>
            </w:pPr>
            <w:r>
              <w:rPr/>
              <w:t>%</w:t>
            </w:r>
          </w:p>
        </w:tc>
      </w:tr>
      <w:tr>
        <w:trPr/>
        <w:tc>
          <w:tcPr>
            <w:tcW w:w="5670" w:type="dxa"/>
            <w:tcBorders/>
            <w:shd w:fill="FFFFFF" w:val="clear"/>
            <w:vAlign w:val="center"/>
          </w:tcPr>
          <w:p>
            <w:pPr>
              <w:pStyle w:val="TableContents"/>
              <w:bidi w:val="0"/>
              <w:spacing w:before="0" w:after="283"/>
              <w:jc w:val="left"/>
              <w:rPr/>
            </w:pPr>
            <w:r>
              <w:rPr/>
              <w:t>Change in fair value of warrant liability</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(1,244</w:t>
            </w:r>
          </w:p>
        </w:tc>
        <w:tc>
          <w:tcPr>
            <w:tcW w:w="117" w:type="dxa"/>
            <w:tcBorders/>
            <w:shd w:fill="FFFFFF" w:val="clear"/>
            <w:vAlign w:val="center"/>
          </w:tcPr>
          <w:p>
            <w:pPr>
              <w:pStyle w:val="TableContents"/>
              <w:bidi w:val="0"/>
              <w:spacing w:before="0" w:after="283"/>
              <w:jc w:val="left"/>
              <w:rPr/>
            </w:pPr>
            <w:r>
              <w:rPr/>
              <w:t>)</w:t>
            </w:r>
          </w:p>
        </w:tc>
        <w:tc>
          <w:tcPr>
            <w:tcW w:w="74"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(626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(618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98.7</w:t>
            </w:r>
          </w:p>
        </w:tc>
        <w:tc>
          <w:tcPr>
            <w:tcW w:w="233" w:type="dxa"/>
            <w:tcBorders/>
            <w:shd w:fill="FFFFFF" w:val="clear"/>
            <w:vAlign w:val="center"/>
          </w:tcPr>
          <w:p>
            <w:pPr>
              <w:pStyle w:val="TableContents"/>
              <w:bidi w:val="0"/>
              <w:spacing w:before="0" w:after="283"/>
              <w:jc w:val="left"/>
              <w:rPr/>
            </w:pPr>
            <w:r>
              <w:rPr/>
              <w:t>%</w:t>
            </w:r>
          </w:p>
        </w:tc>
      </w:tr>
      <w:tr>
        <w:trPr/>
        <w:tc>
          <w:tcPr>
            <w:tcW w:w="5670" w:type="dxa"/>
            <w:tcBorders/>
            <w:shd w:fill="CCEEFF" w:val="clear"/>
            <w:vAlign w:val="center"/>
          </w:tcPr>
          <w:p>
            <w:pPr>
              <w:pStyle w:val="TableContents"/>
              <w:bidi w:val="0"/>
              <w:spacing w:before="0" w:after="283"/>
              <w:jc w:val="left"/>
              <w:rPr/>
            </w:pPr>
            <w:r>
              <w:rPr/>
              <w:t>Change in fair value of warrant liability – related party</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(2</w:t>
            </w:r>
          </w:p>
        </w:tc>
        <w:tc>
          <w:tcPr>
            <w:tcW w:w="117" w:type="dxa"/>
            <w:tcBorders/>
            <w:shd w:fill="CCEEFF" w:val="clear"/>
            <w:vAlign w:val="center"/>
          </w:tcPr>
          <w:p>
            <w:pPr>
              <w:pStyle w:val="TableContents"/>
              <w:bidi w:val="0"/>
              <w:spacing w:before="0" w:after="283"/>
              <w:jc w:val="left"/>
              <w:rPr/>
            </w:pPr>
            <w:r>
              <w:rPr/>
              <w:t>)</w:t>
            </w:r>
          </w:p>
        </w:tc>
        <w:tc>
          <w:tcPr>
            <w:tcW w:w="74"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(573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571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-99.7</w:t>
            </w:r>
          </w:p>
        </w:tc>
        <w:tc>
          <w:tcPr>
            <w:tcW w:w="233" w:type="dxa"/>
            <w:tcBorders/>
            <w:shd w:fill="CCEEFF" w:val="clear"/>
            <w:vAlign w:val="center"/>
          </w:tcPr>
          <w:p>
            <w:pPr>
              <w:pStyle w:val="TableContents"/>
              <w:bidi w:val="0"/>
              <w:spacing w:before="0" w:after="283"/>
              <w:jc w:val="left"/>
              <w:rPr/>
            </w:pPr>
            <w:r>
              <w:rPr/>
              <w:t>%</w:t>
            </w:r>
          </w:p>
        </w:tc>
      </w:tr>
      <w:tr>
        <w:trPr/>
        <w:tc>
          <w:tcPr>
            <w:tcW w:w="5670" w:type="dxa"/>
            <w:tcBorders/>
            <w:shd w:fill="FFFFFF" w:val="clear"/>
            <w:vAlign w:val="center"/>
          </w:tcPr>
          <w:p>
            <w:pPr>
              <w:pStyle w:val="TableContents"/>
              <w:bidi w:val="0"/>
              <w:spacing w:before="0" w:after="283"/>
              <w:jc w:val="left"/>
              <w:rPr/>
            </w:pPr>
            <w:r>
              <w:rPr/>
              <w:t>Change in fair value of bifurcated embedded derivative assets – related party</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54</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(51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105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-205.9</w:t>
            </w:r>
          </w:p>
        </w:tc>
        <w:tc>
          <w:tcPr>
            <w:tcW w:w="233" w:type="dxa"/>
            <w:tcBorders/>
            <w:shd w:fill="FFFFFF" w:val="clear"/>
            <w:vAlign w:val="center"/>
          </w:tcPr>
          <w:p>
            <w:pPr>
              <w:pStyle w:val="TableContents"/>
              <w:bidi w:val="0"/>
              <w:spacing w:before="0" w:after="283"/>
              <w:jc w:val="left"/>
              <w:rPr/>
            </w:pPr>
            <w:r>
              <w:rPr/>
              <w:t>%</w:t>
            </w:r>
          </w:p>
        </w:tc>
      </w:tr>
      <w:tr>
        <w:trPr/>
        <w:tc>
          <w:tcPr>
            <w:tcW w:w="5670" w:type="dxa"/>
            <w:tcBorders/>
            <w:shd w:fill="CCEEFF" w:val="clear"/>
            <w:vAlign w:val="center"/>
          </w:tcPr>
          <w:p>
            <w:pPr>
              <w:pStyle w:val="TableContents"/>
              <w:bidi w:val="0"/>
              <w:spacing w:before="0" w:after="283"/>
              <w:jc w:val="left"/>
              <w:rPr/>
            </w:pPr>
            <w:r>
              <w:rPr/>
              <w:t>Change in fair value of convertible notes</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(1,987</w:t>
            </w:r>
          </w:p>
        </w:tc>
        <w:tc>
          <w:tcPr>
            <w:tcW w:w="117" w:type="dxa"/>
            <w:tcBorders/>
            <w:shd w:fill="CCEEFF" w:val="clear"/>
            <w:vAlign w:val="center"/>
          </w:tcPr>
          <w:p>
            <w:pPr>
              <w:pStyle w:val="TableContents"/>
              <w:bidi w:val="0"/>
              <w:spacing w:before="0" w:after="283"/>
              <w:jc w:val="left"/>
              <w:rPr/>
            </w:pPr>
            <w:r>
              <w:rPr/>
              <w:t>)</w:t>
            </w:r>
          </w:p>
        </w:tc>
        <w:tc>
          <w:tcPr>
            <w:tcW w:w="74"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693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(2,680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-386.7</w:t>
            </w:r>
          </w:p>
        </w:tc>
        <w:tc>
          <w:tcPr>
            <w:tcW w:w="233" w:type="dxa"/>
            <w:tcBorders/>
            <w:shd w:fill="CCEEFF" w:val="clear"/>
            <w:vAlign w:val="center"/>
          </w:tcPr>
          <w:p>
            <w:pPr>
              <w:pStyle w:val="TableContents"/>
              <w:bidi w:val="0"/>
              <w:spacing w:before="0" w:after="283"/>
              <w:jc w:val="left"/>
              <w:rPr/>
            </w:pPr>
            <w:r>
              <w:rPr/>
              <w:t>%</w:t>
            </w:r>
          </w:p>
        </w:tc>
      </w:tr>
      <w:tr>
        <w:trPr/>
        <w:tc>
          <w:tcPr>
            <w:tcW w:w="5670" w:type="dxa"/>
            <w:tcBorders/>
            <w:shd w:fill="FFFFFF" w:val="clear"/>
            <w:vAlign w:val="center"/>
          </w:tcPr>
          <w:p>
            <w:pPr>
              <w:pStyle w:val="TableContents"/>
              <w:bidi w:val="0"/>
              <w:spacing w:before="0" w:after="283"/>
              <w:jc w:val="left"/>
              <w:rPr/>
            </w:pPr>
            <w:r>
              <w:rPr/>
              <w:t>Change in fair value of term notes</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173</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89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84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94.4</w:t>
            </w:r>
          </w:p>
        </w:tc>
        <w:tc>
          <w:tcPr>
            <w:tcW w:w="233" w:type="dxa"/>
            <w:tcBorders/>
            <w:shd w:fill="FFFFFF" w:val="clear"/>
            <w:vAlign w:val="center"/>
          </w:tcPr>
          <w:p>
            <w:pPr>
              <w:pStyle w:val="TableContents"/>
              <w:bidi w:val="0"/>
              <w:spacing w:before="0" w:after="283"/>
              <w:jc w:val="left"/>
              <w:rPr/>
            </w:pPr>
            <w:r>
              <w:rPr/>
              <w:t>%</w:t>
            </w:r>
          </w:p>
        </w:tc>
      </w:tr>
      <w:tr>
        <w:trPr/>
        <w:tc>
          <w:tcPr>
            <w:tcW w:w="5670" w:type="dxa"/>
            <w:tcBorders/>
            <w:shd w:fill="CCEEFF" w:val="clear"/>
            <w:vAlign w:val="center"/>
          </w:tcPr>
          <w:p>
            <w:pPr>
              <w:pStyle w:val="TableContents"/>
              <w:bidi w:val="0"/>
              <w:spacing w:before="0" w:after="283"/>
              <w:jc w:val="left"/>
              <w:rPr/>
            </w:pPr>
            <w:r>
              <w:rPr/>
              <w:t>Change in fair value of convertible bridge notes</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(46</w:t>
            </w:r>
          </w:p>
        </w:tc>
        <w:tc>
          <w:tcPr>
            <w:tcW w:w="117" w:type="dxa"/>
            <w:tcBorders/>
            <w:shd w:fill="CCEEFF" w:val="clear"/>
            <w:vAlign w:val="center"/>
          </w:tcPr>
          <w:p>
            <w:pPr>
              <w:pStyle w:val="TableContents"/>
              <w:bidi w:val="0"/>
              <w:spacing w:before="0" w:after="283"/>
              <w:jc w:val="left"/>
              <w:rPr/>
            </w:pPr>
            <w:r>
              <w:rPr/>
              <w:t>)</w:t>
            </w:r>
          </w:p>
        </w:tc>
        <w:tc>
          <w:tcPr>
            <w:tcW w:w="74"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(10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(36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360.0</w:t>
            </w:r>
          </w:p>
        </w:tc>
        <w:tc>
          <w:tcPr>
            <w:tcW w:w="233" w:type="dxa"/>
            <w:tcBorders/>
            <w:shd w:fill="CCEEFF" w:val="clear"/>
            <w:vAlign w:val="center"/>
          </w:tcPr>
          <w:p>
            <w:pPr>
              <w:pStyle w:val="TableContents"/>
              <w:bidi w:val="0"/>
              <w:spacing w:before="0" w:after="283"/>
              <w:jc w:val="left"/>
              <w:rPr/>
            </w:pPr>
            <w:r>
              <w:rPr/>
              <w:t>%</w:t>
            </w:r>
          </w:p>
        </w:tc>
      </w:tr>
      <w:tr>
        <w:trPr/>
        <w:tc>
          <w:tcPr>
            <w:tcW w:w="5670" w:type="dxa"/>
            <w:tcBorders/>
            <w:shd w:fill="FFFFFF" w:val="clear"/>
            <w:vAlign w:val="center"/>
          </w:tcPr>
          <w:p>
            <w:pPr>
              <w:pStyle w:val="TableContents"/>
              <w:bidi w:val="0"/>
              <w:spacing w:before="0" w:after="283"/>
              <w:jc w:val="left"/>
              <w:rPr/>
            </w:pPr>
            <w:r>
              <w:rPr/>
              <w:t>Yorkville prepayment premium expense</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81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(81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-100.0</w:t>
            </w:r>
          </w:p>
        </w:tc>
        <w:tc>
          <w:tcPr>
            <w:tcW w:w="233" w:type="dxa"/>
            <w:tcBorders/>
            <w:shd w:fill="FFFFFF" w:val="clear"/>
            <w:vAlign w:val="center"/>
          </w:tcPr>
          <w:p>
            <w:pPr>
              <w:pStyle w:val="TableContents"/>
              <w:bidi w:val="0"/>
              <w:spacing w:before="0" w:after="283"/>
              <w:jc w:val="left"/>
              <w:rPr/>
            </w:pPr>
            <w:r>
              <w:rPr/>
              <w:t>%</w:t>
            </w:r>
          </w:p>
        </w:tc>
      </w:tr>
      <w:tr>
        <w:trPr/>
        <w:tc>
          <w:tcPr>
            <w:tcW w:w="5670" w:type="dxa"/>
            <w:tcBorders/>
            <w:shd w:fill="CCEEFF" w:val="clear"/>
            <w:vAlign w:val="center"/>
          </w:tcPr>
          <w:p>
            <w:pPr>
              <w:pStyle w:val="TableContents"/>
              <w:bidi w:val="0"/>
              <w:spacing w:before="0" w:after="283"/>
              <w:jc w:val="left"/>
              <w:rPr/>
            </w:pPr>
            <w:r>
              <w:rPr/>
              <w:t>Loss on Yorkville SEPA advances</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974</w:t>
            </w:r>
          </w:p>
        </w:tc>
        <w:tc>
          <w:tcPr>
            <w:tcW w:w="117"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974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233" w:type="dxa"/>
            <w:tcBorders/>
            <w:shd w:fill="CCEEFF" w:val="clear"/>
            <w:vAlign w:val="center"/>
          </w:tcPr>
          <w:p>
            <w:pPr>
              <w:pStyle w:val="TableContents"/>
              <w:bidi w:val="0"/>
              <w:spacing w:before="0" w:after="283"/>
              <w:jc w:val="left"/>
              <w:rPr/>
            </w:pPr>
            <w:r>
              <w:rPr/>
              <w:t> </w:t>
            </w:r>
          </w:p>
        </w:tc>
      </w:tr>
      <w:tr>
        <w:trPr/>
        <w:tc>
          <w:tcPr>
            <w:tcW w:w="5670" w:type="dxa"/>
            <w:tcBorders/>
            <w:shd w:fill="FFFFFF" w:val="clear"/>
            <w:vAlign w:val="center"/>
          </w:tcPr>
          <w:p>
            <w:pPr>
              <w:pStyle w:val="TableContents"/>
              <w:bidi w:val="0"/>
              <w:spacing w:before="0" w:after="283"/>
              <w:jc w:val="left"/>
              <w:rPr/>
            </w:pPr>
            <w:r>
              <w:rPr/>
              <w:t>Vidello earnout expense</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486</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486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233" w:type="dxa"/>
            <w:tcBorders/>
            <w:shd w:fill="FFFFFF" w:val="clear"/>
            <w:vAlign w:val="center"/>
          </w:tcPr>
          <w:p>
            <w:pPr>
              <w:pStyle w:val="TableContents"/>
              <w:bidi w:val="0"/>
              <w:spacing w:before="0" w:after="283"/>
              <w:jc w:val="left"/>
              <w:rPr/>
            </w:pPr>
            <w:r>
              <w:rPr/>
              <w:t> </w:t>
            </w:r>
          </w:p>
        </w:tc>
      </w:tr>
      <w:tr>
        <w:trPr/>
        <w:tc>
          <w:tcPr>
            <w:tcW w:w="5670" w:type="dxa"/>
            <w:tcBorders/>
            <w:shd w:fill="CCEEFF" w:val="clear"/>
            <w:vAlign w:val="center"/>
          </w:tcPr>
          <w:p>
            <w:pPr>
              <w:pStyle w:val="TableContents"/>
              <w:bidi w:val="0"/>
              <w:spacing w:before="0" w:after="283"/>
              <w:jc w:val="left"/>
              <w:rPr/>
            </w:pPr>
            <w:r>
              <w:rPr/>
              <w:t>Failed acquisition costs</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1,382</w:t>
            </w:r>
          </w:p>
        </w:tc>
        <w:tc>
          <w:tcPr>
            <w:tcW w:w="117"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1,382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233" w:type="dxa"/>
            <w:tcBorders/>
            <w:shd w:fill="CCEEFF" w:val="clear"/>
            <w:vAlign w:val="center"/>
          </w:tcPr>
          <w:p>
            <w:pPr>
              <w:pStyle w:val="TableContents"/>
              <w:bidi w:val="0"/>
              <w:spacing w:before="0" w:after="283"/>
              <w:jc w:val="left"/>
              <w:rPr/>
            </w:pPr>
            <w:r>
              <w:rPr/>
              <w:t> </w:t>
            </w:r>
          </w:p>
        </w:tc>
      </w:tr>
      <w:tr>
        <w:trPr/>
        <w:tc>
          <w:tcPr>
            <w:tcW w:w="5670" w:type="dxa"/>
            <w:tcBorders/>
            <w:shd w:fill="FFFFFF" w:val="clear"/>
            <w:vAlign w:val="center"/>
          </w:tcPr>
          <w:p>
            <w:pPr>
              <w:pStyle w:val="TableContents"/>
              <w:bidi w:val="0"/>
              <w:spacing w:before="0" w:after="283"/>
              <w:jc w:val="left"/>
              <w:rPr/>
            </w:pPr>
            <w:r>
              <w:rPr/>
              <w:t>Goodwill impairment</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2,725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(2,725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-100.0</w:t>
            </w:r>
          </w:p>
        </w:tc>
        <w:tc>
          <w:tcPr>
            <w:tcW w:w="233" w:type="dxa"/>
            <w:tcBorders/>
            <w:shd w:fill="FFFFFF" w:val="clear"/>
            <w:vAlign w:val="center"/>
          </w:tcPr>
          <w:p>
            <w:pPr>
              <w:pStyle w:val="TableContents"/>
              <w:bidi w:val="0"/>
              <w:spacing w:before="0" w:after="283"/>
              <w:jc w:val="left"/>
              <w:rPr/>
            </w:pPr>
            <w:r>
              <w:rPr/>
              <w:t>%</w:t>
            </w:r>
          </w:p>
        </w:tc>
      </w:tr>
      <w:tr>
        <w:trPr/>
        <w:tc>
          <w:tcPr>
            <w:tcW w:w="5670" w:type="dxa"/>
            <w:tcBorders/>
            <w:shd w:fill="CCEEFF" w:val="clear"/>
            <w:vAlign w:val="center"/>
          </w:tcPr>
          <w:p>
            <w:pPr>
              <w:pStyle w:val="TableContents"/>
              <w:bidi w:val="0"/>
              <w:spacing w:before="0" w:after="283"/>
              <w:jc w:val="left"/>
              <w:rPr/>
            </w:pPr>
            <w:r>
              <w:rPr/>
              <w:t>Other expense, net</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(727</w:t>
            </w:r>
          </w:p>
        </w:tc>
        <w:tc>
          <w:tcPr>
            <w:tcW w:w="117" w:type="dxa"/>
            <w:tcBorders/>
            <w:shd w:fill="CCEEFF" w:val="clear"/>
            <w:vAlign w:val="center"/>
          </w:tcPr>
          <w:p>
            <w:pPr>
              <w:pStyle w:val="TableContents"/>
              <w:bidi w:val="0"/>
              <w:spacing w:before="0" w:after="283"/>
              <w:jc w:val="left"/>
              <w:rPr/>
            </w:pPr>
            <w:r>
              <w:rPr/>
              <w:t>)</w:t>
            </w:r>
          </w:p>
        </w:tc>
        <w:tc>
          <w:tcPr>
            <w:tcW w:w="74"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(815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-926.1</w:t>
            </w:r>
          </w:p>
        </w:tc>
        <w:tc>
          <w:tcPr>
            <w:tcW w:w="233" w:type="dxa"/>
            <w:tcBorders/>
            <w:shd w:fill="CCEEFF" w:val="clear"/>
            <w:vAlign w:val="center"/>
          </w:tcPr>
          <w:p>
            <w:pPr>
              <w:pStyle w:val="TableContents"/>
              <w:bidi w:val="0"/>
              <w:spacing w:before="0" w:after="283"/>
              <w:jc w:val="left"/>
              <w:rPr/>
            </w:pPr>
            <w:r>
              <w:rPr/>
              <w:t>%</w:t>
            </w:r>
          </w:p>
        </w:tc>
      </w:tr>
      <w:tr>
        <w:trPr/>
        <w:tc>
          <w:tcPr>
            <w:tcW w:w="5670" w:type="dxa"/>
            <w:tcBorders/>
            <w:shd w:fill="FFFFFF" w:val="clear"/>
            <w:vAlign w:val="center"/>
          </w:tcPr>
          <w:p>
            <w:pPr>
              <w:pStyle w:val="TableContents"/>
              <w:bidi w:val="0"/>
              <w:spacing w:before="0" w:after="283"/>
              <w:jc w:val="left"/>
              <w:rPr/>
            </w:pPr>
            <w:r>
              <w:rPr/>
              <w:t>Transaction related expenses*</w:t>
            </w:r>
          </w:p>
        </w:tc>
        <w:tc>
          <w:tcPr>
            <w:tcW w:w="60" w:type="dxa"/>
            <w:tcBorders/>
            <w:shd w:fill="FFFFFF" w:val="clear"/>
            <w:vAlign w:val="center"/>
          </w:tcPr>
          <w:p>
            <w:pPr>
              <w:pStyle w:val="TableContents"/>
              <w:bidi w:val="0"/>
              <w:spacing w:before="0" w:after="283"/>
              <w:jc w:val="left"/>
              <w:rPr/>
            </w:pPr>
            <w:r>
              <w:rPr/>
              <w:t> </w:t>
            </w:r>
          </w:p>
        </w:tc>
        <w:tc>
          <w:tcPr>
            <w:tcW w:w="17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39" w:type="dxa"/>
            <w:tcBorders>
              <w:bottom w:val="single" w:sz="8" w:space="0" w:color="000000"/>
            </w:tcBorders>
            <w:shd w:fill="FFFFFF" w:val="clear"/>
            <w:tcMar>
              <w:bottom w:w="28" w:type="dxa"/>
            </w:tcMar>
            <w:vAlign w:val="center"/>
          </w:tcPr>
          <w:p>
            <w:pPr>
              <w:pStyle w:val="TableContents"/>
              <w:bidi w:val="0"/>
              <w:spacing w:before="0" w:after="283"/>
              <w:jc w:val="right"/>
              <w:rPr/>
            </w:pPr>
            <w:r>
              <w:rPr/>
              <w:t>7,369</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39" w:type="dxa"/>
            <w:tcBorders>
              <w:bottom w:val="single" w:sz="8" w:space="0" w:color="000000"/>
            </w:tcBorders>
            <w:shd w:fill="FFFFFF" w:val="clear"/>
            <w:tcMar>
              <w:bottom w:w="28" w:type="dxa"/>
            </w:tcMar>
            <w:vAlign w:val="center"/>
          </w:tcPr>
          <w:p>
            <w:pPr>
              <w:pStyle w:val="TableContents"/>
              <w:bidi w:val="0"/>
              <w:spacing w:before="0" w:after="283"/>
              <w:jc w:val="right"/>
              <w:rPr/>
            </w:pPr>
            <w:r>
              <w:rPr/>
              <w:t>5,772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pPr>
            <w:r>
              <w:rPr/>
              <w:t>1,597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27.7</w:t>
            </w:r>
          </w:p>
        </w:tc>
        <w:tc>
          <w:tcPr>
            <w:tcW w:w="233" w:type="dxa"/>
            <w:tcBorders/>
            <w:shd w:fill="FFFFFF" w:val="clear"/>
            <w:vAlign w:val="center"/>
          </w:tcPr>
          <w:p>
            <w:pPr>
              <w:pStyle w:val="TableContents"/>
              <w:bidi w:val="0"/>
              <w:spacing w:before="0" w:after="283"/>
              <w:jc w:val="left"/>
              <w:rPr/>
            </w:pPr>
            <w:r>
              <w:rPr/>
              <w:t>%</w:t>
            </w:r>
          </w:p>
        </w:tc>
      </w:tr>
      <w:tr>
        <w:trPr/>
        <w:tc>
          <w:tcPr>
            <w:tcW w:w="5670" w:type="dxa"/>
            <w:tcBorders/>
            <w:shd w:fill="CCEEFF" w:val="clear"/>
            <w:vAlign w:val="center"/>
          </w:tcPr>
          <w:p>
            <w:pPr>
              <w:pStyle w:val="TableContents"/>
              <w:bidi w:val="0"/>
              <w:spacing w:before="0" w:after="283"/>
              <w:jc w:val="left"/>
              <w:rPr/>
            </w:pPr>
            <w:r>
              <w:rPr/>
              <w:t>Adjusted EBITDA</w:t>
            </w:r>
          </w:p>
        </w:tc>
        <w:tc>
          <w:tcPr>
            <w:tcW w:w="60" w:type="dxa"/>
            <w:tcBorders/>
            <w:shd w:fill="CCEEFF" w:val="clear"/>
            <w:vAlign w:val="center"/>
          </w:tcPr>
          <w:p>
            <w:pPr>
              <w:pStyle w:val="TableContents"/>
              <w:bidi w:val="0"/>
              <w:spacing w:before="0" w:after="283"/>
              <w:jc w:val="left"/>
              <w:rPr/>
            </w:pPr>
            <w:r>
              <w:rPr/>
              <w:t> </w:t>
            </w:r>
          </w:p>
        </w:tc>
        <w:tc>
          <w:tcPr>
            <w:tcW w:w="17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39" w:type="dxa"/>
            <w:tcBorders>
              <w:bottom w:val="double" w:sz="6" w:space="0" w:color="000000"/>
            </w:tcBorders>
            <w:shd w:fill="CCEEFF" w:val="clear"/>
            <w:tcMar>
              <w:bottom w:w="28" w:type="dxa"/>
            </w:tcMar>
            <w:vAlign w:val="center"/>
          </w:tcPr>
          <w:p>
            <w:pPr>
              <w:pStyle w:val="TableContents"/>
              <w:bidi w:val="0"/>
              <w:spacing w:before="0" w:after="283"/>
              <w:jc w:val="right"/>
              <w:rPr/>
            </w:pPr>
            <w:r>
              <w:rPr/>
              <w:t>(7,267</w:t>
            </w:r>
          </w:p>
        </w:tc>
        <w:tc>
          <w:tcPr>
            <w:tcW w:w="117" w:type="dxa"/>
            <w:tcBorders/>
            <w:shd w:fill="CCEEFF" w:val="clear"/>
            <w:vAlign w:val="center"/>
          </w:tcPr>
          <w:p>
            <w:pPr>
              <w:pStyle w:val="TableContents"/>
              <w:bidi w:val="0"/>
              <w:spacing w:before="0" w:after="283"/>
              <w:jc w:val="left"/>
              <w:rPr/>
            </w:pPr>
            <w:r>
              <w:rPr/>
              <w:t>)</w:t>
            </w:r>
          </w:p>
        </w:tc>
        <w:tc>
          <w:tcPr>
            <w:tcW w:w="74" w:type="dxa"/>
            <w:tcBorders/>
            <w:shd w:fill="CCEEFF" w:val="clear"/>
            <w:vAlign w:val="center"/>
          </w:tcPr>
          <w:p>
            <w:pPr>
              <w:pStyle w:val="TableContents"/>
              <w:bidi w:val="0"/>
              <w:spacing w:before="0" w:after="283"/>
              <w:jc w:val="left"/>
              <w:rPr/>
            </w:pPr>
            <w:r>
              <w:rPr/>
              <w:t> </w:t>
            </w:r>
          </w:p>
        </w:tc>
        <w:tc>
          <w:tcPr>
            <w:tcW w:w="17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39" w:type="dxa"/>
            <w:tcBorders>
              <w:bottom w:val="double" w:sz="6" w:space="0" w:color="000000"/>
            </w:tcBorders>
            <w:shd w:fill="CCEEFF" w:val="clear"/>
            <w:tcMar>
              <w:bottom w:w="28" w:type="dxa"/>
            </w:tcMar>
            <w:vAlign w:val="center"/>
          </w:tcPr>
          <w:p>
            <w:pPr>
              <w:pStyle w:val="TableContents"/>
              <w:bidi w:val="0"/>
              <w:spacing w:before="0" w:after="283"/>
              <w:jc w:val="right"/>
              <w:rPr/>
            </w:pPr>
            <w:r>
              <w:rPr/>
              <w:t>(6,506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35" w:type="dxa"/>
            <w:tcBorders>
              <w:bottom w:val="double" w:sz="6" w:space="0" w:color="000000"/>
            </w:tcBorders>
            <w:shd w:fill="CCEEFF" w:val="clear"/>
            <w:tcMar>
              <w:bottom w:w="28" w:type="dxa"/>
            </w:tcMar>
            <w:vAlign w:val="center"/>
          </w:tcPr>
          <w:p>
            <w:pPr>
              <w:pStyle w:val="TableContents"/>
              <w:bidi w:val="0"/>
              <w:spacing w:before="0" w:after="283"/>
              <w:jc w:val="right"/>
              <w:rPr/>
            </w:pPr>
            <w:r>
              <w:rPr/>
              <w:t>(761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11.7</w:t>
            </w:r>
          </w:p>
        </w:tc>
        <w:tc>
          <w:tcPr>
            <w:tcW w:w="233" w:type="dxa"/>
            <w:tcBorders/>
            <w:shd w:fill="CCEEFF" w:val="clear"/>
            <w:vAlign w:val="center"/>
          </w:tcPr>
          <w:p>
            <w:pPr>
              <w:pStyle w:val="TableContents"/>
              <w:bidi w:val="0"/>
              <w:spacing w:before="0" w:after="283"/>
              <w:jc w:val="left"/>
              <w:rPr/>
            </w:pPr>
            <w:r>
              <w:rPr/>
              <w:t>%</w:t>
            </w:r>
          </w:p>
        </w:tc>
      </w:tr>
    </w:tbl>
    <w:p>
      <w:pPr>
        <w:pStyle w:val="TextBody"/>
        <w:bidi w:val="0"/>
        <w:spacing w:before="0" w:after="0"/>
        <w:ind w:left="432" w:right="0" w:firstLine="432"/>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Transaction related expenses include</w:t>
      </w:r>
    </w:p>
    <w:p>
      <w:pPr>
        <w:pStyle w:val="TextBody"/>
        <w:bidi w:val="0"/>
        <w:spacing w:before="0" w:after="0"/>
        <w:ind w:left="432" w:right="0" w:firstLine="432"/>
        <w:jc w:val="both"/>
        <w:rPr>
          <w:caps w:val="false"/>
          <w:smallCaps w:val="false"/>
        </w:rPr>
      </w:pPr>
      <w:r>
        <w:rPr>
          <w:caps w:val="false"/>
          <w:smallCaps w:val="false"/>
        </w:rPr>
        <w:t> </w:t>
      </w:r>
    </w:p>
    <w:tbl>
      <w:tblPr>
        <w:tblW w:w="7306" w:type="dxa"/>
        <w:jc w:val="left"/>
        <w:tblInd w:w="0" w:type="dxa"/>
        <w:tblLayout w:type="fixed"/>
        <w:tblCellMar>
          <w:top w:w="0" w:type="dxa"/>
          <w:left w:w="0" w:type="dxa"/>
          <w:bottom w:w="0" w:type="dxa"/>
          <w:right w:w="0" w:type="dxa"/>
        </w:tblCellMar>
      </w:tblPr>
      <w:tblGrid>
        <w:gridCol w:w="2750"/>
        <w:gridCol w:w="60"/>
        <w:gridCol w:w="239"/>
        <w:gridCol w:w="957"/>
        <w:gridCol w:w="102"/>
        <w:gridCol w:w="102"/>
        <w:gridCol w:w="239"/>
        <w:gridCol w:w="957"/>
        <w:gridCol w:w="60"/>
        <w:gridCol w:w="60"/>
        <w:gridCol w:w="140"/>
        <w:gridCol w:w="635"/>
        <w:gridCol w:w="95"/>
        <w:gridCol w:w="60"/>
        <w:gridCol w:w="60"/>
        <w:gridCol w:w="560"/>
        <w:gridCol w:w="230"/>
      </w:tblGrid>
      <w:tr>
        <w:trPr/>
        <w:tc>
          <w:tcPr>
            <w:tcW w:w="27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596"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Year Ended December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0"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Year-over-Year</w:t>
            </w:r>
          </w:p>
        </w:tc>
        <w:tc>
          <w:tcPr>
            <w:tcW w:w="230" w:type="dxa"/>
            <w:tcBorders/>
            <w:vAlign w:val="center"/>
          </w:tcPr>
          <w:p>
            <w:pPr>
              <w:pStyle w:val="TableContents"/>
              <w:bidi w:val="0"/>
              <w:spacing w:before="0" w:after="283"/>
              <w:jc w:val="left"/>
              <w:rPr/>
            </w:pPr>
            <w:r>
              <w:rPr/>
              <w:t> </w:t>
            </w:r>
          </w:p>
        </w:tc>
      </w:tr>
      <w:tr>
        <w:trPr/>
        <w:tc>
          <w:tcPr>
            <w:tcW w:w="2750" w:type="dxa"/>
            <w:tcBorders>
              <w:bottom w:val="single" w:sz="8" w:space="0" w:color="000000"/>
            </w:tcBorders>
            <w:tcMar>
              <w:bottom w:w="28" w:type="dxa"/>
            </w:tcMar>
            <w:vAlign w:val="center"/>
          </w:tcPr>
          <w:p>
            <w:pPr>
              <w:pStyle w:val="TableContents"/>
              <w:bidi w:val="0"/>
              <w:spacing w:before="0" w:after="283"/>
              <w:jc w:val="left"/>
              <w:rPr>
                <w:i/>
              </w:rPr>
            </w:pPr>
            <w:r>
              <w:rPr>
                <w:i/>
              </w:rPr>
              <w:t>($ in Thousands)</w:t>
            </w:r>
          </w:p>
        </w:tc>
        <w:tc>
          <w:tcPr>
            <w:tcW w:w="60" w:type="dxa"/>
            <w:tcBorders/>
            <w:vAlign w:val="center"/>
          </w:tcPr>
          <w:p>
            <w:pPr>
              <w:pStyle w:val="TableContents"/>
              <w:bidi w:val="0"/>
              <w:spacing w:before="0" w:after="283"/>
              <w:jc w:val="left"/>
              <w:rPr/>
            </w:pPr>
            <w:r>
              <w:rPr/>
              <w:t> </w:t>
            </w:r>
          </w:p>
        </w:tc>
        <w:tc>
          <w:tcPr>
            <w:tcW w:w="1196"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2025</w:t>
            </w:r>
          </w:p>
        </w:tc>
        <w:tc>
          <w:tcPr>
            <w:tcW w:w="10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196"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230" w:type="dxa"/>
            <w:tcBorders/>
            <w:vAlign w:val="center"/>
          </w:tcPr>
          <w:p>
            <w:pPr>
              <w:pStyle w:val="TableContents"/>
              <w:bidi w:val="0"/>
              <w:spacing w:before="0" w:after="283"/>
              <w:jc w:val="left"/>
              <w:rPr/>
            </w:pPr>
            <w:r>
              <w:rPr/>
              <w:t> </w:t>
            </w:r>
          </w:p>
        </w:tc>
      </w:tr>
      <w:tr>
        <w:trPr/>
        <w:tc>
          <w:tcPr>
            <w:tcW w:w="2750" w:type="dxa"/>
            <w:tcBorders/>
            <w:shd w:fill="CCEEFF" w:val="clear"/>
            <w:vAlign w:val="center"/>
          </w:tcPr>
          <w:p>
            <w:pPr>
              <w:pStyle w:val="TableContents"/>
              <w:bidi w:val="0"/>
              <w:spacing w:before="0" w:after="283"/>
              <w:jc w:val="left"/>
              <w:rPr/>
            </w:pPr>
            <w:r>
              <w:rPr/>
              <w:t>Professional fees - audit</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w:t>
            </w:r>
          </w:p>
        </w:tc>
        <w:tc>
          <w:tcPr>
            <w:tcW w:w="957" w:type="dxa"/>
            <w:tcBorders/>
            <w:shd w:fill="CCEEFF" w:val="clear"/>
            <w:vAlign w:val="center"/>
          </w:tcPr>
          <w:p>
            <w:pPr>
              <w:pStyle w:val="TableContents"/>
              <w:bidi w:val="0"/>
              <w:spacing w:before="0" w:after="283"/>
              <w:jc w:val="right"/>
              <w:rPr/>
            </w:pPr>
            <w:r>
              <w:rPr/>
              <w:t>801</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w:t>
            </w:r>
          </w:p>
        </w:tc>
        <w:tc>
          <w:tcPr>
            <w:tcW w:w="957" w:type="dxa"/>
            <w:tcBorders/>
            <w:shd w:fill="CCEEFF" w:val="clear"/>
            <w:vAlign w:val="center"/>
          </w:tcPr>
          <w:p>
            <w:pPr>
              <w:pStyle w:val="TableContents"/>
              <w:bidi w:val="0"/>
              <w:spacing w:before="0" w:after="283"/>
              <w:jc w:val="right"/>
              <w:rPr/>
            </w:pPr>
            <w:r>
              <w:rPr/>
              <w:t>499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302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60.4</w:t>
            </w:r>
          </w:p>
        </w:tc>
        <w:tc>
          <w:tcPr>
            <w:tcW w:w="230" w:type="dxa"/>
            <w:tcBorders/>
            <w:shd w:fill="CCEEFF" w:val="clear"/>
            <w:vAlign w:val="center"/>
          </w:tcPr>
          <w:p>
            <w:pPr>
              <w:pStyle w:val="TableContents"/>
              <w:bidi w:val="0"/>
              <w:spacing w:before="0" w:after="283"/>
              <w:jc w:val="left"/>
              <w:rPr/>
            </w:pPr>
            <w:r>
              <w:rPr/>
              <w:t>%</w:t>
            </w:r>
          </w:p>
        </w:tc>
      </w:tr>
      <w:tr>
        <w:trPr/>
        <w:tc>
          <w:tcPr>
            <w:tcW w:w="2750" w:type="dxa"/>
            <w:tcBorders/>
            <w:shd w:fill="FFFFFF" w:val="clear"/>
            <w:vAlign w:val="center"/>
          </w:tcPr>
          <w:p>
            <w:pPr>
              <w:pStyle w:val="TableContents"/>
              <w:bidi w:val="0"/>
              <w:spacing w:before="0" w:after="283"/>
              <w:jc w:val="left"/>
              <w:rPr/>
            </w:pPr>
            <w:r>
              <w:rPr/>
              <w:t>Professional fees - legal</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957" w:type="dxa"/>
            <w:tcBorders/>
            <w:shd w:fill="FFFFFF" w:val="clear"/>
            <w:vAlign w:val="center"/>
          </w:tcPr>
          <w:p>
            <w:pPr>
              <w:pStyle w:val="TableContents"/>
              <w:bidi w:val="0"/>
              <w:spacing w:before="0" w:after="283"/>
              <w:jc w:val="right"/>
              <w:rPr/>
            </w:pPr>
            <w:r>
              <w:rPr/>
              <w:t>467</w:t>
            </w:r>
          </w:p>
        </w:tc>
        <w:tc>
          <w:tcPr>
            <w:tcW w:w="102"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957" w:type="dxa"/>
            <w:tcBorders/>
            <w:shd w:fill="FFFFFF" w:val="clear"/>
            <w:vAlign w:val="center"/>
          </w:tcPr>
          <w:p>
            <w:pPr>
              <w:pStyle w:val="TableContents"/>
              <w:bidi w:val="0"/>
              <w:spacing w:before="0" w:after="283"/>
              <w:jc w:val="right"/>
              <w:rPr/>
            </w:pPr>
            <w:r>
              <w:rPr/>
              <w:t>1,969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(1,502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-76.3</w:t>
            </w:r>
          </w:p>
        </w:tc>
        <w:tc>
          <w:tcPr>
            <w:tcW w:w="230" w:type="dxa"/>
            <w:tcBorders/>
            <w:shd w:fill="FFFFFF" w:val="clear"/>
            <w:vAlign w:val="center"/>
          </w:tcPr>
          <w:p>
            <w:pPr>
              <w:pStyle w:val="TableContents"/>
              <w:bidi w:val="0"/>
              <w:spacing w:before="0" w:after="283"/>
              <w:jc w:val="left"/>
              <w:rPr/>
            </w:pPr>
            <w:r>
              <w:rPr/>
              <w:t>%</w:t>
            </w:r>
          </w:p>
        </w:tc>
      </w:tr>
      <w:tr>
        <w:trPr/>
        <w:tc>
          <w:tcPr>
            <w:tcW w:w="2750" w:type="dxa"/>
            <w:tcBorders/>
            <w:shd w:fill="CCEEFF" w:val="clear"/>
            <w:vAlign w:val="center"/>
          </w:tcPr>
          <w:p>
            <w:pPr>
              <w:pStyle w:val="TableContents"/>
              <w:bidi w:val="0"/>
              <w:spacing w:before="0" w:after="283"/>
              <w:jc w:val="left"/>
              <w:rPr/>
            </w:pPr>
            <w:r>
              <w:rPr/>
              <w:t>Incremental accounting</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957" w:type="dxa"/>
            <w:tcBorders/>
            <w:shd w:fill="CCEEFF" w:val="clear"/>
            <w:vAlign w:val="center"/>
          </w:tcPr>
          <w:p>
            <w:pPr>
              <w:pStyle w:val="TableContents"/>
              <w:bidi w:val="0"/>
              <w:spacing w:before="0" w:after="283"/>
              <w:jc w:val="right"/>
              <w:rPr/>
            </w:pPr>
            <w:r>
              <w:rPr/>
              <w:t>981</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957" w:type="dxa"/>
            <w:tcBorders/>
            <w:shd w:fill="CCEEFF" w:val="clear"/>
            <w:vAlign w:val="center"/>
          </w:tcPr>
          <w:p>
            <w:pPr>
              <w:pStyle w:val="TableContents"/>
              <w:bidi w:val="0"/>
              <w:spacing w:before="0" w:after="283"/>
              <w:jc w:val="right"/>
              <w:rPr/>
            </w:pPr>
            <w:r>
              <w:rPr/>
              <w:t>1,726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(745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-43.2</w:t>
            </w:r>
          </w:p>
        </w:tc>
        <w:tc>
          <w:tcPr>
            <w:tcW w:w="230" w:type="dxa"/>
            <w:tcBorders/>
            <w:shd w:fill="CCEEFF" w:val="clear"/>
            <w:vAlign w:val="center"/>
          </w:tcPr>
          <w:p>
            <w:pPr>
              <w:pStyle w:val="TableContents"/>
              <w:bidi w:val="0"/>
              <w:spacing w:before="0" w:after="283"/>
              <w:jc w:val="left"/>
              <w:rPr/>
            </w:pPr>
            <w:r>
              <w:rPr/>
              <w:t>%</w:t>
            </w:r>
          </w:p>
        </w:tc>
      </w:tr>
      <w:tr>
        <w:trPr/>
        <w:tc>
          <w:tcPr>
            <w:tcW w:w="2750" w:type="dxa"/>
            <w:tcBorders/>
            <w:shd w:fill="FFFFFF" w:val="clear"/>
            <w:vAlign w:val="center"/>
          </w:tcPr>
          <w:p>
            <w:pPr>
              <w:pStyle w:val="TableContents"/>
              <w:bidi w:val="0"/>
              <w:spacing w:before="0" w:after="283"/>
              <w:jc w:val="left"/>
              <w:rPr/>
            </w:pPr>
            <w:r>
              <w:rPr/>
              <w:t>Market study, M&amp;A support</w:t>
            </w:r>
          </w:p>
        </w:tc>
        <w:tc>
          <w:tcPr>
            <w:tcW w:w="60" w:type="dxa"/>
            <w:tcBorders/>
            <w:shd w:fill="FFFFFF" w:val="clear"/>
            <w:vAlign w:val="center"/>
          </w:tcPr>
          <w:p>
            <w:pPr>
              <w:pStyle w:val="TableContents"/>
              <w:bidi w:val="0"/>
              <w:spacing w:before="0" w:after="283"/>
              <w:jc w:val="left"/>
              <w:rPr/>
            </w:pPr>
            <w:r>
              <w:rPr/>
              <w:t> </w:t>
            </w:r>
          </w:p>
        </w:tc>
        <w:tc>
          <w:tcPr>
            <w:tcW w:w="23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57" w:type="dxa"/>
            <w:tcBorders>
              <w:bottom w:val="single" w:sz="8" w:space="0" w:color="000000"/>
            </w:tcBorders>
            <w:shd w:fill="FFFFFF" w:val="clear"/>
            <w:tcMar>
              <w:bottom w:w="28" w:type="dxa"/>
            </w:tcMar>
            <w:vAlign w:val="center"/>
          </w:tcPr>
          <w:p>
            <w:pPr>
              <w:pStyle w:val="TableContents"/>
              <w:bidi w:val="0"/>
              <w:spacing w:before="0" w:after="283"/>
              <w:jc w:val="right"/>
              <w:rPr/>
            </w:pPr>
            <w:r>
              <w:rPr/>
              <w:t>5,121</w:t>
            </w:r>
          </w:p>
        </w:tc>
        <w:tc>
          <w:tcPr>
            <w:tcW w:w="102"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23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57" w:type="dxa"/>
            <w:tcBorders>
              <w:bottom w:val="single" w:sz="8" w:space="0" w:color="000000"/>
            </w:tcBorders>
            <w:shd w:fill="FFFFFF" w:val="clear"/>
            <w:tcMar>
              <w:bottom w:w="28" w:type="dxa"/>
            </w:tcMar>
            <w:vAlign w:val="center"/>
          </w:tcPr>
          <w:p>
            <w:pPr>
              <w:pStyle w:val="TableContents"/>
              <w:bidi w:val="0"/>
              <w:spacing w:before="0" w:after="283"/>
              <w:jc w:val="right"/>
              <w:rPr/>
            </w:pPr>
            <w:r>
              <w:rPr/>
              <w:t>1,578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pPr>
            <w:r>
              <w:rPr/>
              <w:t>3,543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pPr>
            <w:r>
              <w:rPr/>
              <w:t>224.5</w:t>
            </w:r>
          </w:p>
        </w:tc>
        <w:tc>
          <w:tcPr>
            <w:tcW w:w="230" w:type="dxa"/>
            <w:tcBorders/>
            <w:shd w:fill="FFFFFF" w:val="clear"/>
            <w:vAlign w:val="center"/>
          </w:tcPr>
          <w:p>
            <w:pPr>
              <w:pStyle w:val="TableContents"/>
              <w:bidi w:val="0"/>
              <w:spacing w:before="0" w:after="283"/>
              <w:jc w:val="left"/>
              <w:rPr/>
            </w:pPr>
            <w:r>
              <w:rPr/>
              <w:t>%</w:t>
            </w:r>
          </w:p>
        </w:tc>
      </w:tr>
      <w:tr>
        <w:trPr/>
        <w:tc>
          <w:tcPr>
            <w:tcW w:w="2750" w:type="dxa"/>
            <w:tcBorders/>
            <w:shd w:fill="CCEEFF" w:val="clear"/>
            <w:vAlign w:val="center"/>
          </w:tcPr>
          <w:p>
            <w:pPr>
              <w:pStyle w:val="TableContents"/>
              <w:bidi w:val="0"/>
              <w:spacing w:before="0" w:after="283"/>
              <w:jc w:val="left"/>
              <w:rPr/>
            </w:pPr>
            <w:r>
              <w:rPr/>
              <w:t>Transaction related expenses</w:t>
            </w:r>
          </w:p>
        </w:tc>
        <w:tc>
          <w:tcPr>
            <w:tcW w:w="60" w:type="dxa"/>
            <w:tcBorders/>
            <w:shd w:fill="CCEEFF" w:val="clear"/>
            <w:vAlign w:val="center"/>
          </w:tcPr>
          <w:p>
            <w:pPr>
              <w:pStyle w:val="TableContents"/>
              <w:bidi w:val="0"/>
              <w:spacing w:before="0" w:after="283"/>
              <w:jc w:val="left"/>
              <w:rPr/>
            </w:pPr>
            <w:r>
              <w:rPr/>
              <w:t> </w:t>
            </w:r>
          </w:p>
        </w:tc>
        <w:tc>
          <w:tcPr>
            <w:tcW w:w="23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57" w:type="dxa"/>
            <w:tcBorders>
              <w:bottom w:val="double" w:sz="6" w:space="0" w:color="000000"/>
            </w:tcBorders>
            <w:shd w:fill="CCEEFF" w:val="clear"/>
            <w:tcMar>
              <w:bottom w:w="28" w:type="dxa"/>
            </w:tcMar>
            <w:vAlign w:val="center"/>
          </w:tcPr>
          <w:p>
            <w:pPr>
              <w:pStyle w:val="TableContents"/>
              <w:bidi w:val="0"/>
              <w:spacing w:before="0" w:after="283"/>
              <w:jc w:val="right"/>
              <w:rPr/>
            </w:pPr>
            <w:r>
              <w:rPr/>
              <w:t>7,369</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3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57" w:type="dxa"/>
            <w:tcBorders>
              <w:bottom w:val="double" w:sz="6" w:space="0" w:color="000000"/>
            </w:tcBorders>
            <w:shd w:fill="CCEEFF" w:val="clear"/>
            <w:tcMar>
              <w:bottom w:w="28" w:type="dxa"/>
            </w:tcMar>
            <w:vAlign w:val="center"/>
          </w:tcPr>
          <w:p>
            <w:pPr>
              <w:pStyle w:val="TableContents"/>
              <w:bidi w:val="0"/>
              <w:spacing w:before="0" w:after="283"/>
              <w:jc w:val="right"/>
              <w:rPr/>
            </w:pPr>
            <w:r>
              <w:rPr/>
              <w:t>5,772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35" w:type="dxa"/>
            <w:tcBorders>
              <w:bottom w:val="double" w:sz="6" w:space="0" w:color="000000"/>
            </w:tcBorders>
            <w:shd w:fill="CCEEFF" w:val="clear"/>
            <w:tcMar>
              <w:bottom w:w="28" w:type="dxa"/>
            </w:tcMar>
            <w:vAlign w:val="center"/>
          </w:tcPr>
          <w:p>
            <w:pPr>
              <w:pStyle w:val="TableContents"/>
              <w:bidi w:val="0"/>
              <w:spacing w:before="0" w:after="283"/>
              <w:jc w:val="right"/>
              <w:rPr/>
            </w:pPr>
            <w:r>
              <w:rPr/>
              <w:t>1,597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double" w:sz="6" w:space="0" w:color="000000"/>
            </w:tcBorders>
            <w:shd w:fill="CCEEFF" w:val="clear"/>
            <w:tcMar>
              <w:bottom w:w="28" w:type="dxa"/>
            </w:tcMar>
            <w:vAlign w:val="center"/>
          </w:tcPr>
          <w:p>
            <w:pPr>
              <w:pStyle w:val="TableContents"/>
              <w:bidi w:val="0"/>
              <w:spacing w:before="0" w:after="283"/>
              <w:jc w:val="right"/>
              <w:rPr/>
            </w:pPr>
            <w:r>
              <w:rPr/>
              <w:t>27.7</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Going Concern</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we had cash of approximately $0.3 million. For the year ended December 31, 2025, while we generated revenue of approximately $12.2 million, we used approximately $15.7 million in cash from operating activities and had a net loss of approximately $22.5 million. We have incurred recurring net losses from operations and negative cash flows from operating activities since inception. As of December 31, 2025, we had a working capital deficit of approximately $21.0 million and an accumulated deficit of approximately $100.8 million. These factors raise substantial doubt regarding the Company’s ability to continue as a going concern within one year of the date these financial statements were issued.</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39</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to continue as a going concern is dependent on Management’s plans, which include potential asset acquisitions, mergers or business combinations with other entities, further implementation of its business plans and continuing to raise capital through debt or equity financings, which is not assured. T</w:t>
      </w:r>
      <w:r>
        <w:rPr>
          <w:rFonts w:ascii="Times New Roman;Times;Serif" w:hAnsi="Times New Roman;Times;Serif"/>
          <w:b w:val="false"/>
          <w:i w:val="false"/>
          <w:caps w:val="false"/>
          <w:smallCaps w:val="false"/>
          <w:sz w:val="20"/>
          <w:shd w:fill="FFFFFF" w:val="clear"/>
        </w:rPr>
        <w:t>he accompanying consolidated financial statements have been prepared assuming Banzai will continue as a going concern, which contemplates the realization of assets and satisfaction of liabilities in the normal course of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we are unable to raise sufficient additional capital, through future debt or equity financings or through strategic and collaborative ventures with third parties, we will not have sufficient cash flows and liquidity to fund our planned business for 12 months from the issuance of these financial statements. There can be no assurances that we will be able to secure alternate forms of financing at terms that are acceptable to management, or at all. In that event, we might be forced to limit many of our business plans and consider other means of creating value for our stockholders. See also </w:t>
      </w:r>
      <w:r>
        <w:rPr>
          <w:rFonts w:ascii="Times New Roman;Times;Serif" w:hAnsi="Times New Roman;Times;Serif"/>
          <w:b w:val="false"/>
          <w:i/>
          <w:caps w:val="false"/>
          <w:smallCaps w:val="false"/>
          <w:sz w:val="20"/>
        </w:rPr>
        <w:t xml:space="preserve">Note 2 – Going Concern </w:t>
      </w:r>
      <w:r>
        <w:rPr>
          <w:rFonts w:ascii="Times New Roman;Times;Serif" w:hAnsi="Times New Roman;Times;Serif"/>
          <w:b w:val="false"/>
          <w:i w:val="false"/>
          <w:caps w:val="false"/>
          <w:smallCaps w:val="false"/>
          <w:sz w:val="20"/>
        </w:rPr>
        <w:t>to our consolidated financial statements in this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Capital structure and sources of liquidity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historically funded our operations through a combination of equity and debt financings, including convertible instruments. During 2025, we raised capital through multiple equity and debt financing arrangements with Yorkville, 3i, LP, 1800 Diagonal, Agile, and CP BF, and other lenders and investors, and we intend to seek additional funding through the Yorkville SEPA, the ATM Agreement, as well as other equity and debt financings in 2026. See </w:t>
      </w:r>
      <w:r>
        <w:rPr>
          <w:rFonts w:ascii="Times New Roman;Times;Serif" w:hAnsi="Times New Roman;Times;Serif"/>
          <w:b w:val="false"/>
          <w:i/>
          <w:caps w:val="false"/>
          <w:smallCaps w:val="false"/>
          <w:sz w:val="20"/>
        </w:rPr>
        <w:t>Note 12 – Debt</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caps w:val="false"/>
          <w:smallCaps w:val="false"/>
          <w:sz w:val="20"/>
        </w:rPr>
        <w:t>Note 15 – Equity</w:t>
      </w:r>
      <w:r>
        <w:rPr>
          <w:rFonts w:ascii="Times New Roman;Times;Serif" w:hAnsi="Times New Roman;Times;Serif"/>
          <w:b w:val="false"/>
          <w:i w:val="false"/>
          <w:caps w:val="false"/>
          <w:smallCaps w:val="false"/>
          <w:sz w:val="20"/>
        </w:rPr>
        <w:t xml:space="preserve"> to our consolidated financial statements in this Registration Statement for further discussion of these arrangements</w:t>
      </w:r>
      <w:r>
        <w:rPr>
          <w:rFonts w:ascii="Times New Roman;Times;Serif" w:hAnsi="Times New Roman;Times;Serif"/>
          <w:b w:val="false"/>
          <w:i/>
          <w:caps w:val="false"/>
          <w:smallCaps w:val="false"/>
          <w:sz w:val="20"/>
        </w:rPr>
        <w: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Certain of these arrangements still have remaining capacity that may serve as sources of future liquidity to us, however, our ability to access amounts under these facilities is subject to a number of conditions, limitations, and market and other factors, including factors described in our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xml:space="preserve"> elsewhere in this prospectus, and there can be no assurance that we will be able to access the full remaining capacity, or access it on terms or in amounts sufficient to meet our liquidity needs. If we are unable to raise such funding, we will have to pursue an alternative course of action to seek additional capital through other debt and equity financing.</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seek to raise additional capital through a combination of debt and equity financings, including continued use of our at-the-market facility and our SEPA, to support our operations and expansion through acquisition.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our cash flows for the years ended December 31, 2025 and 2024. See also our consolidated statement of cash flows in this prospectus:</w:t>
      </w:r>
    </w:p>
    <w:p>
      <w:pPr>
        <w:pStyle w:val="TextBody"/>
        <w:bidi w:val="0"/>
        <w:spacing w:before="0" w:after="0"/>
        <w:ind w:left="432" w:right="0" w:firstLine="432"/>
        <w:jc w:val="both"/>
        <w:rPr>
          <w:caps w:val="false"/>
          <w:smallCaps w:val="false"/>
        </w:rPr>
      </w:pPr>
      <w:r>
        <w:rPr>
          <w:caps w:val="false"/>
          <w:smallCaps w:val="false"/>
        </w:rPr>
        <w:t> </w:t>
      </w:r>
    </w:p>
    <w:tbl>
      <w:tblPr>
        <w:tblW w:w="9533" w:type="dxa"/>
        <w:jc w:val="left"/>
        <w:tblInd w:w="0" w:type="dxa"/>
        <w:tblLayout w:type="fixed"/>
        <w:tblCellMar>
          <w:top w:w="0" w:type="dxa"/>
          <w:left w:w="0" w:type="dxa"/>
          <w:bottom w:w="0" w:type="dxa"/>
          <w:right w:w="0" w:type="dxa"/>
        </w:tblCellMar>
      </w:tblPr>
      <w:tblGrid>
        <w:gridCol w:w="4745"/>
        <w:gridCol w:w="60"/>
        <w:gridCol w:w="187"/>
        <w:gridCol w:w="1009"/>
        <w:gridCol w:w="126"/>
        <w:gridCol w:w="80"/>
        <w:gridCol w:w="187"/>
        <w:gridCol w:w="1009"/>
        <w:gridCol w:w="95"/>
        <w:gridCol w:w="60"/>
        <w:gridCol w:w="140"/>
        <w:gridCol w:w="635"/>
        <w:gridCol w:w="95"/>
        <w:gridCol w:w="60"/>
        <w:gridCol w:w="60"/>
        <w:gridCol w:w="755"/>
        <w:gridCol w:w="230"/>
      </w:tblGrid>
      <w:tr>
        <w:trPr/>
        <w:tc>
          <w:tcPr>
            <w:tcW w:w="47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598"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Year Ended December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45"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Year-over-Year</w:t>
            </w:r>
          </w:p>
        </w:tc>
        <w:tc>
          <w:tcPr>
            <w:tcW w:w="230" w:type="dxa"/>
            <w:tcBorders/>
            <w:vAlign w:val="center"/>
          </w:tcPr>
          <w:p>
            <w:pPr>
              <w:pStyle w:val="TableContents"/>
              <w:bidi w:val="0"/>
              <w:spacing w:before="0" w:after="283"/>
              <w:jc w:val="left"/>
              <w:rPr/>
            </w:pPr>
            <w:r>
              <w:rPr/>
              <w:t> </w:t>
            </w:r>
          </w:p>
        </w:tc>
      </w:tr>
      <w:tr>
        <w:trPr/>
        <w:tc>
          <w:tcPr>
            <w:tcW w:w="4745" w:type="dxa"/>
            <w:tcBorders>
              <w:bottom w:val="single" w:sz="8" w:space="0" w:color="000000"/>
            </w:tcBorders>
            <w:tcMar>
              <w:bottom w:w="28" w:type="dxa"/>
            </w:tcMar>
            <w:vAlign w:val="center"/>
          </w:tcPr>
          <w:p>
            <w:pPr>
              <w:pStyle w:val="TableContents"/>
              <w:bidi w:val="0"/>
              <w:spacing w:before="0" w:after="283"/>
              <w:jc w:val="left"/>
              <w:rPr>
                <w:i/>
              </w:rPr>
            </w:pPr>
            <w:r>
              <w:rPr>
                <w:i/>
              </w:rPr>
              <w:t>($ in Thousands)</w:t>
            </w:r>
          </w:p>
        </w:tc>
        <w:tc>
          <w:tcPr>
            <w:tcW w:w="60" w:type="dxa"/>
            <w:tcBorders/>
            <w:vAlign w:val="center"/>
          </w:tcPr>
          <w:p>
            <w:pPr>
              <w:pStyle w:val="TableContents"/>
              <w:bidi w:val="0"/>
              <w:spacing w:before="0" w:after="283"/>
              <w:jc w:val="left"/>
              <w:rPr/>
            </w:pPr>
            <w:r>
              <w:rPr/>
              <w:t> </w:t>
            </w:r>
          </w:p>
        </w:tc>
        <w:tc>
          <w:tcPr>
            <w:tcW w:w="1196"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2025</w:t>
            </w:r>
          </w:p>
        </w:tc>
        <w:tc>
          <w:tcPr>
            <w:tcW w:w="126"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196"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230" w:type="dxa"/>
            <w:tcBorders/>
            <w:vAlign w:val="center"/>
          </w:tcPr>
          <w:p>
            <w:pPr>
              <w:pStyle w:val="TableContents"/>
              <w:bidi w:val="0"/>
              <w:spacing w:before="0" w:after="283"/>
              <w:jc w:val="left"/>
              <w:rPr/>
            </w:pPr>
            <w:r>
              <w:rPr/>
              <w:t> </w:t>
            </w:r>
          </w:p>
        </w:tc>
      </w:tr>
      <w:tr>
        <w:trPr/>
        <w:tc>
          <w:tcPr>
            <w:tcW w:w="4745"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w:t>
            </w:r>
          </w:p>
        </w:tc>
        <w:tc>
          <w:tcPr>
            <w:tcW w:w="1009" w:type="dxa"/>
            <w:tcBorders/>
            <w:shd w:fill="CCEEFF" w:val="clear"/>
            <w:vAlign w:val="center"/>
          </w:tcPr>
          <w:p>
            <w:pPr>
              <w:pStyle w:val="TableContents"/>
              <w:bidi w:val="0"/>
              <w:spacing w:before="0" w:after="283"/>
              <w:jc w:val="right"/>
              <w:rPr/>
            </w:pPr>
            <w:r>
              <w:rPr/>
              <w:t>(22,492</w:t>
            </w:r>
          </w:p>
        </w:tc>
        <w:tc>
          <w:tcPr>
            <w:tcW w:w="126" w:type="dxa"/>
            <w:tcBorders/>
            <w:shd w:fill="CCEEFF" w:val="clear"/>
            <w:vAlign w:val="center"/>
          </w:tcPr>
          <w:p>
            <w:pPr>
              <w:pStyle w:val="TableContents"/>
              <w:bidi w:val="0"/>
              <w:spacing w:before="0" w:after="283"/>
              <w:jc w:val="left"/>
              <w:rPr/>
            </w:pPr>
            <w:r>
              <w:rPr/>
              <w:t>)</w:t>
            </w:r>
          </w:p>
        </w:tc>
        <w:tc>
          <w:tcPr>
            <w:tcW w:w="8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w:t>
            </w:r>
          </w:p>
        </w:tc>
        <w:tc>
          <w:tcPr>
            <w:tcW w:w="1009" w:type="dxa"/>
            <w:tcBorders/>
            <w:shd w:fill="CCEEFF" w:val="clear"/>
            <w:vAlign w:val="center"/>
          </w:tcPr>
          <w:p>
            <w:pPr>
              <w:pStyle w:val="TableContents"/>
              <w:bidi w:val="0"/>
              <w:spacing w:before="0" w:after="283"/>
              <w:jc w:val="right"/>
              <w:rPr/>
            </w:pPr>
            <w:r>
              <w:rPr/>
              <w:t>(31,513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9,021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-28.6</w:t>
            </w:r>
          </w:p>
        </w:tc>
        <w:tc>
          <w:tcPr>
            <w:tcW w:w="230" w:type="dxa"/>
            <w:tcBorders/>
            <w:shd w:fill="CCEEFF" w:val="clear"/>
            <w:vAlign w:val="center"/>
          </w:tcPr>
          <w:p>
            <w:pPr>
              <w:pStyle w:val="TableContents"/>
              <w:bidi w:val="0"/>
              <w:spacing w:before="0" w:after="283"/>
              <w:jc w:val="left"/>
              <w:rPr/>
            </w:pPr>
            <w:r>
              <w:rPr/>
              <w:t>%</w:t>
            </w:r>
          </w:p>
        </w:tc>
      </w:tr>
      <w:tr>
        <w:trPr/>
        <w:tc>
          <w:tcPr>
            <w:tcW w:w="4745" w:type="dxa"/>
            <w:tcBorders/>
            <w:shd w:fill="FFFFFF" w:val="clear"/>
            <w:vAlign w:val="center"/>
          </w:tcPr>
          <w:p>
            <w:pPr>
              <w:pStyle w:val="TableContents"/>
              <w:bidi w:val="0"/>
              <w:spacing w:before="0" w:after="283"/>
              <w:jc w:val="left"/>
              <w:rPr/>
            </w:pPr>
            <w:r>
              <w:rPr/>
              <w:t>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pPr>
            <w:r>
              <w:rPr/>
              <w:t>(15,707</w:t>
            </w:r>
          </w:p>
        </w:tc>
        <w:tc>
          <w:tcPr>
            <w:tcW w:w="126" w:type="dxa"/>
            <w:tcBorders/>
            <w:shd w:fill="FFFFFF" w:val="clear"/>
            <w:vAlign w:val="center"/>
          </w:tcPr>
          <w:p>
            <w:pPr>
              <w:pStyle w:val="TableContents"/>
              <w:bidi w:val="0"/>
              <w:spacing w:before="0" w:after="283"/>
              <w:jc w:val="left"/>
              <w:rPr/>
            </w:pPr>
            <w:r>
              <w:rPr/>
              <w:t>)</w:t>
            </w:r>
          </w:p>
        </w:tc>
        <w:tc>
          <w:tcPr>
            <w:tcW w:w="8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pPr>
            <w:r>
              <w:rPr/>
              <w:t>(9,575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(6,132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64.0</w:t>
            </w:r>
          </w:p>
        </w:tc>
        <w:tc>
          <w:tcPr>
            <w:tcW w:w="230" w:type="dxa"/>
            <w:tcBorders/>
            <w:shd w:fill="FFFFFF" w:val="clear"/>
            <w:vAlign w:val="center"/>
          </w:tcPr>
          <w:p>
            <w:pPr>
              <w:pStyle w:val="TableContents"/>
              <w:bidi w:val="0"/>
              <w:spacing w:before="0" w:after="283"/>
              <w:jc w:val="left"/>
              <w:rPr/>
            </w:pPr>
            <w:r>
              <w:rPr/>
              <w:t>%</w:t>
            </w:r>
          </w:p>
        </w:tc>
      </w:tr>
      <w:tr>
        <w:trPr/>
        <w:tc>
          <w:tcPr>
            <w:tcW w:w="4745" w:type="dxa"/>
            <w:tcBorders/>
            <w:shd w:fill="CCEEFF" w:val="clear"/>
            <w:vAlign w:val="center"/>
          </w:tcPr>
          <w:p>
            <w:pPr>
              <w:pStyle w:val="TableContents"/>
              <w:bidi w:val="0"/>
              <w:spacing w:before="0" w:after="283"/>
              <w:jc w:val="left"/>
              <w:rPr/>
            </w:pPr>
            <w:r>
              <w:rPr/>
              <w:t>Net cash provided by (used in) investing activities</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(2,679</w:t>
            </w:r>
          </w:p>
        </w:tc>
        <w:tc>
          <w:tcPr>
            <w:tcW w:w="126" w:type="dxa"/>
            <w:tcBorders/>
            <w:shd w:fill="CCEEFF" w:val="clear"/>
            <w:vAlign w:val="center"/>
          </w:tcPr>
          <w:p>
            <w:pPr>
              <w:pStyle w:val="TableContents"/>
              <w:bidi w:val="0"/>
              <w:spacing w:before="0" w:after="283"/>
              <w:jc w:val="left"/>
              <w:rPr/>
            </w:pPr>
            <w:r>
              <w:rPr/>
              <w:t>)</w:t>
            </w:r>
          </w:p>
        </w:tc>
        <w:tc>
          <w:tcPr>
            <w:tcW w:w="8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(2,761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-3367.1</w:t>
            </w:r>
          </w:p>
        </w:tc>
        <w:tc>
          <w:tcPr>
            <w:tcW w:w="230" w:type="dxa"/>
            <w:tcBorders/>
            <w:shd w:fill="CCEEFF" w:val="clear"/>
            <w:vAlign w:val="center"/>
          </w:tcPr>
          <w:p>
            <w:pPr>
              <w:pStyle w:val="TableContents"/>
              <w:bidi w:val="0"/>
              <w:spacing w:before="0" w:after="283"/>
              <w:jc w:val="left"/>
              <w:rPr/>
            </w:pPr>
            <w:r>
              <w:rPr/>
              <w:t>%</w:t>
            </w:r>
          </w:p>
        </w:tc>
      </w:tr>
      <w:tr>
        <w:trPr/>
        <w:tc>
          <w:tcPr>
            <w:tcW w:w="4745" w:type="dxa"/>
            <w:tcBorders/>
            <w:shd w:fill="FFFFFF" w:val="clear"/>
            <w:vAlign w:val="center"/>
          </w:tcPr>
          <w:p>
            <w:pPr>
              <w:pStyle w:val="TableContents"/>
              <w:bidi w:val="0"/>
              <w:spacing w:before="0" w:after="283"/>
              <w:jc w:val="left"/>
              <w:rPr/>
            </w:pPr>
            <w:r>
              <w:rPr/>
              <w:t>Net cash provided by financing activities</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pPr>
            <w:r>
              <w:rPr/>
              <w:t>17,634</w:t>
            </w:r>
          </w:p>
        </w:tc>
        <w:tc>
          <w:tcPr>
            <w:tcW w:w="12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pPr>
            <w:r>
              <w:rPr/>
              <w:t>8,487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9,147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107.8</w:t>
            </w:r>
          </w:p>
        </w:tc>
        <w:tc>
          <w:tcPr>
            <w:tcW w:w="230" w:type="dxa"/>
            <w:tcBorders/>
            <w:shd w:fill="FFFFFF" w:val="clear"/>
            <w:vAlign w:val="center"/>
          </w:tcPr>
          <w:p>
            <w:pPr>
              <w:pStyle w:val="TableContents"/>
              <w:bidi w:val="0"/>
              <w:spacing w:before="0" w:after="283"/>
              <w:jc w:val="left"/>
              <w:rPr/>
            </w:pPr>
            <w:r>
              <w:rPr/>
              <w:t>%</w:t>
            </w:r>
          </w:p>
        </w:tc>
      </w:tr>
      <w:tr>
        <w:trPr/>
        <w:tc>
          <w:tcPr>
            <w:tcW w:w="4745" w:type="dxa"/>
            <w:tcBorders/>
            <w:shd w:fill="CCEEFF" w:val="clear"/>
            <w:vAlign w:val="center"/>
          </w:tcPr>
          <w:p>
            <w:pPr>
              <w:pStyle w:val="TableContents"/>
              <w:bidi w:val="0"/>
              <w:spacing w:before="0" w:after="283"/>
              <w:jc w:val="left"/>
              <w:rPr/>
            </w:pPr>
            <w:r>
              <w:rPr/>
              <w:t>Net decrease in cash</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(828</w:t>
            </w:r>
          </w:p>
        </w:tc>
        <w:tc>
          <w:tcPr>
            <w:tcW w:w="126" w:type="dxa"/>
            <w:tcBorders/>
            <w:shd w:fill="CCEEFF" w:val="clear"/>
            <w:vAlign w:val="center"/>
          </w:tcPr>
          <w:p>
            <w:pPr>
              <w:pStyle w:val="TableContents"/>
              <w:bidi w:val="0"/>
              <w:spacing w:before="0" w:after="283"/>
              <w:jc w:val="left"/>
              <w:rPr/>
            </w:pPr>
            <w:r>
              <w:rPr/>
              <w:t>)</w:t>
            </w:r>
          </w:p>
        </w:tc>
        <w:tc>
          <w:tcPr>
            <w:tcW w:w="8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(1,006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-17.7</w:t>
            </w:r>
          </w:p>
        </w:tc>
        <w:tc>
          <w:tcPr>
            <w:tcW w:w="230" w:type="dxa"/>
            <w:tcBorders/>
            <w:shd w:fill="CCEEFF" w:val="clear"/>
            <w:vAlign w:val="center"/>
          </w:tcPr>
          <w:p>
            <w:pPr>
              <w:pStyle w:val="TableContents"/>
              <w:bidi w:val="0"/>
              <w:spacing w:before="0" w:after="283"/>
              <w:jc w:val="left"/>
              <w:rPr/>
            </w:pPr>
            <w:r>
              <w:rPr/>
              <w:t>%</w:t>
            </w:r>
          </w:p>
        </w:tc>
      </w:tr>
      <w:tr>
        <w:trPr/>
        <w:tc>
          <w:tcPr>
            <w:tcW w:w="4745" w:type="dxa"/>
            <w:tcBorders/>
            <w:shd w:fill="FFFFFF" w:val="clear"/>
            <w:vAlign w:val="center"/>
          </w:tcPr>
          <w:p>
            <w:pPr>
              <w:pStyle w:val="TableContents"/>
              <w:bidi w:val="0"/>
              <w:spacing w:before="0" w:after="283"/>
              <w:jc w:val="left"/>
              <w:rPr/>
            </w:pPr>
            <w:r>
              <w:rPr/>
              <w:t>Cash at beginning of period</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pPr>
            <w:r>
              <w:rPr/>
              <w:t>1,087</w:t>
            </w:r>
          </w:p>
        </w:tc>
        <w:tc>
          <w:tcPr>
            <w:tcW w:w="12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pPr>
            <w:r>
              <w:rPr/>
              <w:t>2,094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(1,007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-48.1</w:t>
            </w:r>
          </w:p>
        </w:tc>
        <w:tc>
          <w:tcPr>
            <w:tcW w:w="230" w:type="dxa"/>
            <w:tcBorders/>
            <w:shd w:fill="FFFFFF" w:val="clear"/>
            <w:vAlign w:val="center"/>
          </w:tcPr>
          <w:p>
            <w:pPr>
              <w:pStyle w:val="TableContents"/>
              <w:bidi w:val="0"/>
              <w:spacing w:before="0" w:after="283"/>
              <w:jc w:val="left"/>
              <w:rPr/>
            </w:pPr>
            <w:r>
              <w:rPr/>
              <w:t>%</w:t>
            </w:r>
          </w:p>
        </w:tc>
      </w:tr>
      <w:tr>
        <w:trPr/>
        <w:tc>
          <w:tcPr>
            <w:tcW w:w="4745" w:type="dxa"/>
            <w:tcBorders/>
            <w:shd w:fill="CCEEFF" w:val="clear"/>
            <w:vAlign w:val="center"/>
          </w:tcPr>
          <w:p>
            <w:pPr>
              <w:pStyle w:val="TableContents"/>
              <w:bidi w:val="0"/>
              <w:spacing w:before="0" w:after="283"/>
              <w:jc w:val="left"/>
              <w:rPr/>
            </w:pPr>
            <w:r>
              <w:rPr/>
              <w:t>Cash at end of period</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259</w:t>
            </w:r>
          </w:p>
        </w:tc>
        <w:tc>
          <w:tcPr>
            <w:tcW w:w="12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1,087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(828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-76.2</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Flows for the Year Ended December 31,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was primarily driven by the net loss, and by working capital adjustments totaling $0.3 million (unfavorable), partially offset by adjustments for non-cash items totaling $4.3 million (favorable). The non-cash items primarily consisted of addbacks for stock-based compensation expense of approximately $2.7 million and depreciation and amortization of approximately $1.2 million, the net impact of debt-related transactions (including gain on extinguishment of debt, loss on issuance of debt and non-cash interest expense) totaling $4.7 million favorable, and the net impact of change in fair value adjustments (including debt under the fair value option, warrants and derivatives) totaling $4.3 million unfavorable.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 was primarily related to our acquisition of Vidello.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was primarily driven by proceeds from issuance of shares under the SEPA totaling approximately $18.6 million, proceeds from issuances of debt (both convertible and term) totaling approximately $17.1 million, proceeds from issuances of shares and warrants totaling $3.9 million, partially offset by repayments of debt totaling $18.6 million.</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40</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Flows for the Year Ended December 31, 2024</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was approximately $9.6 million for the year ended December 31, 2024. Net cash used in operating activities consists of net loss of approximately $31.5 million, offset by total adjustments of approximately $22.0 million for non-cash items and the effect of changes in working capital. Non-cash adjustments primarily included loss on conversion and settlement of Alco promissory notes of approximately $4.8 million, loss on conversion and settlement of CP BF notes of approximately $6.5 million, non-cash settlement of the GEM commitment fee of approximately $0.2 million, non-cash share issuance for marketing expenses of approximately $0.2 million, non-cash share issuance for Yorkville redemption premium of approximately $0.1 million, stock-based compensation expense of approximately $1.2 million, gain on extinguishment of liability of approximately $0.7 million, loss on issuance of debt of approximately $0.7 million, loss on extinguishment of term notes of approximately $1.1 million, non-cash interest expense of approximately $2.3 million (approximately $1.53 million for related party), amortization of debt discount and issuance costs for related party of approximately $1.4 million, amortization of operating lease ROU assets of approximately $0.1 million, fair value adjustment for warrant liabilities gain of approximately $1.2 million (gain of approximately $0.6 million for related party), fair value adjustment to related party bifurcated embedded derivative liabilities gain of approximately $0.1 million, fair value adjustment of convertible promissory notes of approximately $0.7 million, fair value adjustment of term notes of approximately $0.1 million, goodwill impairment loss of approximately $2.7 million, and net of change in operating assets and liabilities of approximately $1.8 million.</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investing activities was approximately $0.1 million for the year ended December 31, 2024 and was related to cash acquired in the acquisition of OpenReel.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was approximately $8.5 million for the year ended December 31, 2024, and was primarily related to proceeds from convertible debt financing of approximately $2.6 million, net proceeds from issuance of common stock of approximately $6.3 million, net proceeds from the issuance of term notes of approximately $2.8 million, proceeds from related party advance of approximately $0.1 million, proceeds from issuance of shares under the SEPA agreement of approximately $0.9 million, repayment of term notes of approximately $1.9 million, partial repayment of convertible notes with a related party of approximately $0.3 million, repayment of Yorkville convertible notes of approximately $0.8 million, and payment of the GEM commitment fee of approximately $1.2 million.</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Debt Structure, Debt Maturity Profile, Contractual Obligations and Commitments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material cash requirements include operating expenses to support the business, debt service (including principal and interest), and contractual obligations such as operating lease commitments. The timing of these requirements within the next 12 months and thereafter is summarized in the table below.</w:t>
      </w:r>
    </w:p>
    <w:p>
      <w:pPr>
        <w:pStyle w:val="TextBody"/>
        <w:bidi w:val="0"/>
        <w:spacing w:before="0" w:after="0"/>
        <w:ind w:left="432" w:right="0" w:firstLine="432"/>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4434"/>
        <w:gridCol w:w="60"/>
        <w:gridCol w:w="184"/>
        <w:gridCol w:w="736"/>
        <w:gridCol w:w="60"/>
        <w:gridCol w:w="60"/>
        <w:gridCol w:w="238"/>
        <w:gridCol w:w="953"/>
        <w:gridCol w:w="60"/>
        <w:gridCol w:w="60"/>
        <w:gridCol w:w="183"/>
        <w:gridCol w:w="893"/>
        <w:gridCol w:w="60"/>
        <w:gridCol w:w="60"/>
        <w:gridCol w:w="220"/>
        <w:gridCol w:w="883"/>
        <w:gridCol w:w="60"/>
        <w:gridCol w:w="60"/>
        <w:gridCol w:w="172"/>
        <w:gridCol w:w="689"/>
        <w:gridCol w:w="80"/>
      </w:tblGrid>
      <w:tr>
        <w:trPr/>
        <w:tc>
          <w:tcPr>
            <w:tcW w:w="4434" w:type="dxa"/>
            <w:tcBorders>
              <w:bottom w:val="single" w:sz="8" w:space="0" w:color="000000"/>
            </w:tcBorders>
            <w:vAlign w:val="center"/>
          </w:tcPr>
          <w:p>
            <w:pPr>
              <w:pStyle w:val="TableContents"/>
              <w:bidi w:val="0"/>
              <w:spacing w:before="0" w:after="283"/>
              <w:jc w:val="left"/>
              <w:rPr>
                <w:i/>
              </w:rPr>
            </w:pPr>
            <w:r>
              <w:rPr>
                <w:i/>
              </w:rPr>
              <w:t>($ in Thousands)</w:t>
            </w:r>
          </w:p>
        </w:tc>
        <w:tc>
          <w:tcPr>
            <w:tcW w:w="60" w:type="dxa"/>
            <w:tcBorders/>
            <w:tcMar>
              <w:bottom w:w="0" w:type="dxa"/>
            </w:tcMar>
            <w:vAlign w:val="center"/>
          </w:tcPr>
          <w:p>
            <w:pPr>
              <w:pStyle w:val="TableContents"/>
              <w:bidi w:val="0"/>
              <w:spacing w:before="0" w:after="283"/>
              <w:jc w:val="left"/>
              <w:rPr/>
            </w:pPr>
            <w:r>
              <w:rPr/>
              <w:t> </w:t>
            </w:r>
          </w:p>
        </w:tc>
        <w:tc>
          <w:tcPr>
            <w:tcW w:w="920" w:type="dxa"/>
            <w:gridSpan w:val="2"/>
            <w:tcBorders>
              <w:bottom w:val="single" w:sz="8" w:space="0" w:color="000000"/>
            </w:tcBorders>
            <w:vAlign w:val="center"/>
          </w:tcPr>
          <w:p>
            <w:pPr>
              <w:pStyle w:val="TableContents"/>
              <w:bidi w:val="0"/>
              <w:spacing w:before="0" w:after="283"/>
              <w:jc w:val="center"/>
              <w:rPr>
                <w:b/>
                <w:i/>
              </w:rPr>
            </w:pPr>
            <w:r>
              <w:rPr>
                <w:b/>
                <w:i/>
              </w:rPr>
              <w:t>Principal</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91" w:type="dxa"/>
            <w:gridSpan w:val="2"/>
            <w:tcBorders>
              <w:bottom w:val="single" w:sz="8" w:space="0" w:color="000000"/>
            </w:tcBorders>
            <w:vAlign w:val="center"/>
          </w:tcPr>
          <w:p>
            <w:pPr>
              <w:pStyle w:val="TableContents"/>
              <w:bidi w:val="0"/>
              <w:spacing w:before="0" w:after="283"/>
              <w:jc w:val="center"/>
              <w:rPr>
                <w:b/>
                <w:i/>
              </w:rPr>
            </w:pPr>
            <w:r>
              <w:rPr>
                <w:b/>
                <w:i/>
              </w:rPr>
              <w:t>Accrued Interest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76" w:type="dxa"/>
            <w:gridSpan w:val="2"/>
            <w:tcBorders>
              <w:bottom w:val="single" w:sz="8" w:space="0" w:color="000000"/>
            </w:tcBorders>
            <w:vAlign w:val="center"/>
          </w:tcPr>
          <w:p>
            <w:pPr>
              <w:pStyle w:val="TableContents"/>
              <w:bidi w:val="0"/>
              <w:spacing w:before="0" w:after="283"/>
              <w:jc w:val="center"/>
              <w:rPr>
                <w:b/>
                <w:i/>
              </w:rPr>
            </w:pPr>
            <w:r>
              <w:rPr>
                <w:b/>
                <w:i/>
              </w:rPr>
              <w:t>Total</w:t>
              <w:br/>
              <w:t>Principal</w:t>
              <w:br/>
              <w:t>and Accrued</w:t>
              <w:br/>
              <w:t>Interest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03" w:type="dxa"/>
            <w:gridSpan w:val="2"/>
            <w:tcBorders>
              <w:bottom w:val="single" w:sz="8" w:space="0" w:color="000000"/>
            </w:tcBorders>
            <w:vAlign w:val="center"/>
          </w:tcPr>
          <w:p>
            <w:pPr>
              <w:pStyle w:val="TableContents"/>
              <w:bidi w:val="0"/>
              <w:spacing w:before="0" w:after="283"/>
              <w:jc w:val="center"/>
              <w:rPr>
                <w:b/>
                <w:i/>
              </w:rPr>
            </w:pPr>
            <w:r>
              <w:rPr>
                <w:b/>
                <w:i/>
              </w:rPr>
              <w:t>Less than 1 year</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61" w:type="dxa"/>
            <w:gridSpan w:val="2"/>
            <w:tcBorders>
              <w:bottom w:val="single" w:sz="8" w:space="0" w:color="000000"/>
            </w:tcBorders>
            <w:vAlign w:val="center"/>
          </w:tcPr>
          <w:p>
            <w:pPr>
              <w:pStyle w:val="TableContents"/>
              <w:bidi w:val="0"/>
              <w:spacing w:before="0" w:after="283"/>
              <w:jc w:val="center"/>
              <w:rPr>
                <w:b/>
                <w:i/>
              </w:rPr>
            </w:pPr>
            <w:r>
              <w:rPr>
                <w:b/>
                <w:i/>
              </w:rPr>
              <w:t>1 - 3 Years</w:t>
            </w:r>
          </w:p>
        </w:tc>
        <w:tc>
          <w:tcPr>
            <w:tcW w:w="80" w:type="dxa"/>
            <w:tcBorders/>
            <w:tcMar>
              <w:bottom w:w="0" w:type="dxa"/>
            </w:tcMar>
            <w:vAlign w:val="center"/>
          </w:tcPr>
          <w:p>
            <w:pPr>
              <w:pStyle w:val="TableContents"/>
              <w:bidi w:val="0"/>
              <w:spacing w:before="0" w:after="283"/>
              <w:jc w:val="left"/>
              <w:rPr/>
            </w:pPr>
            <w:r>
              <w:rPr/>
              <w:t> </w:t>
            </w:r>
          </w:p>
        </w:tc>
      </w:tr>
      <w:tr>
        <w:trPr/>
        <w:tc>
          <w:tcPr>
            <w:tcW w:w="4434" w:type="dxa"/>
            <w:tcBorders/>
            <w:shd w:fill="CCEEFF" w:val="clear"/>
            <w:tcMar>
              <w:bottom w:w="0" w:type="dxa"/>
            </w:tcMar>
            <w:vAlign w:val="center"/>
          </w:tcPr>
          <w:p>
            <w:pPr>
              <w:pStyle w:val="TableContents"/>
              <w:bidi w:val="0"/>
              <w:spacing w:before="0" w:after="283"/>
              <w:jc w:val="left"/>
              <w:rPr/>
            </w:pPr>
            <w:r>
              <w:rPr/>
              <w:t>Debt principal – 15.5% CP BF convertible notes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4" w:type="dxa"/>
            <w:tcBorders/>
            <w:shd w:fill="CCEEFF" w:val="clear"/>
            <w:tcMar>
              <w:bottom w:w="0" w:type="dxa"/>
            </w:tcMar>
            <w:vAlign w:val="center"/>
          </w:tcPr>
          <w:p>
            <w:pPr>
              <w:pStyle w:val="TableContents"/>
              <w:bidi w:val="0"/>
              <w:spacing w:before="0" w:after="283"/>
              <w:jc w:val="left"/>
              <w:rPr/>
            </w:pPr>
            <w:r>
              <w:rPr/>
              <w:t>$</w:t>
            </w:r>
          </w:p>
        </w:tc>
        <w:tc>
          <w:tcPr>
            <w:tcW w:w="736" w:type="dxa"/>
            <w:tcBorders/>
            <w:shd w:fill="CCEEFF" w:val="clear"/>
            <w:tcMar>
              <w:bottom w:w="0" w:type="dxa"/>
            </w:tcMar>
            <w:vAlign w:val="center"/>
          </w:tcPr>
          <w:p>
            <w:pPr>
              <w:pStyle w:val="TableContents"/>
              <w:bidi w:val="0"/>
              <w:spacing w:before="0" w:after="283"/>
              <w:jc w:val="right"/>
              <w:rPr/>
            </w:pPr>
            <w:r>
              <w:rPr/>
              <w:t>3,365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8" w:type="dxa"/>
            <w:tcBorders/>
            <w:shd w:fill="CCEEFF" w:val="clear"/>
            <w:tcMar>
              <w:bottom w:w="0" w:type="dxa"/>
            </w:tcMar>
            <w:vAlign w:val="center"/>
          </w:tcPr>
          <w:p>
            <w:pPr>
              <w:pStyle w:val="TableContents"/>
              <w:bidi w:val="0"/>
              <w:spacing w:before="0" w:after="283"/>
              <w:jc w:val="left"/>
              <w:rPr/>
            </w:pPr>
            <w:r>
              <w:rPr/>
              <w:t>$</w:t>
            </w:r>
          </w:p>
        </w:tc>
        <w:tc>
          <w:tcPr>
            <w:tcW w:w="953" w:type="dxa"/>
            <w:tcBorders/>
            <w:shd w:fill="CCEEFF" w:val="clear"/>
            <w:tcMar>
              <w:bottom w:w="0" w:type="dxa"/>
            </w:tcMar>
            <w:vAlign w:val="center"/>
          </w:tcPr>
          <w:p>
            <w:pPr>
              <w:pStyle w:val="TableContents"/>
              <w:bidi w:val="0"/>
              <w:spacing w:before="0" w:after="283"/>
              <w:jc w:val="right"/>
              <w:rPr/>
            </w:pPr>
            <w:r>
              <w:rPr/>
              <w:t>1,558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3" w:type="dxa"/>
            <w:tcBorders/>
            <w:shd w:fill="CCEEFF" w:val="clear"/>
            <w:tcMar>
              <w:bottom w:w="0" w:type="dxa"/>
            </w:tcMar>
            <w:vAlign w:val="center"/>
          </w:tcPr>
          <w:p>
            <w:pPr>
              <w:pStyle w:val="TableContents"/>
              <w:bidi w:val="0"/>
              <w:spacing w:before="0" w:after="283"/>
              <w:jc w:val="left"/>
              <w:rPr/>
            </w:pPr>
            <w:r>
              <w:rPr/>
              <w:t>$</w:t>
            </w:r>
          </w:p>
        </w:tc>
        <w:tc>
          <w:tcPr>
            <w:tcW w:w="893" w:type="dxa"/>
            <w:tcBorders/>
            <w:shd w:fill="CCEEFF" w:val="clear"/>
            <w:tcMar>
              <w:bottom w:w="0" w:type="dxa"/>
            </w:tcMar>
            <w:vAlign w:val="center"/>
          </w:tcPr>
          <w:p>
            <w:pPr>
              <w:pStyle w:val="TableContents"/>
              <w:bidi w:val="0"/>
              <w:spacing w:before="0" w:after="283"/>
              <w:jc w:val="right"/>
              <w:rPr/>
            </w:pPr>
            <w:r>
              <w:rPr/>
              <w:t>4,923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0" w:type="dxa"/>
            <w:tcBorders/>
            <w:shd w:fill="CCEEFF" w:val="clear"/>
            <w:tcMar>
              <w:bottom w:w="0" w:type="dxa"/>
            </w:tcMar>
            <w:vAlign w:val="center"/>
          </w:tcPr>
          <w:p>
            <w:pPr>
              <w:pStyle w:val="TableContents"/>
              <w:bidi w:val="0"/>
              <w:spacing w:before="0" w:after="283"/>
              <w:jc w:val="left"/>
              <w:rPr/>
            </w:pPr>
            <w:r>
              <w:rPr/>
              <w:t>$</w:t>
            </w:r>
          </w:p>
        </w:tc>
        <w:tc>
          <w:tcPr>
            <w:tcW w:w="883"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2" w:type="dxa"/>
            <w:tcBorders/>
            <w:shd w:fill="CCEEFF" w:val="clear"/>
            <w:tcMar>
              <w:bottom w:w="0" w:type="dxa"/>
            </w:tcMar>
            <w:vAlign w:val="center"/>
          </w:tcPr>
          <w:p>
            <w:pPr>
              <w:pStyle w:val="TableContents"/>
              <w:bidi w:val="0"/>
              <w:spacing w:before="0" w:after="283"/>
              <w:jc w:val="left"/>
              <w:rPr/>
            </w:pPr>
            <w:r>
              <w:rPr/>
              <w:t>$</w:t>
            </w:r>
          </w:p>
        </w:tc>
        <w:tc>
          <w:tcPr>
            <w:tcW w:w="689" w:type="dxa"/>
            <w:tcBorders/>
            <w:shd w:fill="CCEEFF" w:val="clear"/>
            <w:tcMar>
              <w:bottom w:w="0" w:type="dxa"/>
            </w:tcMar>
            <w:vAlign w:val="center"/>
          </w:tcPr>
          <w:p>
            <w:pPr>
              <w:pStyle w:val="TableContents"/>
              <w:bidi w:val="0"/>
              <w:spacing w:before="0" w:after="283"/>
              <w:jc w:val="right"/>
              <w:rPr/>
            </w:pPr>
            <w:r>
              <w:rPr/>
              <w:t>4,923</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4434" w:type="dxa"/>
            <w:tcBorders/>
            <w:shd w:fill="FFFFFF" w:val="clear"/>
            <w:tcMar>
              <w:bottom w:w="0" w:type="dxa"/>
            </w:tcMar>
            <w:vAlign w:val="center"/>
          </w:tcPr>
          <w:p>
            <w:pPr>
              <w:pStyle w:val="TableContents"/>
              <w:bidi w:val="0"/>
              <w:spacing w:before="0" w:after="283"/>
              <w:jc w:val="left"/>
              <w:rPr/>
            </w:pPr>
            <w:r>
              <w:rPr/>
              <w:t>Debt principal – Agile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4" w:type="dxa"/>
            <w:tcBorders/>
            <w:shd w:fill="FFFFFF" w:val="clear"/>
            <w:tcMar>
              <w:bottom w:w="0" w:type="dxa"/>
            </w:tcMar>
            <w:vAlign w:val="center"/>
          </w:tcPr>
          <w:p>
            <w:pPr>
              <w:pStyle w:val="TableContents"/>
              <w:bidi w:val="0"/>
              <w:spacing w:before="0" w:after="283"/>
              <w:jc w:val="left"/>
              <w:rPr/>
            </w:pPr>
            <w:r>
              <w:rPr/>
              <w:t> </w:t>
            </w:r>
          </w:p>
        </w:tc>
        <w:tc>
          <w:tcPr>
            <w:tcW w:w="736" w:type="dxa"/>
            <w:tcBorders/>
            <w:shd w:fill="FFFFFF" w:val="clear"/>
            <w:tcMar>
              <w:bottom w:w="0" w:type="dxa"/>
            </w:tcMar>
            <w:vAlign w:val="center"/>
          </w:tcPr>
          <w:p>
            <w:pPr>
              <w:pStyle w:val="TableContents"/>
              <w:bidi w:val="0"/>
              <w:spacing w:before="0" w:after="283"/>
              <w:jc w:val="right"/>
              <w:rPr/>
            </w:pPr>
            <w:r>
              <w:rPr/>
              <w:t>1,839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8" w:type="dxa"/>
            <w:tcBorders/>
            <w:shd w:fill="FFFFFF" w:val="clear"/>
            <w:tcMar>
              <w:bottom w:w="0" w:type="dxa"/>
            </w:tcMar>
            <w:vAlign w:val="center"/>
          </w:tcPr>
          <w:p>
            <w:pPr>
              <w:pStyle w:val="TableContents"/>
              <w:bidi w:val="0"/>
              <w:spacing w:before="0" w:after="283"/>
              <w:jc w:val="left"/>
              <w:rPr/>
            </w:pPr>
            <w:r>
              <w:rPr/>
              <w:t> </w:t>
            </w:r>
          </w:p>
        </w:tc>
        <w:tc>
          <w:tcPr>
            <w:tcW w:w="953"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3" w:type="dxa"/>
            <w:tcBorders/>
            <w:shd w:fill="FFFFFF" w:val="clear"/>
            <w:tcMar>
              <w:bottom w:w="0" w:type="dxa"/>
            </w:tcMar>
            <w:vAlign w:val="center"/>
          </w:tcPr>
          <w:p>
            <w:pPr>
              <w:pStyle w:val="TableContents"/>
              <w:bidi w:val="0"/>
              <w:spacing w:before="0" w:after="283"/>
              <w:jc w:val="left"/>
              <w:rPr/>
            </w:pPr>
            <w:r>
              <w:rPr/>
              <w:t> </w:t>
            </w:r>
          </w:p>
        </w:tc>
        <w:tc>
          <w:tcPr>
            <w:tcW w:w="893" w:type="dxa"/>
            <w:tcBorders/>
            <w:shd w:fill="FFFFFF" w:val="clear"/>
            <w:tcMar>
              <w:bottom w:w="0" w:type="dxa"/>
            </w:tcMar>
            <w:vAlign w:val="center"/>
          </w:tcPr>
          <w:p>
            <w:pPr>
              <w:pStyle w:val="TableContents"/>
              <w:bidi w:val="0"/>
              <w:spacing w:before="0" w:after="283"/>
              <w:jc w:val="right"/>
              <w:rPr/>
            </w:pPr>
            <w:r>
              <w:rPr/>
              <w:t>1,839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0" w:type="dxa"/>
            <w:tcBorders/>
            <w:shd w:fill="FFFFFF" w:val="clear"/>
            <w:tcMar>
              <w:bottom w:w="0" w:type="dxa"/>
            </w:tcMar>
            <w:vAlign w:val="center"/>
          </w:tcPr>
          <w:p>
            <w:pPr>
              <w:pStyle w:val="TableContents"/>
              <w:bidi w:val="0"/>
              <w:spacing w:before="0" w:after="283"/>
              <w:jc w:val="left"/>
              <w:rPr/>
            </w:pPr>
            <w:r>
              <w:rPr/>
              <w:t> </w:t>
            </w:r>
          </w:p>
        </w:tc>
        <w:tc>
          <w:tcPr>
            <w:tcW w:w="883" w:type="dxa"/>
            <w:tcBorders/>
            <w:shd w:fill="FFFFFF" w:val="clear"/>
            <w:tcMar>
              <w:bottom w:w="0" w:type="dxa"/>
            </w:tcMar>
            <w:vAlign w:val="center"/>
          </w:tcPr>
          <w:p>
            <w:pPr>
              <w:pStyle w:val="TableContents"/>
              <w:bidi w:val="0"/>
              <w:spacing w:before="0" w:after="283"/>
              <w:jc w:val="right"/>
              <w:rPr/>
            </w:pPr>
            <w:r>
              <w:rPr/>
              <w:t>1,839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2" w:type="dxa"/>
            <w:tcBorders/>
            <w:shd w:fill="FFFFFF" w:val="clear"/>
            <w:tcMar>
              <w:bottom w:w="0" w:type="dxa"/>
            </w:tcMar>
            <w:vAlign w:val="center"/>
          </w:tcPr>
          <w:p>
            <w:pPr>
              <w:pStyle w:val="TableContents"/>
              <w:bidi w:val="0"/>
              <w:spacing w:before="0" w:after="283"/>
              <w:jc w:val="left"/>
              <w:rPr/>
            </w:pPr>
            <w:r>
              <w:rPr/>
              <w:t> </w:t>
            </w:r>
          </w:p>
        </w:tc>
        <w:tc>
          <w:tcPr>
            <w:tcW w:w="689" w:type="dxa"/>
            <w:tcBorders/>
            <w:shd w:fill="FFFFFF" w:val="clear"/>
            <w:tcMar>
              <w:bottom w:w="0" w:type="dxa"/>
            </w:tcMar>
            <w:vAlign w:val="center"/>
          </w:tcPr>
          <w:p>
            <w:pPr>
              <w:pStyle w:val="TableContents"/>
              <w:bidi w:val="0"/>
              <w:spacing w:before="0" w:after="283"/>
              <w:jc w:val="right"/>
              <w:rPr/>
            </w:pPr>
            <w:r>
              <w:rPr/>
              <w:t>—</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4434" w:type="dxa"/>
            <w:tcBorders/>
            <w:shd w:fill="CCEEFF" w:val="clear"/>
            <w:tcMar>
              <w:bottom w:w="0" w:type="dxa"/>
            </w:tcMar>
            <w:vAlign w:val="center"/>
          </w:tcPr>
          <w:p>
            <w:pPr>
              <w:pStyle w:val="TableContents"/>
              <w:bidi w:val="0"/>
              <w:spacing w:before="0" w:after="283"/>
              <w:jc w:val="left"/>
              <w:rPr/>
            </w:pPr>
            <w:r>
              <w:rPr/>
              <w:t>Debt principal – Private Placement convertible notes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4" w:type="dxa"/>
            <w:tcBorders/>
            <w:shd w:fill="CCEEFF" w:val="clear"/>
            <w:tcMar>
              <w:bottom w:w="0" w:type="dxa"/>
            </w:tcMar>
            <w:vAlign w:val="center"/>
          </w:tcPr>
          <w:p>
            <w:pPr>
              <w:pStyle w:val="TableContents"/>
              <w:bidi w:val="0"/>
              <w:spacing w:before="0" w:after="283"/>
              <w:jc w:val="left"/>
              <w:rPr/>
            </w:pPr>
            <w:r>
              <w:rPr/>
              <w:t> </w:t>
            </w:r>
          </w:p>
        </w:tc>
        <w:tc>
          <w:tcPr>
            <w:tcW w:w="736" w:type="dxa"/>
            <w:tcBorders/>
            <w:shd w:fill="CCEEFF" w:val="clear"/>
            <w:tcMar>
              <w:bottom w:w="0" w:type="dxa"/>
            </w:tcMar>
            <w:vAlign w:val="center"/>
          </w:tcPr>
          <w:p>
            <w:pPr>
              <w:pStyle w:val="TableContents"/>
              <w:bidi w:val="0"/>
              <w:spacing w:before="0" w:after="283"/>
              <w:jc w:val="right"/>
              <w:rPr/>
            </w:pPr>
            <w:r>
              <w:rPr/>
              <w:t>1,709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8" w:type="dxa"/>
            <w:tcBorders/>
            <w:shd w:fill="CCEEFF" w:val="clear"/>
            <w:tcMar>
              <w:bottom w:w="0" w:type="dxa"/>
            </w:tcMar>
            <w:vAlign w:val="center"/>
          </w:tcPr>
          <w:p>
            <w:pPr>
              <w:pStyle w:val="TableContents"/>
              <w:bidi w:val="0"/>
              <w:spacing w:before="0" w:after="283"/>
              <w:jc w:val="left"/>
              <w:rPr/>
            </w:pPr>
            <w:r>
              <w:rPr/>
              <w:t> </w:t>
            </w:r>
          </w:p>
        </w:tc>
        <w:tc>
          <w:tcPr>
            <w:tcW w:w="953" w:type="dxa"/>
            <w:tcBorders/>
            <w:shd w:fill="CCEEFF" w:val="clear"/>
            <w:tcMar>
              <w:bottom w:w="0" w:type="dxa"/>
            </w:tcMar>
            <w:vAlign w:val="center"/>
          </w:tcPr>
          <w:p>
            <w:pPr>
              <w:pStyle w:val="TableContents"/>
              <w:bidi w:val="0"/>
              <w:spacing w:before="0" w:after="283"/>
              <w:jc w:val="right"/>
              <w:rPr/>
            </w:pPr>
            <w:r>
              <w:rPr/>
              <w:t>171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3" w:type="dxa"/>
            <w:tcBorders/>
            <w:shd w:fill="CCEEFF" w:val="clear"/>
            <w:tcMar>
              <w:bottom w:w="0" w:type="dxa"/>
            </w:tcMar>
            <w:vAlign w:val="center"/>
          </w:tcPr>
          <w:p>
            <w:pPr>
              <w:pStyle w:val="TableContents"/>
              <w:bidi w:val="0"/>
              <w:spacing w:before="0" w:after="283"/>
              <w:jc w:val="left"/>
              <w:rPr/>
            </w:pPr>
            <w:r>
              <w:rPr/>
              <w:t> </w:t>
            </w:r>
          </w:p>
        </w:tc>
        <w:tc>
          <w:tcPr>
            <w:tcW w:w="893" w:type="dxa"/>
            <w:tcBorders/>
            <w:shd w:fill="CCEEFF" w:val="clear"/>
            <w:tcMar>
              <w:bottom w:w="0" w:type="dxa"/>
            </w:tcMar>
            <w:vAlign w:val="center"/>
          </w:tcPr>
          <w:p>
            <w:pPr>
              <w:pStyle w:val="TableContents"/>
              <w:bidi w:val="0"/>
              <w:spacing w:before="0" w:after="283"/>
              <w:jc w:val="right"/>
              <w:rPr/>
            </w:pPr>
            <w:r>
              <w:rPr/>
              <w:t>1,880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0" w:type="dxa"/>
            <w:tcBorders/>
            <w:shd w:fill="CCEEFF" w:val="clear"/>
            <w:tcMar>
              <w:bottom w:w="0" w:type="dxa"/>
            </w:tcMar>
            <w:vAlign w:val="center"/>
          </w:tcPr>
          <w:p>
            <w:pPr>
              <w:pStyle w:val="TableContents"/>
              <w:bidi w:val="0"/>
              <w:spacing w:before="0" w:after="283"/>
              <w:jc w:val="left"/>
              <w:rPr/>
            </w:pPr>
            <w:r>
              <w:rPr/>
              <w:t> </w:t>
            </w:r>
          </w:p>
        </w:tc>
        <w:tc>
          <w:tcPr>
            <w:tcW w:w="883" w:type="dxa"/>
            <w:tcBorders/>
            <w:shd w:fill="CCEEFF" w:val="clear"/>
            <w:tcMar>
              <w:bottom w:w="0" w:type="dxa"/>
            </w:tcMar>
            <w:vAlign w:val="center"/>
          </w:tcPr>
          <w:p>
            <w:pPr>
              <w:pStyle w:val="TableContents"/>
              <w:bidi w:val="0"/>
              <w:spacing w:before="0" w:after="283"/>
              <w:jc w:val="right"/>
              <w:rPr/>
            </w:pPr>
            <w:r>
              <w:rPr/>
              <w:t>1,880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2" w:type="dxa"/>
            <w:tcBorders/>
            <w:shd w:fill="CCEEFF" w:val="clear"/>
            <w:tcMar>
              <w:bottom w:w="0" w:type="dxa"/>
            </w:tcMar>
            <w:vAlign w:val="center"/>
          </w:tcPr>
          <w:p>
            <w:pPr>
              <w:pStyle w:val="TableContents"/>
              <w:bidi w:val="0"/>
              <w:spacing w:before="0" w:after="283"/>
              <w:jc w:val="left"/>
              <w:rPr/>
            </w:pPr>
            <w:r>
              <w:rPr/>
              <w:t> </w:t>
            </w:r>
          </w:p>
        </w:tc>
        <w:tc>
          <w:tcPr>
            <w:tcW w:w="689" w:type="dxa"/>
            <w:tcBorders/>
            <w:shd w:fill="CCEEFF" w:val="clear"/>
            <w:tcMar>
              <w:bottom w:w="0" w:type="dxa"/>
            </w:tcMar>
            <w:vAlign w:val="center"/>
          </w:tcPr>
          <w:p>
            <w:pPr>
              <w:pStyle w:val="TableContents"/>
              <w:bidi w:val="0"/>
              <w:spacing w:before="0" w:after="283"/>
              <w:jc w:val="right"/>
              <w:rPr/>
            </w:pPr>
            <w:r>
              <w:rPr/>
              <w:t>—</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4434" w:type="dxa"/>
            <w:tcBorders/>
            <w:shd w:fill="FFFFFF" w:val="clear"/>
            <w:tcMar>
              <w:bottom w:w="0" w:type="dxa"/>
            </w:tcMar>
            <w:vAlign w:val="center"/>
          </w:tcPr>
          <w:p>
            <w:pPr>
              <w:pStyle w:val="TableContents"/>
              <w:bidi w:val="0"/>
              <w:spacing w:before="0" w:after="283"/>
              <w:jc w:val="left"/>
              <w:rPr/>
            </w:pPr>
            <w:r>
              <w:rPr/>
              <w:t>Debt principal – Yorkville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4" w:type="dxa"/>
            <w:tcBorders/>
            <w:shd w:fill="FFFFFF" w:val="clear"/>
            <w:tcMar>
              <w:bottom w:w="0" w:type="dxa"/>
            </w:tcMar>
            <w:vAlign w:val="center"/>
          </w:tcPr>
          <w:p>
            <w:pPr>
              <w:pStyle w:val="TableContents"/>
              <w:bidi w:val="0"/>
              <w:spacing w:before="0" w:after="283"/>
              <w:jc w:val="left"/>
              <w:rPr/>
            </w:pPr>
            <w:r>
              <w:rPr/>
              <w:t> </w:t>
            </w:r>
          </w:p>
        </w:tc>
        <w:tc>
          <w:tcPr>
            <w:tcW w:w="736" w:type="dxa"/>
            <w:tcBorders/>
            <w:shd w:fill="FFFFFF" w:val="clear"/>
            <w:tcMar>
              <w:bottom w:w="0" w:type="dxa"/>
            </w:tcMar>
            <w:vAlign w:val="center"/>
          </w:tcPr>
          <w:p>
            <w:pPr>
              <w:pStyle w:val="TableContents"/>
              <w:bidi w:val="0"/>
              <w:spacing w:before="0" w:after="283"/>
              <w:jc w:val="right"/>
              <w:rPr/>
            </w:pPr>
            <w:r>
              <w:rPr/>
              <w:t>1,192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8" w:type="dxa"/>
            <w:tcBorders/>
            <w:shd w:fill="FFFFFF" w:val="clear"/>
            <w:tcMar>
              <w:bottom w:w="0" w:type="dxa"/>
            </w:tcMar>
            <w:vAlign w:val="center"/>
          </w:tcPr>
          <w:p>
            <w:pPr>
              <w:pStyle w:val="TableContents"/>
              <w:bidi w:val="0"/>
              <w:spacing w:before="0" w:after="283"/>
              <w:jc w:val="left"/>
              <w:rPr/>
            </w:pPr>
            <w:r>
              <w:rPr/>
              <w:t> </w:t>
            </w:r>
          </w:p>
        </w:tc>
        <w:tc>
          <w:tcPr>
            <w:tcW w:w="953" w:type="dxa"/>
            <w:tcBorders/>
            <w:shd w:fill="FFFFFF" w:val="clear"/>
            <w:tcMar>
              <w:bottom w:w="0" w:type="dxa"/>
            </w:tcMar>
            <w:vAlign w:val="center"/>
          </w:tcPr>
          <w:p>
            <w:pPr>
              <w:pStyle w:val="TableContents"/>
              <w:bidi w:val="0"/>
              <w:spacing w:before="0" w:after="283"/>
              <w:jc w:val="right"/>
              <w:rPr/>
            </w:pPr>
            <w:r>
              <w:rPr/>
              <w:t>34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3" w:type="dxa"/>
            <w:tcBorders/>
            <w:shd w:fill="FFFFFF" w:val="clear"/>
            <w:tcMar>
              <w:bottom w:w="0" w:type="dxa"/>
            </w:tcMar>
            <w:vAlign w:val="center"/>
          </w:tcPr>
          <w:p>
            <w:pPr>
              <w:pStyle w:val="TableContents"/>
              <w:bidi w:val="0"/>
              <w:spacing w:before="0" w:after="283"/>
              <w:jc w:val="left"/>
              <w:rPr/>
            </w:pPr>
            <w:r>
              <w:rPr/>
              <w:t> </w:t>
            </w:r>
          </w:p>
        </w:tc>
        <w:tc>
          <w:tcPr>
            <w:tcW w:w="893" w:type="dxa"/>
            <w:tcBorders/>
            <w:shd w:fill="FFFFFF" w:val="clear"/>
            <w:tcMar>
              <w:bottom w:w="0" w:type="dxa"/>
            </w:tcMar>
            <w:vAlign w:val="center"/>
          </w:tcPr>
          <w:p>
            <w:pPr>
              <w:pStyle w:val="TableContents"/>
              <w:bidi w:val="0"/>
              <w:spacing w:before="0" w:after="283"/>
              <w:jc w:val="right"/>
              <w:rPr/>
            </w:pPr>
            <w:r>
              <w:rPr/>
              <w:t>1,226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0" w:type="dxa"/>
            <w:tcBorders/>
            <w:shd w:fill="FFFFFF" w:val="clear"/>
            <w:tcMar>
              <w:bottom w:w="0" w:type="dxa"/>
            </w:tcMar>
            <w:vAlign w:val="center"/>
          </w:tcPr>
          <w:p>
            <w:pPr>
              <w:pStyle w:val="TableContents"/>
              <w:bidi w:val="0"/>
              <w:spacing w:before="0" w:after="283"/>
              <w:jc w:val="left"/>
              <w:rPr/>
            </w:pPr>
            <w:r>
              <w:rPr/>
              <w:t> </w:t>
            </w:r>
          </w:p>
        </w:tc>
        <w:tc>
          <w:tcPr>
            <w:tcW w:w="883" w:type="dxa"/>
            <w:tcBorders/>
            <w:shd w:fill="FFFFFF" w:val="clear"/>
            <w:tcMar>
              <w:bottom w:w="0" w:type="dxa"/>
            </w:tcMar>
            <w:vAlign w:val="center"/>
          </w:tcPr>
          <w:p>
            <w:pPr>
              <w:pStyle w:val="TableContents"/>
              <w:bidi w:val="0"/>
              <w:spacing w:before="0" w:after="283"/>
              <w:jc w:val="right"/>
              <w:rPr/>
            </w:pPr>
            <w:r>
              <w:rPr/>
              <w:t>1,226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2" w:type="dxa"/>
            <w:tcBorders/>
            <w:shd w:fill="FFFFFF" w:val="clear"/>
            <w:tcMar>
              <w:bottom w:w="0" w:type="dxa"/>
            </w:tcMar>
            <w:vAlign w:val="center"/>
          </w:tcPr>
          <w:p>
            <w:pPr>
              <w:pStyle w:val="TableContents"/>
              <w:bidi w:val="0"/>
              <w:spacing w:before="0" w:after="283"/>
              <w:jc w:val="left"/>
              <w:rPr/>
            </w:pPr>
            <w:r>
              <w:rPr/>
              <w:t> </w:t>
            </w:r>
          </w:p>
        </w:tc>
        <w:tc>
          <w:tcPr>
            <w:tcW w:w="689" w:type="dxa"/>
            <w:tcBorders/>
            <w:shd w:fill="FFFFFF" w:val="clear"/>
            <w:tcMar>
              <w:bottom w:w="0" w:type="dxa"/>
            </w:tcMar>
            <w:vAlign w:val="center"/>
          </w:tcPr>
          <w:p>
            <w:pPr>
              <w:pStyle w:val="TableContents"/>
              <w:bidi w:val="0"/>
              <w:spacing w:before="0" w:after="283"/>
              <w:jc w:val="right"/>
              <w:rPr/>
            </w:pPr>
            <w:r>
              <w:rPr/>
              <w:t>—</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4434" w:type="dxa"/>
            <w:tcBorders/>
            <w:shd w:fill="CCEEFF" w:val="clear"/>
            <w:tcMar>
              <w:bottom w:w="0" w:type="dxa"/>
            </w:tcMar>
            <w:vAlign w:val="center"/>
          </w:tcPr>
          <w:p>
            <w:pPr>
              <w:pStyle w:val="TableContents"/>
              <w:bidi w:val="0"/>
              <w:spacing w:before="0" w:after="283"/>
              <w:jc w:val="left"/>
              <w:rPr/>
            </w:pPr>
            <w:r>
              <w:rPr/>
              <w:t>Debt principal – 1800 Diagonal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4" w:type="dxa"/>
            <w:tcBorders/>
            <w:shd w:fill="CCEEFF" w:val="clear"/>
            <w:tcMar>
              <w:bottom w:w="0" w:type="dxa"/>
            </w:tcMar>
            <w:vAlign w:val="center"/>
          </w:tcPr>
          <w:p>
            <w:pPr>
              <w:pStyle w:val="TableContents"/>
              <w:bidi w:val="0"/>
              <w:spacing w:before="0" w:after="283"/>
              <w:jc w:val="left"/>
              <w:rPr/>
            </w:pPr>
            <w:r>
              <w:rPr/>
              <w:t> </w:t>
            </w:r>
          </w:p>
        </w:tc>
        <w:tc>
          <w:tcPr>
            <w:tcW w:w="736" w:type="dxa"/>
            <w:tcBorders/>
            <w:shd w:fill="CCEEFF" w:val="clear"/>
            <w:tcMar>
              <w:bottom w:w="0" w:type="dxa"/>
            </w:tcMar>
            <w:vAlign w:val="center"/>
          </w:tcPr>
          <w:p>
            <w:pPr>
              <w:pStyle w:val="TableContents"/>
              <w:bidi w:val="0"/>
              <w:spacing w:before="0" w:after="283"/>
              <w:jc w:val="right"/>
              <w:rPr/>
            </w:pPr>
            <w:r>
              <w:rPr/>
              <w:t>722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8" w:type="dxa"/>
            <w:tcBorders/>
            <w:shd w:fill="CCEEFF" w:val="clear"/>
            <w:tcMar>
              <w:bottom w:w="0" w:type="dxa"/>
            </w:tcMar>
            <w:vAlign w:val="center"/>
          </w:tcPr>
          <w:p>
            <w:pPr>
              <w:pStyle w:val="TableContents"/>
              <w:bidi w:val="0"/>
              <w:spacing w:before="0" w:after="283"/>
              <w:jc w:val="left"/>
              <w:rPr/>
            </w:pPr>
            <w:r>
              <w:rPr/>
              <w:t> </w:t>
            </w:r>
          </w:p>
        </w:tc>
        <w:tc>
          <w:tcPr>
            <w:tcW w:w="953" w:type="dxa"/>
            <w:tcBorders/>
            <w:shd w:fill="CCEEFF" w:val="clear"/>
            <w:tcMar>
              <w:bottom w:w="0" w:type="dxa"/>
            </w:tcMar>
            <w:vAlign w:val="center"/>
          </w:tcPr>
          <w:p>
            <w:pPr>
              <w:pStyle w:val="TableContents"/>
              <w:bidi w:val="0"/>
              <w:spacing w:before="0" w:after="283"/>
              <w:jc w:val="right"/>
              <w:rPr/>
            </w:pPr>
            <w:r>
              <w:rPr/>
              <w:t>71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3" w:type="dxa"/>
            <w:tcBorders/>
            <w:shd w:fill="CCEEFF" w:val="clear"/>
            <w:tcMar>
              <w:bottom w:w="0" w:type="dxa"/>
            </w:tcMar>
            <w:vAlign w:val="center"/>
          </w:tcPr>
          <w:p>
            <w:pPr>
              <w:pStyle w:val="TableContents"/>
              <w:bidi w:val="0"/>
              <w:spacing w:before="0" w:after="283"/>
              <w:jc w:val="left"/>
              <w:rPr/>
            </w:pPr>
            <w:r>
              <w:rPr/>
              <w:t> </w:t>
            </w:r>
          </w:p>
        </w:tc>
        <w:tc>
          <w:tcPr>
            <w:tcW w:w="893" w:type="dxa"/>
            <w:tcBorders/>
            <w:shd w:fill="CCEEFF" w:val="clear"/>
            <w:tcMar>
              <w:bottom w:w="0" w:type="dxa"/>
            </w:tcMar>
            <w:vAlign w:val="center"/>
          </w:tcPr>
          <w:p>
            <w:pPr>
              <w:pStyle w:val="TableContents"/>
              <w:bidi w:val="0"/>
              <w:spacing w:before="0" w:after="283"/>
              <w:jc w:val="right"/>
              <w:rPr/>
            </w:pPr>
            <w:r>
              <w:rPr/>
              <w:t>793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0" w:type="dxa"/>
            <w:tcBorders/>
            <w:shd w:fill="CCEEFF" w:val="clear"/>
            <w:tcMar>
              <w:bottom w:w="0" w:type="dxa"/>
            </w:tcMar>
            <w:vAlign w:val="center"/>
          </w:tcPr>
          <w:p>
            <w:pPr>
              <w:pStyle w:val="TableContents"/>
              <w:bidi w:val="0"/>
              <w:spacing w:before="0" w:after="283"/>
              <w:jc w:val="left"/>
              <w:rPr/>
            </w:pPr>
            <w:r>
              <w:rPr/>
              <w:t> </w:t>
            </w:r>
          </w:p>
        </w:tc>
        <w:tc>
          <w:tcPr>
            <w:tcW w:w="883" w:type="dxa"/>
            <w:tcBorders/>
            <w:shd w:fill="CCEEFF" w:val="clear"/>
            <w:tcMar>
              <w:bottom w:w="0" w:type="dxa"/>
            </w:tcMar>
            <w:vAlign w:val="center"/>
          </w:tcPr>
          <w:p>
            <w:pPr>
              <w:pStyle w:val="TableContents"/>
              <w:bidi w:val="0"/>
              <w:spacing w:before="0" w:after="283"/>
              <w:jc w:val="right"/>
              <w:rPr/>
            </w:pPr>
            <w:r>
              <w:rPr/>
              <w:t>793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2" w:type="dxa"/>
            <w:tcBorders/>
            <w:shd w:fill="CCEEFF" w:val="clear"/>
            <w:tcMar>
              <w:bottom w:w="0" w:type="dxa"/>
            </w:tcMar>
            <w:vAlign w:val="center"/>
          </w:tcPr>
          <w:p>
            <w:pPr>
              <w:pStyle w:val="TableContents"/>
              <w:bidi w:val="0"/>
              <w:spacing w:before="0" w:after="283"/>
              <w:jc w:val="left"/>
              <w:rPr/>
            </w:pPr>
            <w:r>
              <w:rPr/>
              <w:t> </w:t>
            </w:r>
          </w:p>
        </w:tc>
        <w:tc>
          <w:tcPr>
            <w:tcW w:w="689" w:type="dxa"/>
            <w:tcBorders/>
            <w:shd w:fill="CCEEFF" w:val="clear"/>
            <w:tcMar>
              <w:bottom w:w="0" w:type="dxa"/>
            </w:tcMar>
            <w:vAlign w:val="center"/>
          </w:tcPr>
          <w:p>
            <w:pPr>
              <w:pStyle w:val="TableContents"/>
              <w:bidi w:val="0"/>
              <w:spacing w:before="0" w:after="283"/>
              <w:jc w:val="right"/>
              <w:rPr/>
            </w:pPr>
            <w:r>
              <w:rPr/>
              <w:t>—</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4434" w:type="dxa"/>
            <w:tcBorders/>
            <w:shd w:fill="FFFFFF" w:val="clear"/>
            <w:tcMar>
              <w:bottom w:w="0" w:type="dxa"/>
            </w:tcMar>
            <w:vAlign w:val="center"/>
          </w:tcPr>
          <w:p>
            <w:pPr>
              <w:pStyle w:val="TableContents"/>
              <w:bidi w:val="0"/>
              <w:spacing w:before="0" w:after="283"/>
              <w:jc w:val="left"/>
              <w:rPr/>
            </w:pPr>
            <w:r>
              <w:rPr/>
              <w:t>Debt principal – Boot Capital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4" w:type="dxa"/>
            <w:tcBorders/>
            <w:shd w:fill="FFFFFF" w:val="clear"/>
            <w:tcMar>
              <w:bottom w:w="0" w:type="dxa"/>
            </w:tcMar>
            <w:vAlign w:val="center"/>
          </w:tcPr>
          <w:p>
            <w:pPr>
              <w:pStyle w:val="TableContents"/>
              <w:bidi w:val="0"/>
              <w:spacing w:before="0" w:after="283"/>
              <w:jc w:val="left"/>
              <w:rPr/>
            </w:pPr>
            <w:r>
              <w:rPr/>
              <w:t> </w:t>
            </w:r>
          </w:p>
        </w:tc>
        <w:tc>
          <w:tcPr>
            <w:tcW w:w="736" w:type="dxa"/>
            <w:tcBorders/>
            <w:shd w:fill="FFFFFF" w:val="clear"/>
            <w:tcMar>
              <w:bottom w:w="0" w:type="dxa"/>
            </w:tcMar>
            <w:vAlign w:val="center"/>
          </w:tcPr>
          <w:p>
            <w:pPr>
              <w:pStyle w:val="TableContents"/>
              <w:bidi w:val="0"/>
              <w:spacing w:before="0" w:after="283"/>
              <w:jc w:val="right"/>
              <w:rPr/>
            </w:pPr>
            <w:r>
              <w:rPr/>
              <w:t>115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8" w:type="dxa"/>
            <w:tcBorders/>
            <w:shd w:fill="FFFFFF" w:val="clear"/>
            <w:tcMar>
              <w:bottom w:w="0" w:type="dxa"/>
            </w:tcMar>
            <w:vAlign w:val="center"/>
          </w:tcPr>
          <w:p>
            <w:pPr>
              <w:pStyle w:val="TableContents"/>
              <w:bidi w:val="0"/>
              <w:spacing w:before="0" w:after="283"/>
              <w:jc w:val="left"/>
              <w:rPr/>
            </w:pPr>
            <w:r>
              <w:rPr/>
              <w:t> </w:t>
            </w:r>
          </w:p>
        </w:tc>
        <w:tc>
          <w:tcPr>
            <w:tcW w:w="953" w:type="dxa"/>
            <w:tcBorders/>
            <w:shd w:fill="FFFFFF" w:val="clear"/>
            <w:tcMar>
              <w:bottom w:w="0" w:type="dxa"/>
            </w:tcMar>
            <w:vAlign w:val="center"/>
          </w:tcPr>
          <w:p>
            <w:pPr>
              <w:pStyle w:val="TableContents"/>
              <w:bidi w:val="0"/>
              <w:spacing w:before="0" w:after="283"/>
              <w:jc w:val="right"/>
              <w:rPr/>
            </w:pPr>
            <w:r>
              <w:rPr/>
              <w:t>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3" w:type="dxa"/>
            <w:tcBorders/>
            <w:shd w:fill="FFFFFF" w:val="clear"/>
            <w:tcMar>
              <w:bottom w:w="0" w:type="dxa"/>
            </w:tcMar>
            <w:vAlign w:val="center"/>
          </w:tcPr>
          <w:p>
            <w:pPr>
              <w:pStyle w:val="TableContents"/>
              <w:bidi w:val="0"/>
              <w:spacing w:before="0" w:after="283"/>
              <w:jc w:val="left"/>
              <w:rPr/>
            </w:pPr>
            <w:r>
              <w:rPr/>
              <w:t> </w:t>
            </w:r>
          </w:p>
        </w:tc>
        <w:tc>
          <w:tcPr>
            <w:tcW w:w="893" w:type="dxa"/>
            <w:tcBorders/>
            <w:shd w:fill="FFFFFF" w:val="clear"/>
            <w:tcMar>
              <w:bottom w:w="0" w:type="dxa"/>
            </w:tcMar>
            <w:vAlign w:val="center"/>
          </w:tcPr>
          <w:p>
            <w:pPr>
              <w:pStyle w:val="TableContents"/>
              <w:bidi w:val="0"/>
              <w:spacing w:before="0" w:after="283"/>
              <w:jc w:val="right"/>
              <w:rPr/>
            </w:pPr>
            <w:r>
              <w:rPr/>
              <w:t>117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0" w:type="dxa"/>
            <w:tcBorders/>
            <w:shd w:fill="FFFFFF" w:val="clear"/>
            <w:tcMar>
              <w:bottom w:w="0" w:type="dxa"/>
            </w:tcMar>
            <w:vAlign w:val="center"/>
          </w:tcPr>
          <w:p>
            <w:pPr>
              <w:pStyle w:val="TableContents"/>
              <w:bidi w:val="0"/>
              <w:spacing w:before="0" w:after="283"/>
              <w:jc w:val="left"/>
              <w:rPr/>
            </w:pPr>
            <w:r>
              <w:rPr/>
              <w:t> </w:t>
            </w:r>
          </w:p>
        </w:tc>
        <w:tc>
          <w:tcPr>
            <w:tcW w:w="883" w:type="dxa"/>
            <w:tcBorders/>
            <w:shd w:fill="FFFFFF" w:val="clear"/>
            <w:tcMar>
              <w:bottom w:w="0" w:type="dxa"/>
            </w:tcMar>
            <w:vAlign w:val="center"/>
          </w:tcPr>
          <w:p>
            <w:pPr>
              <w:pStyle w:val="TableContents"/>
              <w:bidi w:val="0"/>
              <w:spacing w:before="0" w:after="283"/>
              <w:jc w:val="right"/>
              <w:rPr/>
            </w:pPr>
            <w:r>
              <w:rPr/>
              <w:t>117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2" w:type="dxa"/>
            <w:tcBorders/>
            <w:shd w:fill="FFFFFF" w:val="clear"/>
            <w:tcMar>
              <w:bottom w:w="0" w:type="dxa"/>
            </w:tcMar>
            <w:vAlign w:val="center"/>
          </w:tcPr>
          <w:p>
            <w:pPr>
              <w:pStyle w:val="TableContents"/>
              <w:bidi w:val="0"/>
              <w:spacing w:before="0" w:after="283"/>
              <w:jc w:val="left"/>
              <w:rPr/>
            </w:pPr>
            <w:r>
              <w:rPr/>
              <w:t> </w:t>
            </w:r>
          </w:p>
        </w:tc>
        <w:tc>
          <w:tcPr>
            <w:tcW w:w="689" w:type="dxa"/>
            <w:tcBorders/>
            <w:shd w:fill="FFFFFF" w:val="clear"/>
            <w:tcMar>
              <w:bottom w:w="0" w:type="dxa"/>
            </w:tcMar>
            <w:vAlign w:val="center"/>
          </w:tcPr>
          <w:p>
            <w:pPr>
              <w:pStyle w:val="TableContents"/>
              <w:bidi w:val="0"/>
              <w:spacing w:before="0" w:after="283"/>
              <w:jc w:val="right"/>
              <w:rPr/>
            </w:pPr>
            <w:r>
              <w:rPr/>
              <w:t>—</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4434" w:type="dxa"/>
            <w:tcBorders/>
            <w:shd w:fill="CCEEFF" w:val="clear"/>
            <w:tcMar>
              <w:bottom w:w="0" w:type="dxa"/>
            </w:tcMar>
            <w:vAlign w:val="center"/>
          </w:tcPr>
          <w:p>
            <w:pPr>
              <w:pStyle w:val="TableContents"/>
              <w:bidi w:val="0"/>
              <w:spacing w:before="0" w:after="283"/>
              <w:jc w:val="left"/>
              <w:rPr/>
            </w:pPr>
            <w:r>
              <w:rPr/>
              <w:t>Operating leases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4" w:type="dxa"/>
            <w:tcBorders>
              <w:bottom w:val="single" w:sz="8" w:space="0" w:color="000000"/>
            </w:tcBorders>
            <w:shd w:fill="CCEEFF" w:val="clear"/>
            <w:vAlign w:val="center"/>
          </w:tcPr>
          <w:p>
            <w:pPr>
              <w:pStyle w:val="TableContents"/>
              <w:bidi w:val="0"/>
              <w:spacing w:before="0" w:after="283"/>
              <w:jc w:val="left"/>
              <w:rPr/>
            </w:pPr>
            <w:r>
              <w:rPr/>
              <w:t> </w:t>
            </w:r>
          </w:p>
        </w:tc>
        <w:tc>
          <w:tcPr>
            <w:tcW w:w="736" w:type="dxa"/>
            <w:tcBorders>
              <w:bottom w:val="single" w:sz="8" w:space="0" w:color="000000"/>
            </w:tcBorders>
            <w:shd w:fill="CCEEFF" w:val="clear"/>
            <w:vAlign w:val="center"/>
          </w:tcPr>
          <w:p>
            <w:pPr>
              <w:pStyle w:val="TableContents"/>
              <w:bidi w:val="0"/>
              <w:spacing w:before="0" w:after="283"/>
              <w:jc w:val="right"/>
              <w:rPr/>
            </w:pPr>
            <w:r>
              <w:rPr/>
              <w:t>61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8" w:type="dxa"/>
            <w:tcBorders>
              <w:bottom w:val="single" w:sz="8" w:space="0" w:color="000000"/>
            </w:tcBorders>
            <w:shd w:fill="CCEEFF" w:val="clear"/>
            <w:vAlign w:val="center"/>
          </w:tcPr>
          <w:p>
            <w:pPr>
              <w:pStyle w:val="TableContents"/>
              <w:bidi w:val="0"/>
              <w:spacing w:before="0" w:after="283"/>
              <w:jc w:val="left"/>
              <w:rPr/>
            </w:pPr>
            <w:r>
              <w:rPr/>
              <w:t> </w:t>
            </w:r>
          </w:p>
        </w:tc>
        <w:tc>
          <w:tcPr>
            <w:tcW w:w="953" w:type="dxa"/>
            <w:tcBorders>
              <w:bottom w:val="single" w:sz="8" w:space="0" w:color="000000"/>
            </w:tcBorders>
            <w:shd w:fill="CCEEFF" w:val="cle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3" w:type="dxa"/>
            <w:tcBorders>
              <w:bottom w:val="single" w:sz="8" w:space="0" w:color="000000"/>
            </w:tcBorders>
            <w:shd w:fill="CCEEFF" w:val="clear"/>
            <w:vAlign w:val="center"/>
          </w:tcPr>
          <w:p>
            <w:pPr>
              <w:pStyle w:val="TableContents"/>
              <w:bidi w:val="0"/>
              <w:spacing w:before="0" w:after="283"/>
              <w:jc w:val="left"/>
              <w:rPr/>
            </w:pPr>
            <w:r>
              <w:rPr/>
              <w:t> </w:t>
            </w:r>
          </w:p>
        </w:tc>
        <w:tc>
          <w:tcPr>
            <w:tcW w:w="893" w:type="dxa"/>
            <w:tcBorders>
              <w:bottom w:val="single" w:sz="8" w:space="0" w:color="000000"/>
            </w:tcBorders>
            <w:shd w:fill="CCEEFF" w:val="clear"/>
            <w:vAlign w:val="center"/>
          </w:tcPr>
          <w:p>
            <w:pPr>
              <w:pStyle w:val="TableContents"/>
              <w:bidi w:val="0"/>
              <w:spacing w:before="0" w:after="283"/>
              <w:jc w:val="right"/>
              <w:rPr/>
            </w:pPr>
            <w:r>
              <w:rPr/>
              <w:t>61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0" w:type="dxa"/>
            <w:tcBorders>
              <w:bottom w:val="single" w:sz="8" w:space="0" w:color="000000"/>
            </w:tcBorders>
            <w:shd w:fill="CCEEFF" w:val="clear"/>
            <w:vAlign w:val="center"/>
          </w:tcPr>
          <w:p>
            <w:pPr>
              <w:pStyle w:val="TableContents"/>
              <w:bidi w:val="0"/>
              <w:spacing w:before="0" w:after="283"/>
              <w:jc w:val="left"/>
              <w:rPr/>
            </w:pPr>
            <w:r>
              <w:rPr/>
              <w:t> </w:t>
            </w:r>
          </w:p>
        </w:tc>
        <w:tc>
          <w:tcPr>
            <w:tcW w:w="883" w:type="dxa"/>
            <w:tcBorders>
              <w:bottom w:val="single" w:sz="8" w:space="0" w:color="000000"/>
            </w:tcBorders>
            <w:shd w:fill="CCEEFF" w:val="clear"/>
            <w:vAlign w:val="center"/>
          </w:tcPr>
          <w:p>
            <w:pPr>
              <w:pStyle w:val="TableContents"/>
              <w:bidi w:val="0"/>
              <w:spacing w:before="0" w:after="283"/>
              <w:jc w:val="right"/>
              <w:rPr/>
            </w:pPr>
            <w:r>
              <w:rPr/>
              <w:t>33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2" w:type="dxa"/>
            <w:tcBorders>
              <w:bottom w:val="single" w:sz="8" w:space="0" w:color="000000"/>
            </w:tcBorders>
            <w:shd w:fill="CCEEFF" w:val="clear"/>
            <w:vAlign w:val="center"/>
          </w:tcPr>
          <w:p>
            <w:pPr>
              <w:pStyle w:val="TableContents"/>
              <w:bidi w:val="0"/>
              <w:spacing w:before="0" w:after="283"/>
              <w:jc w:val="left"/>
              <w:rPr/>
            </w:pPr>
            <w:r>
              <w:rPr/>
              <w:t> </w:t>
            </w:r>
          </w:p>
        </w:tc>
        <w:tc>
          <w:tcPr>
            <w:tcW w:w="689" w:type="dxa"/>
            <w:tcBorders>
              <w:bottom w:val="single" w:sz="8" w:space="0" w:color="000000"/>
            </w:tcBorders>
            <w:shd w:fill="CCEEFF" w:val="clear"/>
            <w:vAlign w:val="center"/>
          </w:tcPr>
          <w:p>
            <w:pPr>
              <w:pStyle w:val="TableContents"/>
              <w:bidi w:val="0"/>
              <w:spacing w:before="0" w:after="283"/>
              <w:jc w:val="right"/>
              <w:rPr/>
            </w:pPr>
            <w:r>
              <w:rPr/>
              <w:t>28</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4434" w:type="dxa"/>
            <w:tcBorders/>
            <w:shd w:fill="FFFFFF" w:val="clear"/>
            <w:tcMar>
              <w:bottom w:w="0" w:type="dxa"/>
            </w:tcMar>
            <w:vAlign w:val="center"/>
          </w:tcPr>
          <w:p>
            <w:pPr>
              <w:pStyle w:val="TableContents"/>
              <w:bidi w:val="0"/>
              <w:spacing w:before="0" w:after="283"/>
              <w:jc w:val="left"/>
              <w:rPr/>
            </w:pPr>
            <w:r>
              <w:rPr/>
              <w:t>Total capital expenditure commitments and financing requirements at December 31, 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4" w:type="dxa"/>
            <w:tcBorders>
              <w:bottom w:val="double" w:sz="6" w:space="0" w:color="000000"/>
            </w:tcBorders>
            <w:shd w:fill="FFFFFF" w:val="clear"/>
            <w:vAlign w:val="center"/>
          </w:tcPr>
          <w:p>
            <w:pPr>
              <w:pStyle w:val="TableContents"/>
              <w:bidi w:val="0"/>
              <w:spacing w:before="0" w:after="283"/>
              <w:jc w:val="left"/>
              <w:rPr/>
            </w:pPr>
            <w:r>
              <w:rPr/>
              <w:t>$</w:t>
            </w:r>
          </w:p>
        </w:tc>
        <w:tc>
          <w:tcPr>
            <w:tcW w:w="736" w:type="dxa"/>
            <w:tcBorders>
              <w:bottom w:val="double" w:sz="6" w:space="0" w:color="000000"/>
            </w:tcBorders>
            <w:shd w:fill="FFFFFF" w:val="clear"/>
            <w:vAlign w:val="center"/>
          </w:tcPr>
          <w:p>
            <w:pPr>
              <w:pStyle w:val="TableContents"/>
              <w:bidi w:val="0"/>
              <w:spacing w:before="0" w:after="283"/>
              <w:jc w:val="right"/>
              <w:rPr/>
            </w:pPr>
            <w:r>
              <w:rPr/>
              <w:t>9,003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8" w:type="dxa"/>
            <w:tcBorders>
              <w:bottom w:val="double" w:sz="6" w:space="0" w:color="000000"/>
            </w:tcBorders>
            <w:shd w:fill="FFFFFF" w:val="clear"/>
            <w:vAlign w:val="center"/>
          </w:tcPr>
          <w:p>
            <w:pPr>
              <w:pStyle w:val="TableContents"/>
              <w:bidi w:val="0"/>
              <w:spacing w:before="0" w:after="283"/>
              <w:jc w:val="left"/>
              <w:rPr/>
            </w:pPr>
            <w:r>
              <w:rPr/>
              <w:t>$</w:t>
            </w:r>
          </w:p>
        </w:tc>
        <w:tc>
          <w:tcPr>
            <w:tcW w:w="953" w:type="dxa"/>
            <w:tcBorders>
              <w:bottom w:val="double" w:sz="6" w:space="0" w:color="000000"/>
            </w:tcBorders>
            <w:shd w:fill="FFFFFF" w:val="clear"/>
            <w:vAlign w:val="center"/>
          </w:tcPr>
          <w:p>
            <w:pPr>
              <w:pStyle w:val="TableContents"/>
              <w:bidi w:val="0"/>
              <w:spacing w:before="0" w:after="283"/>
              <w:jc w:val="right"/>
              <w:rPr/>
            </w:pPr>
            <w:r>
              <w:rPr/>
              <w:t>1,836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3" w:type="dxa"/>
            <w:tcBorders>
              <w:bottom w:val="double" w:sz="6" w:space="0" w:color="000000"/>
            </w:tcBorders>
            <w:shd w:fill="FFFFFF" w:val="clear"/>
            <w:vAlign w:val="center"/>
          </w:tcPr>
          <w:p>
            <w:pPr>
              <w:pStyle w:val="TableContents"/>
              <w:bidi w:val="0"/>
              <w:spacing w:before="0" w:after="283"/>
              <w:jc w:val="left"/>
              <w:rPr/>
            </w:pPr>
            <w:r>
              <w:rPr/>
              <w:t>$</w:t>
            </w:r>
          </w:p>
        </w:tc>
        <w:tc>
          <w:tcPr>
            <w:tcW w:w="893" w:type="dxa"/>
            <w:tcBorders>
              <w:bottom w:val="double" w:sz="6" w:space="0" w:color="000000"/>
            </w:tcBorders>
            <w:shd w:fill="FFFFFF" w:val="clear"/>
            <w:vAlign w:val="center"/>
          </w:tcPr>
          <w:p>
            <w:pPr>
              <w:pStyle w:val="TableContents"/>
              <w:bidi w:val="0"/>
              <w:spacing w:before="0" w:after="283"/>
              <w:jc w:val="right"/>
              <w:rPr/>
            </w:pPr>
            <w:r>
              <w:rPr/>
              <w:t>10,839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0" w:type="dxa"/>
            <w:tcBorders>
              <w:bottom w:val="double" w:sz="6" w:space="0" w:color="000000"/>
            </w:tcBorders>
            <w:shd w:fill="FFFFFF" w:val="clear"/>
            <w:vAlign w:val="center"/>
          </w:tcPr>
          <w:p>
            <w:pPr>
              <w:pStyle w:val="TableContents"/>
              <w:bidi w:val="0"/>
              <w:spacing w:before="0" w:after="283"/>
              <w:jc w:val="left"/>
              <w:rPr/>
            </w:pPr>
            <w:r>
              <w:rPr/>
              <w:t>$</w:t>
            </w:r>
          </w:p>
        </w:tc>
        <w:tc>
          <w:tcPr>
            <w:tcW w:w="883" w:type="dxa"/>
            <w:tcBorders>
              <w:bottom w:val="double" w:sz="6" w:space="0" w:color="000000"/>
            </w:tcBorders>
            <w:shd w:fill="FFFFFF" w:val="clear"/>
            <w:vAlign w:val="center"/>
          </w:tcPr>
          <w:p>
            <w:pPr>
              <w:pStyle w:val="TableContents"/>
              <w:bidi w:val="0"/>
              <w:spacing w:before="0" w:after="283"/>
              <w:jc w:val="right"/>
              <w:rPr/>
            </w:pPr>
            <w:r>
              <w:rPr/>
              <w:t>5,888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2" w:type="dxa"/>
            <w:tcBorders>
              <w:bottom w:val="double" w:sz="6" w:space="0" w:color="000000"/>
            </w:tcBorders>
            <w:shd w:fill="FFFFFF" w:val="clear"/>
            <w:vAlign w:val="center"/>
          </w:tcPr>
          <w:p>
            <w:pPr>
              <w:pStyle w:val="TableContents"/>
              <w:bidi w:val="0"/>
              <w:spacing w:before="0" w:after="283"/>
              <w:jc w:val="left"/>
              <w:rPr/>
            </w:pPr>
            <w:r>
              <w:rPr/>
              <w:t>$</w:t>
            </w:r>
          </w:p>
        </w:tc>
        <w:tc>
          <w:tcPr>
            <w:tcW w:w="689" w:type="dxa"/>
            <w:tcBorders>
              <w:bottom w:val="double" w:sz="6" w:space="0" w:color="000000"/>
            </w:tcBorders>
            <w:shd w:fill="FFFFFF" w:val="clear"/>
            <w:vAlign w:val="center"/>
          </w:tcPr>
          <w:p>
            <w:pPr>
              <w:pStyle w:val="TableContents"/>
              <w:bidi w:val="0"/>
              <w:spacing w:before="0" w:after="283"/>
              <w:jc w:val="right"/>
              <w:rPr/>
            </w:pPr>
            <w:r>
              <w:rPr/>
              <w:t>4,951</w:t>
            </w:r>
          </w:p>
        </w:tc>
        <w:tc>
          <w:tcPr>
            <w:tcW w:w="8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Deferred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subscription-based SaaS company, we frequently bill customers in advance for access to our platform for a specified subscription term. Amounts invoiced or collected in advance are recorded as deferred revenue, which represents a contract liability where we have performance obligations to provide access to the platform and customer support over the remaining subscription term. As we satisfy the related performance obligations over time, deferred revenue is reduced and we recognized revenue.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Operating Lease</w:t>
      </w:r>
    </w:p>
    <w:p>
      <w:pPr>
        <w:pStyle w:val="TextBody"/>
        <w:bidi w:val="0"/>
        <w:spacing w:before="0" w:after="0"/>
        <w:ind w:left="432"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an operating lease for office space. The lease term expires in October 2027. The lease liability balance as of December 31, 2025 represents the future minimum lease payments under non-cancellable leases as liabilities.</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Off-Balance Sheet Arrangements</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Banzai had no off-balance sheet arrangements as of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Nasdaq Listing Compliance </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more fully described in “</w:t>
      </w:r>
      <w:r>
        <w:rPr>
          <w:rFonts w:ascii="Times New Roman;Times;Serif" w:hAnsi="Times New Roman;Times;Serif"/>
          <w:b w:val="false"/>
          <w:i/>
          <w:caps w:val="false"/>
          <w:smallCaps w:val="false"/>
          <w:sz w:val="20"/>
        </w:rPr>
        <w:t>Item 1. Business”</w:t>
      </w:r>
      <w:r>
        <w:rPr>
          <w:rFonts w:ascii="Times New Roman;Times;Serif" w:hAnsi="Times New Roman;Times;Serif"/>
          <w:b w:val="false"/>
          <w:i w:val="false"/>
          <w:caps w:val="false"/>
          <w:smallCaps w:val="false"/>
          <w:sz w:val="20"/>
        </w:rPr>
        <w:t xml:space="preserve"> above, we effected the September Stock Split during 2024 and the July Stock Split during 2025, which were 1-for-50 and 1-for-10, respectively, in order to regain compliance with Nasdaq Rules. In addition, as previously disclosed, due to prior noncompliance with certain Nasdaq Rules, we had a hearing before the Nasdaq Panel during 2024, after which, our Class A Common Stock was phased down from the Nasdaq Global Market to the Nasdaq Capital Market. We received additional letters from Nasdaq regarding noncompliance with certain Nasdaq Rules, and were subsequently notified by Nasdaq during 2024 and 2025 that we have regained compliance with all Nasdaq Rules and therefore our securities remain listed on The Nasdaq Capital Market. However, there can be no assurance that we will be able to maintain compliance with Nasdaq listing standards.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9" w:name="sd_001"/>
      <w:bookmarkEnd w:id="9"/>
      <w:r>
        <w:rPr>
          <w:rFonts w:ascii="Times New Roman;Times;Serif" w:hAnsi="Times New Roman;Times;Serif"/>
          <w:b/>
          <w:i w:val="false"/>
          <w:caps w:val="false"/>
          <w:smallCaps w:val="false"/>
          <w:sz w:val="20"/>
        </w:rPr>
        <w:t>BUSINESS</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Banzai International, Inc. is a Software as a Service (“SaaS”) company operating in the marketing technology (“MarTech”) industry. We provide our customers with tools to help them market and sell with greater efficiency and impact. To date, Banzai has supported over 150,000 global customers, including entrepreneurs and Fortune 500 companies. Our customers include Amazon, Dell, Salesforce, Aflac, Thermo Fisher Scientific, RBC Wealth Management, Fitch Group, and many other globally recognized brands.</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Banzai grows in three ways: acquiring new customers through our sales and marketing efforts, expanding our platform through the development and acquisition of MarTech products, and cross-selling additional solutions to our existing customers. When evaluating acquisitions, we look for profitable businesses with customer profiles that align with our values and growth strategy. When considering additional products to purchase and offer, we look at customer satisfaction levels because we believe that is a good indicator of a product’s trajectory.</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vision is to build a suite of mission-critical solutions that address a broad spectrum of customer needs. By integrating these tools, we aim to create efficiencies and unlock shared data and assets that power more advanced AI capabilities. In December 2024 we acquired ClearDoc, Inc. (d/b/a OpenReel “OpenReel”), in January 2025 we acquired Vidello Limited (“Vidello”), and in November 2025 we acquired the assets of Superblocks, in order to expand our product offerings and customer base. Our </w:t>
      </w:r>
      <w:r>
        <w:rPr>
          <w:rFonts w:ascii="Times New Roman;Times;Serif" w:hAnsi="Times New Roman;Times;Serif"/>
          <w:b w:val="false"/>
          <w:i w:val="false"/>
          <w:caps w:val="false"/>
          <w:smallCaps w:val="false"/>
          <w:sz w:val="20"/>
          <w:shd w:fill="FFFFFF" w:val="clear"/>
        </w:rPr>
        <w:t xml:space="preserve">platform currently includes several products, ranging across demand generation, webinar hosting, video creation and email newsletters.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sell most of our products using a recurring subscription license model typical in SaaS businesses, with customer contracts that vary in term length from single months to multiple years. As of December 31, 2025, our customer base included customers operating in 90 countries, across numerous different industries, including healthcare, financial services, e-commerce, technology, media and others. No single customer represents more than 10% of our revenue. </w:t>
      </w:r>
      <w:r>
        <w:rPr>
          <w:rFonts w:ascii="Times New Roman;Times;Serif" w:hAnsi="Times New Roman;Times;Serif"/>
          <w:b w:val="false"/>
          <w:i w:val="false"/>
          <w:caps w:val="false"/>
          <w:smallCaps w:val="false"/>
          <w:sz w:val="20"/>
          <w:shd w:fill="FFFFFF" w:val="clear"/>
        </w:rPr>
        <w:t>Since 2021, we have focused on increasing mid-market and enterprise customers f</w:t>
      </w:r>
      <w:r>
        <w:rPr>
          <w:rFonts w:ascii="Times New Roman;Times;Serif" w:hAnsi="Times New Roman;Times;Serif"/>
          <w:b w:val="false"/>
          <w:i w:val="false"/>
          <w:caps w:val="false"/>
          <w:smallCaps w:val="false"/>
          <w:sz w:val="20"/>
        </w:rPr>
        <w:t>or Demio.</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were originally known as 7GC &amp; Co. Holdings Inc (“7GC”). On December 14, 2023, Banzai International, Inc. became a publicly traded company as a result of completing the business combination, recapitalization and other transactions with Banzai Operating Co LLC (f/k/a Banzai International, Inc.) (“Legacy Banzai”), and 7GC (collectively, the “Business Combination”). Legacy Banzai operates under the name “Banzai Operating Co Inc.” (the “Operating Company”) and is one of our three wholly owned subsidiaries. Legacy Banzai was incorporated in Delaware in September 2015.</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Transaction Announcement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23, 2026, the Company announced that it reached an agreement on terms to acquire assets of ConnectAndSell, Inc. (“ConnectandSell”), an AI-powered sales enablement platform serving B2B organizations across financial services, healthcare, technology, and other industries. The acquisition is expected to increase Banzai’s annual revenue. The two companies have executed a non-binding letter of intent. As the parties continue to negotiate material terms of the transaction, management currently anticipates that the transaction will close in the second half of fiscal 2026. However, since the transaction is also subject to execution of a definitive agreement and closing conditions, we cannot accurately estimate the actual closing date at this time. There can be no assurance that we will be able to complete this acquisition.</w:t>
      </w:r>
    </w:p>
    <w:p>
      <w:pPr>
        <w:pStyle w:val="TextBody"/>
        <w:bidi w:val="0"/>
        <w:spacing w:before="0" w:after="0"/>
        <w:ind w:left="0" w:right="0" w:firstLine="432"/>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Industry Background and Trends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MarTech industry has undergone rapid growth and transformation in recent years. Per the Winterberry Report (as defined below), rising demand for MarTech solutions is linked to companies prioritizing efficient growth, —a trend we expect to accelerate amid increasing global competition and pressure to demonstrate profitability.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MarTech landscape is vast and rapidly evolving, with multiple vendors offering solutions across a broad spectrum of needs. According to the 2024 Marketing Technology Landscape report by ChiefMartec, the number of MarTech companies has grown by 27.8% year over year, reaching over 14,000 providers. This fragmented ecosystem presents a significant opportunity for acquisitions and platform expansion. This competitive landscape is a reason why Banzai focuses on differentiating itself through exceptional products and customer service.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 Size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compete within the business-to-business (“B2B”) MarTech value chain, which encompasses functions including creating and distributing content, acquiring and nurturing leads, executing and optimizing campaigns, and managing and measuring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2023, we engaged Verista Partners Inc., also known as Winterberry Group (“Winterberry”), to conduct a comprehensive analysis of our market opportunity within the MarTech sector. On April 14, 2023, Winterberry delivered a Strategic Due Diligence Assessment Report (the “Winterberry Report”) outlining our Total Addressable Market (“TAM”) and Serviceable Addressable Market (“SAM”). The TAM, defined as U.S. business-to-business (“B2B”) spending across categories such as demand generation, marketing automation, digital events platforms, account-based marketing, customer resource management, engagement, content management systems, customer data platforms, measurement and attribution, and predictive and prescriptive analytics, is projected to reach $39.42 billion by 2026, reflecting a compound annual growth rate (“CAGR”) of 11.80% from 2020 to 2026. The SAM, which includes U.S. B2B spending specifically on measurement and attribution, demand generation, and digital events platforms, is expected to reach $8.37 billion by 2026, representing a CAGR of 16.07% over the same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calculate our estimated SAM and TAM, Winterberry started with the B2B MarTech stack from acquiring and nurturing leads to executing and optimizing campaigns to managing and measuring content, data and performance. Within that value chain, Winterberry identified which components were core to the Banzai business as of the date of the Winterberry Report (i.e., measurement and attribution, demand generation, and digital events platforms) and which would be natural adjacencies and future offerings (i.e., demand generation, marketing automation, digital events platforms, account-based marketing, customer relationship management, engagement, content management systems, customer data platforms, measurement and attribution, and predictive and prescriptive analytics). The identified core components make up our SAM, and both core components and adjacent and future offerings are included in our TAM. Winterberry then sized each component individually utilizing a range of sources estimating market spending and forecasted growth rates, including Winterberry proprietary models, as well as various other market research company products and forecasts. Depending on the estimate and whether it was global or included in B2B use cases, Winterberry utilized assumptions that 25% of spend is B2B and 33% of global spend is U.S.-specific.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models provided by Winterberry were based on economic forecasts from government and private sector analysts as well as third-party media forecasts primarily provided by marketing agencies, governing bodies and associations, trade publications, and research analysts, all of which are subject to change. There are uncertainties inherent in attempting to make such projections and forecasts, and we encourage our stockholders and investors to perform their own investigation and carefully consider such uncertainties.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Products and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our platform offers several SaaS products including: OpenReel, CreateStudio, Vidello, Demio, Boost, Reach and Curate.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OpenReel</w:t>
      </w:r>
    </w:p>
    <w:p>
      <w:pPr>
        <w:pStyle w:val="TextBody"/>
        <w:bidi w:val="0"/>
        <w:spacing w:before="0" w:after="0"/>
        <w:ind w:left="432"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OpenReel is an AI-powered video creation platform that enables users to remotely record, edit, host, and share high-quality videos from any location. Its remote capture feature allows users to film professional-grade videos using devices like smartphones or webcams, without needing to be there in person. The platform offers AI-driven editing tools for seamless content refinement and customization, along with secure cloud storage for easy access and sharing. OpenReel’s comprehensive solution streamlines the video production process, making it efficient and cost-effective for businesses and individuals.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CreateStudio</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CreateStudio is a comprehensive video animation and editing software designed for both beginners and experienced creators. It offers an intuitive drag-and-drop interface that allows users to produce a variety of content, including 3D character animations, explainer videos, social media ads, and doodle sketches. The platform provides a rich library of customizable templates, animated characters, royalty-free assets, and special effects, enabling the creation of professional-quality videos without the need for advanced technical skills. Notable features include 3D modeling, AI-powered text-to-speech, green screen editing, and dynamic camera movements. CreateStudio is compatible with both Mac and Windows operating systems.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Vidello</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Vidello is a comprehensive video hosting and marketing platform designed to help businesses manage, customize, and optimize their video content. It offers a customizable, fast-loading video player, along with features like A/B split testing, dynamic variables, and automatic video SEO to enhance user engagement and conversion rates. Vidello also provides tools such as lower third animations, clickable links, buy buttons, email opt-in forms, and interactive video polls, enabling users to generate leads and drive sales directly within their videos. The platform supports seamless integration with various email autoresponders and is compatible with multiple website builders and membership platforms.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Demio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Demio is a browser-based webinar platform designed to help businesses create, host, and manage both live and automated webinars for thousands of attendees with ease. Its intuitive interface simplifies webinar setup, allowing users to customize registration pages, apply branding, and automate email reminders. Demio offers robust engagement tools—including real-time chat, polls, Q&amp;A sessions, screen sharing, and multimedia presentations—enabling a highly interactive and professional experience. Businesses can host live sessions or schedule automated webinars to reach audiences at scale. A standout feature of this product is the Demio AI Moderator, which manages audience engagement in real time, answers key questions and ensures a smoother experience for attendees.</w:t>
      </w:r>
    </w:p>
    <w:p>
      <w:pPr>
        <w:pStyle w:val="TextBody"/>
        <w:bidi w:val="0"/>
        <w:spacing w:before="0" w:after="0"/>
        <w:ind w:left="432"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its core webinar functionality, Demio supports lead generation and marketing integration. It connects with CRM and marketing automation platforms, helping users streamline campaign workflows and improve follow-up. Customizable registration forms, in-webinar CTAs, and detailed analytics allow users to track attendee behavior, measure performance, and optimize webinar strategies. With the addition of AI-powered moderation and automation tools, Demio empowers businesses to deliver engaging, scalable webinars that drive lead capture, audience engagement, and sales conversion.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Boost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Boost is an add-on product integrated with Demio that helps customers increase webinar attendance by turning existing registrants into advocates. It enables attendees to share event registration links across platforms like LinkedIn, Facebook, Twitter, and email, with built-in incentives to encourage referrals. Boost automates email notifications, provides customizable share pages, tracks link performance, and supports reward-based campaigns—all designed to simplify social sharing and drive additional signups. Its seamless integration with Demio ensures a smooth experience, helping customers amplify reach and grow webinar participation through word-of-mouth promotion.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Reach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Reach is a targeted outreach tool that helps customers boost their demand generation campaigns by connecting directly with their ideal audience. Reach generates tailored contact lists based on criteria like region, job title, company size, and revenue. It provides personalized outreach, confirmations and reminders to increase results across fourteen different campaign types including event attendance, newsletter subscriptions and opt-ins. Reach also supports privacy compliance with customizable opt-in language and allows users to include or exclude specific accounts for account-based marketing (ABM) strategies. With built-in list scrubbing to ensure high email deliverability, Reach enables customers to engage high-value leads they may not otherwise reach.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Curate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Curate by Banzai is an AI-driven newsletter platform designed to help brands grow their audience through fully automated targeted newsletters. By selecting relevant news feeds and topics, Curate automatically generates and sends engaging, branded newsletters on a daily or weekly basis, saving users significant time on content creation. The platform ensures seamless integration of a brand’s voice, colors, and logo, delivering a cohesive look that resonates with the target audience. Additionally, Curate actively promotes newsletters to the ideal audience, facilitating consistent subscriber growth.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Product Roadmap and Enhancements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Improving our family of products is how we create more value for our customers and our product roadmap is an essential part of delivering on our vision of improving the value of customer interactions for companies throughout the world. The role of product management at Banzai is to identify and prioritize underserved and unmet customer and market needs and to use our deep technology experience to create products and features based on data and AI to increase customer value.</w:t>
      </w:r>
    </w:p>
    <w:p>
      <w:pPr>
        <w:pStyle w:val="TextBody"/>
        <w:bidi w:val="0"/>
        <w:spacing w:before="0" w:after="0"/>
        <w:ind w:left="0" w:right="0" w:firstLine="432"/>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 unique management framework at Banzai that we feel is a core part of our success. We use this framework to align our cross-functional objectives around a set of strategies that we update as the needs of our business change. We use these strategies to create alignment for our engineering, sales, and marketing teams. This helps us to work cohesively towards shared goals, maximizing the efficiency and effectiveness of our efforts.</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prioritizing our customers in both product development and acquisitions, we demonstrate a commitment to addressing the evolving needs and expectations of the markets we serve. This customer-centric approach helps us maintain a competitive edge, as we continuously adapt our products and services to stay relevant</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By identifying opportunities for new features, enhancements, and market segments, we can strategically plan and execute our growth initiatives, supporting our long-term sustainability and success.</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 Expansion is key to our long-term vision. We believe our strategies support increasing the average amount of revenue we earn per customer per year through development of features that are correlated with usage by higher value customers. We also develop add-on features and products that can be sold to our existing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Research and Development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product-led company, we attain and maintain our competitive advantage through our investment in our products. Maintenance of existing products and development of new products are both essential to our long-term success. Therefore, our management team feels that significant investment in technology is required in the future. We plan to utilize a combination of in-house employees and development partners to maintain and improve our technology.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Growth Strategies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growth strategy is to expand our platform to make it more valuable to customers and find new ways to enhance a wider range of MarTech interactions. The key elements of our growth strategy are:</w:t>
      </w:r>
    </w:p>
    <w:p>
      <w:pPr>
        <w:pStyle w:val="TextBody"/>
        <w:bidi w:val="0"/>
        <w:spacing w:before="0" w:after="0"/>
        <w:ind w:left="0" w:right="0" w:firstLine="432"/>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8"/>
        <w:gridCol w:w="9982"/>
      </w:tblGrid>
      <w:tr>
        <w:trPr/>
        <w:tc>
          <w:tcPr>
            <w:tcW w:w="75"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99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Cost Efficient Customer Acquisition</w:t>
            </w:r>
            <w:r>
              <w:rPr>
                <w:rFonts w:ascii="Times New Roman;Times;Serif" w:hAnsi="Times New Roman;Times;Serif"/>
                <w:b w:val="false"/>
                <w:i w:val="false"/>
                <w:caps w:val="false"/>
                <w:smallCaps w:val="false"/>
                <w:sz w:val="20"/>
              </w:rPr>
              <w:t>: Continue to acquire new customers cost effectively through organic traffic, content, affiliates, social media, partnerships, advertising, word-of-mouth, and other sources.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8" w:type="dxa"/>
            <w:tcBorders/>
            <w:vAlign w:val="center"/>
          </w:tcPr>
          <w:p>
            <w:pPr>
              <w:pStyle w:val="TableContents"/>
              <w:bidi w:val="0"/>
              <w:spacing w:before="0" w:after="283"/>
              <w:jc w:val="left"/>
              <w:rPr>
                <w:caps w:val="false"/>
                <w:smallCaps w:val="false"/>
              </w:rPr>
            </w:pPr>
            <w:r>
              <w:rPr>
                <w:caps w:val="false"/>
                <w:smallCaps w:val="false"/>
              </w:rPr>
              <w:t> </w:t>
            </w:r>
          </w:p>
        </w:tc>
        <w:tc>
          <w:tcPr>
            <w:tcW w:w="998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99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Customer Retention and Expansion</w:t>
            </w:r>
            <w:r>
              <w:rPr>
                <w:rFonts w:ascii="Times New Roman;Times;Serif" w:hAnsi="Times New Roman;Times;Serif"/>
                <w:b w:val="false"/>
                <w:i w:val="false"/>
                <w:caps w:val="false"/>
                <w:smallCaps w:val="false"/>
                <w:sz w:val="20"/>
              </w:rPr>
              <w:t>: Continue to expand our customer success and customer marketing organizations to increase customer retention and customer expansion.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8" w:type="dxa"/>
            <w:tcBorders/>
            <w:vAlign w:val="center"/>
          </w:tcPr>
          <w:p>
            <w:pPr>
              <w:pStyle w:val="TableContents"/>
              <w:bidi w:val="0"/>
              <w:spacing w:before="0" w:after="283"/>
              <w:jc w:val="left"/>
              <w:rPr>
                <w:caps w:val="false"/>
                <w:smallCaps w:val="false"/>
              </w:rPr>
            </w:pPr>
            <w:r>
              <w:rPr>
                <w:caps w:val="false"/>
                <w:smallCaps w:val="false"/>
              </w:rPr>
              <w:t> </w:t>
            </w:r>
          </w:p>
        </w:tc>
        <w:tc>
          <w:tcPr>
            <w:tcW w:w="998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w:t>
            </w:r>
          </w:p>
        </w:tc>
        <w:tc>
          <w:tcPr>
            <w:tcW w:w="99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Implement Product Improvements</w:t>
            </w:r>
            <w:r>
              <w:rPr>
                <w:rFonts w:ascii="Times New Roman;Times;Serif" w:hAnsi="Times New Roman;Times;Serif"/>
                <w:b w:val="false"/>
                <w:i w:val="false"/>
                <w:caps w:val="false"/>
                <w:smallCaps w:val="false"/>
                <w:sz w:val="20"/>
              </w:rPr>
              <w:t>: Continue to develop our family of products to create defensibly differentiated solutions that are essential to customers.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8" w:type="dxa"/>
            <w:tcBorders/>
            <w:vAlign w:val="center"/>
          </w:tcPr>
          <w:p>
            <w:pPr>
              <w:pStyle w:val="TableContents"/>
              <w:bidi w:val="0"/>
              <w:spacing w:before="0" w:after="283"/>
              <w:jc w:val="left"/>
              <w:rPr>
                <w:caps w:val="false"/>
                <w:smallCaps w:val="false"/>
              </w:rPr>
            </w:pPr>
            <w:r>
              <w:rPr>
                <w:caps w:val="false"/>
                <w:smallCaps w:val="false"/>
              </w:rPr>
              <w:t> </w:t>
            </w:r>
          </w:p>
        </w:tc>
        <w:tc>
          <w:tcPr>
            <w:tcW w:w="998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w:t>
            </w:r>
          </w:p>
        </w:tc>
        <w:tc>
          <w:tcPr>
            <w:tcW w:w="99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Introduce New Products</w:t>
            </w:r>
            <w:r>
              <w:rPr>
                <w:rFonts w:ascii="Times New Roman;Times;Serif" w:hAnsi="Times New Roman;Times;Serif"/>
                <w:b w:val="false"/>
                <w:i w:val="false"/>
                <w:caps w:val="false"/>
                <w:smallCaps w:val="false"/>
                <w:sz w:val="20"/>
              </w:rPr>
              <w:t>: Roll out new products that attract new customers and expand the ways we can serve existing customers.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8" w:type="dxa"/>
            <w:tcBorders/>
            <w:vAlign w:val="center"/>
          </w:tcPr>
          <w:p>
            <w:pPr>
              <w:pStyle w:val="TableContents"/>
              <w:bidi w:val="0"/>
              <w:spacing w:before="0" w:after="283"/>
              <w:jc w:val="left"/>
              <w:rPr>
                <w:caps w:val="false"/>
                <w:smallCaps w:val="false"/>
              </w:rPr>
            </w:pPr>
            <w:r>
              <w:rPr>
                <w:caps w:val="false"/>
                <w:smallCaps w:val="false"/>
              </w:rPr>
              <w:t> </w:t>
            </w:r>
          </w:p>
        </w:tc>
        <w:tc>
          <w:tcPr>
            <w:tcW w:w="998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w:t>
            </w:r>
          </w:p>
        </w:tc>
        <w:tc>
          <w:tcPr>
            <w:tcW w:w="99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Acquisition Strategy: </w:t>
            </w:r>
            <w:r>
              <w:rPr>
                <w:rFonts w:ascii="Times New Roman;Times;Serif" w:hAnsi="Times New Roman;Times;Serif"/>
                <w:b w:val="false"/>
                <w:i w:val="false"/>
                <w:caps w:val="false"/>
                <w:smallCaps w:val="false"/>
                <w:sz w:val="20"/>
              </w:rPr>
              <w:t>Continue to look for future acquisition opportunities prioritizing companies that are profitable and have highly-rated solutions with customer bases that align with Banzai’s existing customer base.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 acquisitions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Superblocks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7, 2025, we acquired the assets of Superblocks, a privately-held Agentic AI platform for developing and hosting launch-ready SEO-optimized websites. The Superblocks platform allows marketers to easily create and host websites, landing pages, and simple web applications using conversational AI.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Vidello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31, 2025, we acquired Vidello, a private limited company registered in England and Wales. Vidello provides a suite of products for 3D video creation, royalty free music, and video marketing. Vidello offers a comprehensive video hosting and marketing suite that provides entrepreneurs, startups, agencies, and online businesses with tools to grow their businesses. At the acquisition date, Vidello had over 90,000 customers, and their flagship CreateStudio product has been named a Top 3 Best Rated product in the video maker category by Capterra, and a High Performer by G2.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OpenReel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18, 2024, we acquired OpenReel, a leading enterprise video creation and management solution that empowers companies to create high-quality content at scale and on brand. OpenReel enables businesses of all sizes to cut down on the time-and resource-intensive process of video creation and scale content creation initiatives efficiently, effectively, and securely. OpenReel is trusted by a wide range of customers from small businesses to the Fortune 500. OpenReel is based in New York, with its team distributed worldwide. OpenReel’s enterprise customer base includes global organizations, such as Bristol Myers Squibb, Ingram Micro, DXC Technology, Insider Inc., and US Steel.</w:t>
      </w:r>
    </w:p>
    <w:p>
      <w:pPr>
        <w:pStyle w:val="TextBody"/>
        <w:bidi w:val="0"/>
        <w:spacing w:before="0" w:after="0"/>
        <w:ind w:left="0" w:right="0" w:firstLine="432"/>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acquisitions are a key part of our vision to build a comprehensive suite of AI-powered marketing tools that make marketers’ lives faster and easier.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Sales and Marketing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primary focus is on increasing mid-market and enterprise customers. Progress towards this is reflected in our acquisition of OpenReel, adding 650 customers to the overall Banzai customer base, as well as our increase in multi-host Demio customers from 14 to over 240 between January 2021 and December 31, 2025, an approximately seventeen-fold increase.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product-led growth company, we utilize a hybrid self-service and direct sales go-to-market approach. Our self-service customers subscribe to or purchase directly from our product websites or start free product trials which can lead to a paid subscription or purchase. Our direct sales customers subscribe or purchase through sales representatives, who are compensated with a base salary and commission plans.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Trials, customers, and leads come from organic website visitors, affiliates and partners, and visitors from paid ads such as Google ads. We also utilize partner marketing, account-based marketing, lead generation programs, webinars, and other direct and indirect marketing activities to reach our target audience and acquire leads and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sell most of our products using a recurring subscription license model typical in SaaS businesses. Pricing is based on the number of users, desired feature sets, and product capabilities. Our customer contracts vary in term length from single months to multiple years. Our customers often purchase additional services to supplement their initial subscriptions by including additional licenses or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Competition, Strengths, and Differentiation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compete across a variety of categories within the B2B MarTech landscape including digital events and webinars, demand generation, video creation, engagement platforms and marketing automation, and measurement and attribution.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our strengths are our recognizable brand, and the brands of our products, our existing customers, which can be cross-sold additional products, and our operational competency in customer success, which allows us to more effectively leverage our customer base to drive expansion.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seek to differentiate ourselves from the crowded MarTech market through data, either as a primary value proposition or an enabling feature, integrations between our products which already exist and are being developed, and AI and machine learning to deliver new capabilities or improved performance for our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Intellectual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establish and protect our proprietary rights, we rely on a combination of trademarks and trade secrets, including know-how, license agreements, confidentiality procedures, non-disclosure agreements with third parties, employee disclosure and invention assignment agreements, and other contractual rights. As of December 31, 2025, we held three registered trademarks in the United States: “Banzai,” “Demio,” and “OpenReel.” For more information regarding risks related to our intellectual property, please see “</w:t>
      </w:r>
      <w:r>
        <w:rPr>
          <w:rFonts w:ascii="Times New Roman;Times;Serif" w:hAnsi="Times New Roman;Times;Serif"/>
          <w:b w:val="false"/>
          <w:i/>
          <w:caps w:val="false"/>
          <w:smallCaps w:val="false"/>
          <w:sz w:val="20"/>
        </w:rPr>
        <w:t>Risk Factors – Risks Related to Business and Industry – Failure to protect or enforce our intellectual property rights could harm our business and results of operations” and “Risk Factors – Risks Related to Business and Industry – Third parties may initiate legal proceedings alleging that we are infringing or otherwise violating their intellectual property rights, the outcome of which would be uncertain and could harm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Government Regulation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federal, state, and foreign legal requirements on matters customary to the SaaS and MarTech industries such as data privacy and protection, employment and labor relations, immigration, taxation, anti-corruption, import/export controls, trade restrictions, internal and disclosure control obligations, securities regulation, and anti-competition considerations.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Regarding privacy and communications, we are subject to the following regulatory standards and laws: the GDPR, CCPA, Telephone Consumer Protection Act (TCPA), Canada’s Anti-Spam Legislation (CASL), the Controlling the Assault of Non-Solicited Pornography and Marketing Act of 2003 (CAN-SPAM), and others that may apply in the various regions in which we operate.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Violations of one or more of these diverse legal requirements in the conduct of our business could result in significant fines and other damages, criminal sanctions against us or our officers, prohibitions on doing business and damage to our reputation. Violations of these regulations or contractual obligations related to regulatory compliance in connection with the performance of customer contracts could also result in liability for significant monetary damages, fines and/or criminal prosecution, unfavorable publicity and other damage to our reputation, restrictions on our ability to compete for certain work and allegations by our customers that we have not performed our contractual obligations. To date, we have not experienced material fines or penalties related to these regulations.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Employees and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we had 33 full-time employees, 1 part-time employee, and 57 contractors.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culture is unique and an important contributor to our success. Our culture allows us to scale our business by attracting and retaining great people who are aligned to our values. Having shared values enables our team members to make independent decisions, encourages accountability, and fosters collaboration. Our culture is defined by four core values:</w:t>
      </w:r>
    </w:p>
    <w:p>
      <w:pPr>
        <w:pStyle w:val="TextBody"/>
        <w:bidi w:val="0"/>
        <w:spacing w:before="0" w:after="0"/>
        <w:ind w:left="0" w:right="0" w:firstLine="432"/>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9"/>
        <w:gridCol w:w="9991"/>
      </w:tblGrid>
      <w:tr>
        <w:trPr/>
        <w:tc>
          <w:tcPr>
            <w:tcW w:w="75"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99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Learning. </w:t>
            </w:r>
            <w:r>
              <w:rPr>
                <w:rFonts w:ascii="Times New Roman;Times;Serif" w:hAnsi="Times New Roman;Times;Serif"/>
                <w:b w:val="false"/>
                <w:i w:val="false"/>
                <w:caps w:val="false"/>
                <w:smallCaps w:val="false"/>
                <w:sz w:val="20"/>
              </w:rPr>
              <w:t>Technology and marketing are constantly changing. We value learning because adaptation is essential to delivering the best solutions for our customers. Our team members are open-minded, critical-thinkers who are willing to disagree, try new things, and change their minds when warranted.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9" w:type="dxa"/>
            <w:tcBorders/>
            <w:vAlign w:val="center"/>
          </w:tcPr>
          <w:p>
            <w:pPr>
              <w:pStyle w:val="TableContents"/>
              <w:bidi w:val="0"/>
              <w:spacing w:before="0" w:after="283"/>
              <w:jc w:val="left"/>
              <w:rPr>
                <w:caps w:val="false"/>
                <w:smallCaps w:val="false"/>
              </w:rPr>
            </w:pPr>
            <w:r>
              <w:rPr>
                <w:caps w:val="false"/>
                <w:smallCaps w:val="false"/>
              </w:rPr>
              <w:t> </w:t>
            </w:r>
          </w:p>
        </w:tc>
        <w:tc>
          <w:tcPr>
            <w:tcW w:w="999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99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Serving Others.</w:t>
            </w:r>
            <w:r>
              <w:rPr>
                <w:rFonts w:ascii="Times New Roman;Times;Serif" w:hAnsi="Times New Roman;Times;Serif"/>
                <w:b w:val="false"/>
                <w:i w:val="false"/>
                <w:caps w:val="false"/>
                <w:smallCaps w:val="false"/>
                <w:sz w:val="20"/>
              </w:rPr>
              <w:t xml:space="preserve"> Nothing happens without our customers. We value Serving Others because serving customers is the reason we exist. Our team members prioritize the needs of our customers, our team, and our communities.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9" w:type="dxa"/>
            <w:tcBorders/>
            <w:vAlign w:val="center"/>
          </w:tcPr>
          <w:p>
            <w:pPr>
              <w:pStyle w:val="TableContents"/>
              <w:bidi w:val="0"/>
              <w:spacing w:before="0" w:after="283"/>
              <w:jc w:val="left"/>
              <w:rPr>
                <w:caps w:val="false"/>
                <w:smallCaps w:val="false"/>
              </w:rPr>
            </w:pPr>
            <w:r>
              <w:rPr>
                <w:caps w:val="false"/>
                <w:smallCaps w:val="false"/>
              </w:rPr>
              <w:t> </w:t>
            </w:r>
          </w:p>
        </w:tc>
        <w:tc>
          <w:tcPr>
            <w:tcW w:w="999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w:t>
            </w:r>
          </w:p>
        </w:tc>
        <w:tc>
          <w:tcPr>
            <w:tcW w:w="99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Game Changing.</w:t>
            </w:r>
            <w:r>
              <w:rPr>
                <w:rFonts w:ascii="Times New Roman;Times;Serif" w:hAnsi="Times New Roman;Times;Serif"/>
                <w:b w:val="false"/>
                <w:i w:val="false"/>
                <w:caps w:val="false"/>
                <w:smallCaps w:val="false"/>
                <w:sz w:val="20"/>
              </w:rPr>
              <w:t xml:space="preserve"> To succeed in a competitive marketplace, we have to deliver impactful solutions for our customers. Our team members find creative solutions, raise the bar, take risks, and help our customers realize more successful outcomes.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9" w:type="dxa"/>
            <w:tcBorders/>
            <w:vAlign w:val="center"/>
          </w:tcPr>
          <w:p>
            <w:pPr>
              <w:pStyle w:val="TableContents"/>
              <w:bidi w:val="0"/>
              <w:spacing w:before="0" w:after="283"/>
              <w:jc w:val="left"/>
              <w:rPr>
                <w:caps w:val="false"/>
                <w:smallCaps w:val="false"/>
              </w:rPr>
            </w:pPr>
            <w:r>
              <w:rPr>
                <w:caps w:val="false"/>
                <w:smallCaps w:val="false"/>
              </w:rPr>
              <w:t> </w:t>
            </w:r>
          </w:p>
        </w:tc>
        <w:tc>
          <w:tcPr>
            <w:tcW w:w="999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w:t>
            </w:r>
          </w:p>
        </w:tc>
        <w:tc>
          <w:tcPr>
            <w:tcW w:w="9991"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i w:val="false"/>
                <w:caps w:val="false"/>
                <w:smallCaps w:val="false"/>
                <w:sz w:val="20"/>
              </w:rPr>
              <w:t>10,000 Years.”</w:t>
            </w:r>
            <w:r>
              <w:rPr>
                <w:rFonts w:ascii="Times New Roman;Times;Serif" w:hAnsi="Times New Roman;Times;Serif"/>
                <w:b w:val="false"/>
                <w:i w:val="false"/>
                <w:caps w:val="false"/>
                <w:smallCaps w:val="false"/>
                <w:sz w:val="20"/>
              </w:rPr>
              <w:t xml:space="preserve"> To achieve long-term success, we must plan and act with the end goal in mind. We value the symbolism of the term “10,000 Years” (the literal translation of the Japanese word “Banzai”), because it reminds us that we’re building for the future—to something greater than what we see today—and that each day we’re contributing toward that vision.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Properties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lease office space for our principal executive office located at 435 Ericksen Ave NE, Suite 250, Bainbridge Island, WA 98110. As of December 31, 2025, this space consists of approximately 2,000 square feet and the lease expires in October 2027. As a remote-first organization, we believe this facility is adequate and suitable for our current and anticipated future needs.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Legal Proceedings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may be party to litigation and subject to claims incident to the ordinary course of our business. As our growth continues, we may become party to an increasing number of litigation matters and claims. The outcome of litigation and claims cannot be predicted with certainty, and the resolution of these matters could materially affect our future results of operations, cash flows, or financial position. We are not presently party to any legal proceedings that, in the opinion of management, if determined adversely to us, would individually or taken together have a material adverse effect on our business, operating results, financial condition, or cash flows.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Available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file with, or furnish to, the SEC reports, including our annual report on Form 10-K, quarterly reports on Form 10-Q, current reports on Form 8-K and amendments to those reports pursuant to Section 13(a) or 15(d) of the Exchange Act. These reports are available free of charge via EDGAR through the SEC website (</w:t>
      </w:r>
      <w:r>
        <w:rPr>
          <w:rFonts w:ascii="Times New Roman;Times;Serif" w:hAnsi="Times New Roman;Times;Serif"/>
          <w:b w:val="false"/>
          <w:i/>
          <w:caps w:val="false"/>
          <w:smallCaps w:val="false"/>
          <w:sz w:val="20"/>
          <w:u w:val="single"/>
        </w:rPr>
        <w:t>www.sec.gov</w:t>
      </w:r>
      <w:r>
        <w:rPr>
          <w:rFonts w:ascii="Times New Roman;Times;Serif" w:hAnsi="Times New Roman;Times;Serif"/>
          <w:b w:val="false"/>
          <w:i w:val="false"/>
          <w:caps w:val="false"/>
          <w:smallCaps w:val="false"/>
          <w:sz w:val="20"/>
        </w:rPr>
        <w:t>) and are also available free of charge on our corporate website (</w:t>
      </w:r>
      <w:r>
        <w:rPr>
          <w:rFonts w:ascii="Times New Roman;Times;Serif" w:hAnsi="Times New Roman;Times;Serif"/>
          <w:b w:val="false"/>
          <w:i/>
          <w:caps w:val="false"/>
          <w:smallCaps w:val="false"/>
          <w:sz w:val="20"/>
          <w:u w:val="single"/>
        </w:rPr>
        <w:t>https://ir.banzai.io/financial-information/sec-filings</w:t>
      </w:r>
      <w:r>
        <w:rPr>
          <w:rFonts w:ascii="Times New Roman;Times;Serif" w:hAnsi="Times New Roman;Times;Serif"/>
          <w:b w:val="false"/>
          <w:i w:val="false"/>
          <w:caps w:val="false"/>
          <w:smallCaps w:val="false"/>
          <w:sz w:val="20"/>
        </w:rPr>
        <w:t>) as soon as reasonably practicable after they are electronically filed with or furnished to the SEC. The foregoing website addresses are provided as inactive textual references only. The information provided on our website (or any other website referred to in this prospectus) is not part of this prospectus and is not incorporated by reference as part of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0" w:name="sd_002"/>
      <w:bookmarkEnd w:id="10"/>
      <w:r>
        <w:rPr>
          <w:rFonts w:ascii="Times New Roman;Times;Serif" w:hAnsi="Times New Roman;Times;Serif"/>
          <w:b/>
          <w:i w:val="false"/>
          <w:caps w:val="false"/>
          <w:smallCaps w:val="false"/>
          <w:sz w:val="20"/>
        </w:rPr>
        <w:t>MANAGEMENT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as of the date of this prospectus, the name, age, and position of each director and executive officer: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Directors and Executive Officers</w:t>
      </w:r>
    </w:p>
    <w:p>
      <w:pPr>
        <w:pStyle w:val="TextBody"/>
        <w:bidi w:val="0"/>
        <w:spacing w:before="0" w:after="0"/>
        <w:ind w:left="0" w:right="0" w:hanging="0"/>
        <w:jc w:val="both"/>
        <w:rPr>
          <w:caps w:val="false"/>
          <w:smallCaps w:val="false"/>
        </w:rPr>
      </w:pPr>
      <w:r>
        <w:rPr>
          <w:caps w:val="false"/>
          <w:smallCaps w:val="false"/>
        </w:rPr>
        <w:t> </w:t>
      </w:r>
    </w:p>
    <w:tbl>
      <w:tblPr>
        <w:tblW w:w="5610" w:type="dxa"/>
        <w:jc w:val="left"/>
        <w:tblInd w:w="0" w:type="dxa"/>
        <w:tblLayout w:type="fixed"/>
        <w:tblCellMar>
          <w:top w:w="0" w:type="dxa"/>
          <w:left w:w="0" w:type="dxa"/>
          <w:bottom w:w="28" w:type="dxa"/>
          <w:right w:w="0" w:type="dxa"/>
        </w:tblCellMar>
      </w:tblPr>
      <w:tblGrid>
        <w:gridCol w:w="1250"/>
        <w:gridCol w:w="60"/>
        <w:gridCol w:w="350"/>
        <w:gridCol w:w="60"/>
        <w:gridCol w:w="3890"/>
      </w:tblGrid>
      <w:tr>
        <w:trPr/>
        <w:tc>
          <w:tcPr>
            <w:tcW w:w="1250"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Age</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890"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Position</w:t>
            </w:r>
          </w:p>
        </w:tc>
      </w:tr>
      <w:tr>
        <w:trPr/>
        <w:tc>
          <w:tcPr>
            <w:tcW w:w="125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Joseph Davy</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c>
          <w:tcPr>
            <w:tcW w:w="60"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389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Chairman and Director</w:t>
            </w:r>
          </w:p>
        </w:tc>
      </w:tr>
      <w:tr>
        <w:trPr/>
        <w:tc>
          <w:tcPr>
            <w:tcW w:w="125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Dean Ditto</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w:t>
            </w:r>
          </w:p>
        </w:tc>
        <w:tc>
          <w:tcPr>
            <w:tcW w:w="60"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389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r>
        <w:trPr/>
        <w:tc>
          <w:tcPr>
            <w:tcW w:w="125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Simon Baumer</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c>
          <w:tcPr>
            <w:tcW w:w="60"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389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Technology Officer</w:t>
            </w:r>
          </w:p>
        </w:tc>
      </w:tr>
      <w:tr>
        <w:trPr/>
        <w:tc>
          <w:tcPr>
            <w:tcW w:w="125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Jack Leeney</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389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125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Mason Ward</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60"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389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125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Paula Boggs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w:t>
            </w:r>
          </w:p>
        </w:tc>
        <w:tc>
          <w:tcPr>
            <w:tcW w:w="60"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389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125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Kent Schofield</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c>
          <w:tcPr>
            <w:tcW w:w="60"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389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Executive Officer Biographies</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Joseph Davy</w:t>
      </w:r>
      <w:r>
        <w:rPr>
          <w:rFonts w:ascii="Times New Roman;Times;Serif" w:hAnsi="Times New Roman;Times;Serif"/>
          <w:b w:val="false"/>
          <w:i w:val="false"/>
          <w:caps w:val="false"/>
          <w:smallCaps w:val="false"/>
          <w:sz w:val="20"/>
        </w:rPr>
        <w:t xml:space="preserve"> serves as our Chief Executive Officer and Chairman of our Board, and prior to the Business Combination, served as Chief Executive Officer and as a member the Board of Legacy Banzai since co-founding Legacy Banzai in 2015. Prior to co-founding Legacy Banzai, Mr. Davy served as the General Manager at Avalara from 2013 to 2016. From 2012 to 2013, he served as Chief Executive Officer of Buystand. From 2012 to 2013, he also served as Customer Advisory Board Member at Microsoft Corp. Mr. Davy founded EvoApp in 2009 and served as its Chief Executive Officer and Chief Product Officer from 2009 to 2012. Prior to his service at EvoApp, Mr. Davy was a software engineer at International Business Machines Corp (IBM). Mr. Davy also served as a member of the board of directors of Legalpad Inc. from 2019 to 2022. Prior to joining IBM, Mr. Davy attended the University of North Carolina at Chapel Hill from 2007 to 2010. We believe Mr. Davy is qualified to serve on the Board due to his extensive venture capital experience and experience as founder and chief executive officer of Legacy Banzai.</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Dean Ditto</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shd w:fill="FFFFFF" w:val="clear"/>
        </w:rPr>
        <w:t>serves as our Chief Financial Officer. Prior to joining Banzai, Mr. Ditto served in various CFO roles leading finance, capital markets, accounting, and reporting teams. Mr. Ditto served as the co-founder and Chief Financial Officer for Delta CXO LLC., from February 2024 to July 2025. From April 2022 to February 2024 Mr. Ditto served as the Chief Financial Officer for Akerna Corp. From December 2020 to August 2022 Mr. Ditto served as the Chief Financial Officer for Mydecine Innovations Group, Inc. From June 2019 to September 2020 Mr. Ditto served as the Chief Financial Officer for Sigue Corporation. Mr. Ditto attended Albion College from 1984 to 1988 where he received his Bachelors in Economics and Management, and then attended Indiana University’s Kelley School of Business from 1991 to 1993 where he received his M.B.A in Finance.</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Simon Baumer</w:t>
      </w:r>
      <w:r>
        <w:rPr>
          <w:rFonts w:ascii="Times New Roman;Times;Serif" w:hAnsi="Times New Roman;Times;Serif"/>
          <w:b w:val="false"/>
          <w:i w:val="false"/>
          <w:caps w:val="false"/>
          <w:smallCaps w:val="false"/>
          <w:sz w:val="20"/>
        </w:rPr>
        <w:t xml:space="preserve"> serves as our Chief Technology Officer and prior to this, served as Legacy Banzai’s Chief Technology Officer since 2021. Prior to that, Mr. Baumer worked at Verivox GmbH as Vice President of Engineering from 2018 to 2021, as Head of Software Development from 2016 to 2021, and as Teamlead for Software Development from 2015 to 2021. Mr. Baumer attended Heidelberg University from 2007 to 2013 where he received his Masters degree in Computer Science.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Non-Executive Director Biographies</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Jack Leeney</w:t>
      </w:r>
      <w:r>
        <w:rPr>
          <w:rFonts w:ascii="Times New Roman;Times;Serif" w:hAnsi="Times New Roman;Times;Serif"/>
          <w:b w:val="false"/>
          <w:i w:val="false"/>
          <w:caps w:val="false"/>
          <w:smallCaps w:val="false"/>
          <w:sz w:val="20"/>
        </w:rPr>
        <w:t xml:space="preserve"> has served as a member of the Board since 2023 and prior to this, served as 7GC’s Chairman and Chief Executive Officer since its inception. Since September 2016, Mr. Leeney has served as a Founding Partner of 7GC &amp; Co Sarl and is responsible for running the firm’s operations. Mr. Leeney led the firm’s investments in Cheddar TV, Capsule Pharmacy, hims &amp; hers, Jyve, Roofstock, The Mom Project, and Reliance Jio. Since 2020, he has served as a director for The Mom Project. From December 2020 to November 2022, he served as a director of PTIC, a SPAC that closed an initial business combination with RW National Holdings, LLC (d/b/a Appreciate), the parent holding company of Renters Warehouse, in November 2022. Between April 2011 and December 2016, Mr. Leeney served on the boards of directors of Quantenna Communications, Inc. (Nasdaq: QTNA), DoAt Media Ltd. (Private), CinePapaya (acquired by Comcast), Joyent (acquired by Samsung), BOKU, Inc. (AIM: BOKU), Eventful (acquired by CBS) and Blueliv (Private). Previously, Mr. Leeney served as the Head of U.S. Investing for Telefonica Ventures, the investment arm of Telefonica (NYSE: TEF), between June 2012 and September 2016 and as an investor at Hercules Capital (NYSE: HTGC) between May 2011 and June 2012. He began his career as a technology-focused investment banker at Morgan Stanley in 2007, where he worked on the initial public offerings for Tesla Motors, LinkedIn, and Pandora. Mr. Leeney holds a B.S. from Syracuse University. We believe Mr. Leeney is qualified to serve on the Board due to his extensive venture capital experience.</w:t>
      </w:r>
    </w:p>
    <w:p>
      <w:pPr>
        <w:pStyle w:val="TextBody"/>
        <w:bidi w:val="0"/>
        <w:spacing w:before="0" w:after="0"/>
        <w:ind w:left="0" w:right="0" w:firstLine="432"/>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Mason Ward</w:t>
      </w:r>
      <w:r>
        <w:rPr>
          <w:rFonts w:ascii="Times New Roman;Times;Serif" w:hAnsi="Times New Roman;Times;Serif"/>
          <w:b w:val="false"/>
          <w:i w:val="false"/>
          <w:caps w:val="false"/>
          <w:smallCaps w:val="false"/>
          <w:sz w:val="20"/>
        </w:rPr>
        <w:t xml:space="preserve"> has served as a member of the Board since December 2023, and prior to this, has served as the Chief Financial Officer of Alco Investment Company since 2018, and served as its Controller and Finance Director from 2015 to 2018. Prior to joining Alco, Mr. Ward served as an Infantry Officer in multiple operations, logistics, risk management and fiscal operations roles during two deployments to Afghanistan with the United States Army. Mr. Ward holds a B.S. in Civil Engineering from the University of Cincinnati and a Certificate in Accounting and a Masters in Business Administration from the University of Washington, and he is also a certified public accountant (inactive). We believe Mr. Ward is qualified to serve on the Board due to his extensive finance and accounting expertise and experience.</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Paula Boggs</w:t>
      </w:r>
      <w:r>
        <w:rPr>
          <w:rFonts w:ascii="Times New Roman;Times;Serif" w:hAnsi="Times New Roman;Times;Serif"/>
          <w:b w:val="false"/>
          <w:i w:val="false"/>
          <w:caps w:val="false"/>
          <w:smallCaps w:val="false"/>
          <w:sz w:val="20"/>
        </w:rPr>
        <w:t xml:space="preserve"> has served as a member of the Board since December 2023, and prior to this, is the founder and owner of Boggs Media, LLC, which manages Ms. Boggs’ musical, public speaking, and other creative business endeavors. A former executive at the Starbucks Coffee Company, she led the global law department of Starbucks from 2002 to 2012 and was Corporate Secretary of the Starbucks Foundation. Prior to that, Ms. Boggs was a Vice President of Legal for products, operations and information technology at Dell Computer Corporation from 1997 to 2002 and also held the role of Senior Deputy General Counsel starting in June 1997. Before joining Dell, Ms. Boggs was a partner with the law firm of Preston Gates &amp; Ellis LLP from 1995 to 1997. Ms. Boggs is also a voting member and Pacific Northwest Chapter Governor of the Recording Academy, and serves on the Newport Festivals Foundation board, overseeing both the Newport Jazz Festival and Newport Folk Festival. She was previously on the board of Fender; a member of the Board of Premera Blue Cross and chair of its compensation and investments committees; a member of the Nominating/Trusteeship, Audit/Compliance (including six years as the chair of the audit committee) and Executive Committees of Johns Hopkins University’s board of trustees; a member of the Executive Committee of KEXP Radio, an affiliate of National Public Radio and the University of Washington; a member of the audit committee for School of Rock LLC; a member of the American Bar Association board of governors, chairing its investments committee; a member of the President’s Committee for the Arts and the Humanities from 2013 through 2017; a member of the White House Council for Community Solutions from 2010 to 2012; a member of the audit and nominating committee of the American Red Cross; and a member of the board of Sterling Financial Inc. Ms. Boggs holds a B.A. from Johns Hopkins University and a J.D. from the University of California at Berkeley. We believe Ms. Boggs is qualified to serve on the Board due to her extensive governance and Fortune 500 experience with high-growth companies.</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Kent Schofield </w:t>
      </w:r>
      <w:r>
        <w:rPr>
          <w:rFonts w:ascii="Times New Roman;Times;Serif" w:hAnsi="Times New Roman;Times;Serif"/>
          <w:b w:val="false"/>
          <w:i w:val="false"/>
          <w:caps w:val="false"/>
          <w:smallCaps w:val="false"/>
          <w:sz w:val="20"/>
        </w:rPr>
        <w:t>holds a bachelor’s degree in economics from UCLA and has a distinguished career in finance and corporate development. From September 2010 to June 2015, he worked for Goldman Sachs, where he served as Vice President and lead equity analyst covering technology companies in the software and hardware industries. Following Goldman Sachs, Mr. Schofield spent 5 years at Uber, from April 2017 to September 2021, in various positions including Director of Investor Relations and Corporate Development. At Uber, Mr. Schofield was one of four Uber representatives for the company’s $8.1 billion IPO roadshow; he also served as a Director of Strategic Finance at Uber. Since December 2022, Mr. Schofield has been serving as the Chief Financial Officer of Welcome Tech, a leading provider of immigrant and hourly employee subscription services. We believe Mr. Schofield is qualified to serve on the Board due to his extensive public market investing and financial experience.</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Significant Employee</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our officers and directors, we currently have one person who we consider to be a significant employee: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Michael Kurtzman</w:t>
      </w:r>
      <w:r>
        <w:rPr>
          <w:rFonts w:ascii="Times New Roman;Times;Serif" w:hAnsi="Times New Roman;Times;Serif"/>
          <w:b w:val="false"/>
          <w:i w:val="false"/>
          <w:caps w:val="false"/>
          <w:smallCaps w:val="false"/>
          <w:sz w:val="20"/>
        </w:rPr>
        <w:t xml:space="preserve"> serves as our Chief Revenue Officer. Most recently, Mr. Kurtzman served as CEO of Violett, Inc., an AI-enabled air health platform. Prior to that, he was Chief Revenue Officer at Zype (acquired by Backlight), where he oversaw all revenue and customer-facing functions and led the integration of multiple acquisitions. Earlier in his career, he served as Senior Vice President of Sales at Panopto, a venture-backed SaaS company, where he helped triple annual recurring revenue and supported a successful exit. He also held the role of Vice President of Global Sales at Comcast Technology Solutions, following its acquisition of the Platform. Mr. Kurtzman holds a bachelor’s degree in Speech Communications from University of Illinois.</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Role of Board in Risk Oversight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of the key functions of the Board is informed oversight of the Company’s risk management process. The Board does not currently have a standing risk management committee, but rather administers this oversight function directly through the Board as a whole, as well as through various standing committees of the Board that address risks inherent in their respective areas of oversight. In particular, the Board is responsible for monitoring and assessing strategic risk exposure and the Company’s audit committee (the “Audit Committee”) has the responsibility to consider and discuss the Company’s major financial risk exposures and the steps its management will take to monitor and control such exposures, including guidelines and policies to govern the process by which risk assessment and management is undertaken. The Company’s audit committee also monitors compliance with legal and regulatory requirements. The Company’s compensation committee (the “Compensation Committee”) assesses and monitors whether the Company’s compensation plans, policies and programs comply with applicable legal and regulatory requirements.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Composition of the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business and affairs is managed under the direction of the Board. The Board currently consists of five members, with Joseph Davy serving as Chairman of the Board. The primary responsibilities of the Board are to provide oversight, strategic guidance, counseling, and direction to the Company’s management. The Board meets on a regular basis and additionally as required.</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terms of the Charter, the Board is divided into three classes, Class I, Class II and Class III, with only one class of directors being elected in each year and each class serving a three-year term. The Class I directors are elected to an initial one-year term (and three-year terms subsequently), the Class II directors are elected to an initial two-year term (and three-year terms subsequently) and the Class III directors are elected to an initial three-year term (and three-year terms subsequently). There is no cumulative voting with respect to the election of directors, with the result that the holders of more than 50% of the shares voted for the election of directors can elect all of the directors.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is divided into the following classes:</w:t>
      </w:r>
    </w:p>
    <w:p>
      <w:pPr>
        <w:pStyle w:val="TextBody"/>
        <w:bidi w:val="0"/>
        <w:spacing w:before="0" w:after="0"/>
        <w:ind w:left="979" w:right="0" w:hanging="49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I, which consists of Joseph Davy and Kent Schofield, whose terms will expire at the Company’s annual meeting of stockholders to be held in 2027;</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II, which consists of Mason Ward, whose term will expire at the Company’s annual meeting of stockholders to be held in 2028;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III, which consists of Paula Boggs and Jack Leeney, whose terms will expire at the Company’s annual meeting of stockholders to be held in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each annual meeting of stockholders, the successors to directors whose terms then expire will be elected to serve from the time of election and qualification until the third annual meeting following their election and until their successors are duly elected and qualified. This classification of the Board may have the effect of delaying or preventing changes in the Company’s control or management. Directors may be removed for cause by the affirmative vote of the holders of at least 66 2/3% of the voting power of all outstanding shares of capital stock of the Company entitled to vote at an election of directors, voting together as a single class.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Independence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has determined that each of our directors other than Mr. Davy qualify as independent directors, as defined under the listing rules of The Nasdaq Capital Market (the “Nasdaq listing rules”), and that the Board consists of a majority of “independent directors,” as defined under the rules of the SEC and Nasdaq listing rules relating to director independence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Committees and Committee Composition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Board has three standing committees: the audit committee, the compensation committee and the nominating and corporate governance committee. Each committee operates under a written charter that has been approved by the Board and satisfies the applicable listing standards of Nasdaq. Written copies of these committee charters may be obtained by contacting our Investor Relations Department at 435 Ericksen Ave NE, Suite 250, Bainbridge Island, WA 98110. These documents are also available on the Corporate Governance section of our website at </w:t>
      </w:r>
      <w:r>
        <w:rPr>
          <w:rFonts w:ascii="Times New Roman;Times;Serif" w:hAnsi="Times New Roman;Times;Serif"/>
          <w:b w:val="false"/>
          <w:i/>
          <w:caps w:val="false"/>
          <w:smallCaps w:val="false"/>
          <w:sz w:val="20"/>
          <w:u w:val="single"/>
        </w:rPr>
        <w:t>https://ir.banzai.io/corporate-governance/governance-overview</w:t>
      </w:r>
      <w:r>
        <w:rPr>
          <w:rFonts w:ascii="Times New Roman;Times;Serif" w:hAnsi="Times New Roman;Times;Serif"/>
          <w:b w:val="false"/>
          <w:i w:val="false"/>
          <w:caps w:val="false"/>
          <w:smallCaps w:val="false"/>
          <w:sz w:val="20"/>
          <w:u w:val="single"/>
        </w:rPr>
        <w:t>.</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Chair of each committee reviews and discusses the agendas and materials for meetings with senior management in advance of distribution to the other committee members, and reports to the Board on actions taken at each committee meeting. The following table sets forth the current membership of each committee.</w:t>
      </w:r>
    </w:p>
    <w:p>
      <w:pPr>
        <w:pStyle w:val="TextBody"/>
        <w:bidi w:val="0"/>
        <w:spacing w:before="0" w:after="0"/>
        <w:ind w:left="0" w:right="0" w:hanging="0"/>
        <w:jc w:val="both"/>
        <w:rPr>
          <w:caps w:val="false"/>
          <w:smallCaps w:val="false"/>
        </w:rPr>
      </w:pPr>
      <w:r>
        <w:rPr>
          <w:caps w:val="false"/>
          <w:smallCaps w:val="false"/>
        </w:rPr>
        <w:t> </w:t>
      </w:r>
    </w:p>
    <w:tbl>
      <w:tblPr>
        <w:tblW w:w="9485" w:type="dxa"/>
        <w:jc w:val="left"/>
        <w:tblInd w:w="0" w:type="dxa"/>
        <w:tblLayout w:type="fixed"/>
        <w:tblCellMar>
          <w:top w:w="0" w:type="dxa"/>
          <w:left w:w="0" w:type="dxa"/>
          <w:bottom w:w="28" w:type="dxa"/>
          <w:right w:w="0" w:type="dxa"/>
        </w:tblCellMar>
      </w:tblPr>
      <w:tblGrid>
        <w:gridCol w:w="1250"/>
        <w:gridCol w:w="60"/>
        <w:gridCol w:w="1460"/>
        <w:gridCol w:w="60"/>
        <w:gridCol w:w="2210"/>
        <w:gridCol w:w="60"/>
        <w:gridCol w:w="4385"/>
      </w:tblGrid>
      <w:tr>
        <w:trPr/>
        <w:tc>
          <w:tcPr>
            <w:tcW w:w="1250"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60"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 Committee</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10"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 Committee</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4385"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Nominating and Corporate Governance Committee</w:t>
            </w:r>
          </w:p>
        </w:tc>
      </w:tr>
      <w:tr>
        <w:trPr/>
        <w:tc>
          <w:tcPr>
            <w:tcW w:w="125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Joseph Davy</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21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4385"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25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Jack Leeney</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21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4385"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w:t>
            </w:r>
          </w:p>
        </w:tc>
      </w:tr>
      <w:tr>
        <w:trPr/>
        <w:tc>
          <w:tcPr>
            <w:tcW w:w="125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Mason Ward</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21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4385"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w:t>
            </w:r>
          </w:p>
        </w:tc>
      </w:tr>
      <w:tr>
        <w:trPr/>
        <w:tc>
          <w:tcPr>
            <w:tcW w:w="125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Paula Boggs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21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438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w:t>
            </w:r>
          </w:p>
        </w:tc>
      </w:tr>
      <w:tr>
        <w:trPr/>
        <w:tc>
          <w:tcPr>
            <w:tcW w:w="125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Kent Schofield</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6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21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4385"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Audit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consists of Kent Schofield, who serves as the chairperson, Mason Ward, and Paula Boggs. Each member qualifies as an independent director under the Nasdaq corporate governance standards, and that each of Ms. Boggs and Mr. Schofield qualifies as independent under the independence requirements of Rule 10A-3 of the Exchange Act. In arriving at this determination, the Board examined each audit committee member’s scope of experience and the nature of their prior and/or current employment.</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determined that Mr. Schofield qualifies as an “audit committee financial expert” as such term is defined in Item 407(d)(5) of Regulation S-K and possesses financial sophistication, as defined under the rules of Nasdaq. In making this determination, the Board considered Mr. Schofield: understanding of generally accepted accounting principles and financial statements, ability to assess the general application of such principles in connection with the accounting for estimates, accruals and reserves; experience in actively supervising one or more persons engaged in preparing, auditing, analyzing or evaluating financial statements that present a breadth and level of complexity of accounting issues generally comparable to the breadth and complexity of issues that can reasonably be expected to be raised by the Company’s financial statements; understanding of internal control over financial reporting; and understanding of audit committee functions. We are relying on the phase-in exemption provided under Rule 10A-3 of the Exchange Act and the Nasdaq rules. While we believe Mr. Ward may be deemed to own in excess of 10% of our Common Stock, a class of voting securities, as of the date of this prospectus, which would leave him outside the safe harbor provision of SEC Rule 10A-3, Mr. Ward will serve on the Audit Committee under the phase-in exemption referenced above. In accordance with the phase-in exemption, we expect that a majority of the members of our Audit Committee will satisfy the independence standards under the Exchange Act and Nasdaq listing rules within 90 days of the closing of the Business Combination and all members of our Audit Committee will satisfy the independence standards under the Exchange Act and Nasdaq listing rules within 12 months of the Closing of the Business Combination.</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primary purpose of the Audit Committee is to discharge the oversight responsibilities of the Board with respect to our corporate accounting and financial reporting processes, systems of internal control over financial reporting, and financial statement audits, as well as the quality and integrity of the financial statements and reports and to oversee the qualifications, independence, and performance of our independent registered public accounting firm. The Audit Committee also provides oversight assistance in connection with legal, risk, regulatory, and ethical compliance programs established by management and the Board. Specific responsibilities of the Audit Committee include: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helping the Board oversee its corporate accounting and financial reporting processes;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and discussing with management the adequacy and effectiveness of our disclosure controls and procedures;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assisting with design and implementation of our risk assessment functions;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managing the selection, engagement, qualifications, independence and performance of a qualified firm to serve as the independent registered public accounting firm to audit our financial statements;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discussing the scope and results of the audit with the independent registered public accounting firm, and reviewing, with management and the independent accountants, our interim and year-end operating results;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developing procedures for employees to submit concerns anonymously about questionable accounting or audit matters;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related person transactions;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obtaining and reviewing a report by the independent registered public accounting firm at least annually that describes our internal quality control procedures, any material issues with such procedures and any steps taken to deal with such issues when required by applicable law;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approving or, as permitted, pre-approving, audit and permissible non-audit services to be performed by the independent registered public accounting firm.</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Compensation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consists of Mason Ward, who serves as the chairperson and Paula Boggs. Each member is independent under the listing standards of Nasdaq, and a “non-employee director” as defined in Rule 16b-3 promulgated under the Exchange Act. An additional member will be appointed in the near future.</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primary purpose of the Compensation Committee will be to discharge the responsibilities of the Board in overseeing the Company’s compensation policies, plans, and programs and to review, approve, and/or recommend the compensation to be paid to its executive officers, directors, and other senior management, as appropriate. Specific responsibilities of the Compensation Committee include: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and recommending to the Company’s Board the compensation of the Chief Executive Officer and other executive officers;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and recommending to the Board the compensation of the Company’s directors;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administering the Company’s equity incentive plans and other benefit programs;</w:t>
            </w:r>
          </w:p>
        </w:tc>
      </w:tr>
    </w:tbl>
    <w:p>
      <w:pPr>
        <w:pStyle w:val="TextBody"/>
        <w:bidi w:val="0"/>
        <w:spacing w:before="0" w:after="0"/>
        <w:ind w:left="979" w:right="0" w:hanging="49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adopting, amending and terminating incentive compensation and equity plans, severance agreements, profit sharing plans, bonus plans, change-of-control protections and any other compensatory arrangements for the Company’s executive officers and other senior management;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and establishing general policies relating to compensation and benefits of the Company’s employees, including the Company’s overall compensation philosophy;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and evaluating with the Chief Executive Officer the succession plans for the Company’s executive officers.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Nominating and Corporate Governance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Nominating and Corporate Governance Committee consists of Paula Boggs, who serves as the chairperson, Jack Leeney and Mason Ward. Each member is independent under the listing standards of Nasdaq, which is discussed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Specific responsibilities of the Nominating and Corporate Governance Committee include:</w:t>
      </w:r>
    </w:p>
    <w:p>
      <w:pPr>
        <w:pStyle w:val="TextBody"/>
        <w:bidi w:val="0"/>
        <w:spacing w:before="0" w:after="0"/>
        <w:ind w:left="979" w:right="0" w:hanging="49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identifying, reviewing, and evaluating candidates, including the nomination of incumbent directors for reelection and nominees recommended by stockholders, to serve on the Board;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considering and making recommendations to the Board regarding the composition and chairmanship of the committees of the Board;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with the Chief Executive Officer the plans for succession to the offices of the Company’s executive officers and make recommendations to the Board with respect to the selection of appropriate individuals to succeed to these positions;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developing and making recommendations to the Board regarding corporate governance guidelines and matters;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overseeing periodic evaluations of the Board’s performance, including committees of the Board.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Code of Business Conduct and Ethics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a code of business conduct and ethics (the “Code of Conduct”) that applies to our directors, officers, and employees, including our principal executive officer, principal financial officer, principal accounting officer or controller, or persons performing similar functions. We will provide, without charge, a copy of our Code of Conduct upon written request mailed to the attention of our Investor Relations Department at 435 Ericksen Ave NE, Suite 250, Bainbridge Island, WA 98110. Our Code of Conduct is available under the Corporate Governance section of our website at </w:t>
      </w:r>
      <w:r>
        <w:rPr>
          <w:rFonts w:ascii="Times New Roman;Times;Serif" w:hAnsi="Times New Roman;Times;Serif"/>
          <w:b w:val="false"/>
          <w:i/>
          <w:caps w:val="false"/>
          <w:smallCaps w:val="false"/>
          <w:sz w:val="20"/>
          <w:u w:val="single"/>
        </w:rPr>
        <w:t>https://ir.banzai.io/corporate-governance/governance-overview</w:t>
      </w:r>
      <w:r>
        <w:rPr>
          <w:rFonts w:ascii="Times New Roman;Times;Serif" w:hAnsi="Times New Roman;Times;Serif"/>
          <w:b w:val="false"/>
          <w:i w:val="false"/>
          <w:caps w:val="false"/>
          <w:smallCaps w:val="false"/>
          <w:sz w:val="20"/>
        </w:rPr>
        <w:t>.We will post on our website all disclosures that are required by law or the listing standards of Nasdaq concerning any amendments to, or waivers from, any provision of the Code of Conduct. The reference to our website address does not constitute incorporation by reference of the information contained at or available through our website, and you should not consider it to be a part of this prospectus.</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Limitation on Liability and Indemnification of Directors and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Charter eliminates each director’s liability for monetary damages for breaches of fiduciary duty as a director, except to the extent prohibited by law, unless a director violated his or her duty of loyalty to the Company or its stockholders, acted in bad faith, knowingly or intentionally violated the law, authorized unlawful payments of dividends, unlawful stock purchases or unlawful redemptions, or derived improper personal benefit from his or her actions as a director. The Charter eliminates directors’ liability for monetary damages to the fullest extent permitted by applicable law. Our Charter requires the Company to indemnify and advance expenses to, to the fullest extent permitted by applicable law, its directors, officers, and agents and prohibit any retroactive changes to the rights or protections or increase the liability of any director in effect at the time of the alleged occurrence of any act or omission to act giving rise to liability or indemnification. We believe these provisions in our Charter are necessary to attract and retain qualified persons as directors and officers. However, these provisions may discourage stockholders from bringing a lawsuit against our directors for breach of their fiduciary duty. These provisions also may have the effect of reducing the likelihood of derivative litigation against directors and officers, even though such an action, if successful, might otherwise benefit us and our stockholders. Furthermore, a stockholder’s investment may be adversely affected to the extent we pay the costs of settlement and damage awards against directors and officers pursuant to these indemnification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Governance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29, 2024, we held a special meeting of shareholders (the “Special Meeting”) at which the shareholders approved the proposal to amend our Second Amended and Restated Certificate of Incorporation to effect a reverse stock split of our Class A Common Stock, at a ratio of up to 1-for-50, with the final ratio and exact timing to be determined at the discretion of the Board of Directors (“Board”). On September 10, 2024, our Board determined to effect a reverse stock split at a ratio of 1-for-50 (the “September Reverse Stock Split”), effective on September 19, 2024. Accordingly, we filed an amendment to our Second Amended and Restated Certificate of Incorporation with the Delaware Secretary of State, which is filed as Exhibit 3.3 to our 2025 Report for the year ended December 31, 2025. Subsequently, we effected a 1-for-10 reverse stock split of the shares of the Company’s Class A Common Stock, effective as of July 8, 2025 (the “July Reverse Stock Split”).</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prior noncompliance with certain Nasdaq listing rules, we had a hearing before The Nasdaq Hearings Panel (the “Nasdaq Panel”), on September 19, 2024. Following that hearing, the Nasdaq Panel determined to phase our Class A Common Stock down from The Nasdaq Global Market to The Nasdaq Capital Market. As of October 31, 2024, our Class A Common Stock began trading on The Nasdaq Capital Market, under the same symbol, BNZI.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18, 2024, we received a letter from Nasdaq stating that we had regained compliance with Nasdaq Listing Rule 5450(a)(1) (the “Minimum Bid Price Requirement”) by maintaining a minimum closing bid price of $1.00 or greater per share for the 10 consecutive business days, from September 19, 2024 through October 18, 2024, and that the Minimum Bid Price Requirement matter is now closed. We were still required to regain compliance with Listing Rule 5450(b)(2)(A) (the (“Market Value of Listed Securities”). On November 7, 2024, we received a letter from the staff at Nasdaq in relation to a letter from April 3, 2024, notifying us that, for the 10 consecutive trading days, from October 24, 2024 to November 6, 2024, our MVPHS had been $1,000,000 or greater, and accordingly Nasdaq determined that we had regained compliance with Listing Rule 5550(a)(5) (the equivalent of Listing Rule 5450(b)(2)(A) applicable to the Nasdaq Capital Market, to which our Class A Common Stock had been phased down as of October 31, 2024, and together with all the Listing Rules noted above, the “Nasdaq Rules”) and the matter was closed.</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12, 2025, we received a letter from the Nasdaq Stock Market LLC, Office of the General Counsel that Nasdaq’s Listing Qualifications staff confirmed that we had demonstrated compliance with all of The Nasdaq Stock Market’s listing requirements and therefore our securities remained listed on the Nasdaq Capital Market. Please see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for more information.</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28, 2025, we held a special meeting of shareholders. In addition to other approvals, the shareholders approved an amendment to our Second Amended and Restated Certificate of Incorporation to permit stockholder action by written consent.</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At our 2025 Annual Shareholder Meeting held on January 15, 2026, shareholders approved a change to Section 3.5 of the Company’s Bylaws regarding quorum requirements such that the presence, in person, by remote communication, if applicable, or by duly authorized proxy, of the holders of 33.3% of the voting power of the then-outstanding shares of capital stock entitled to vote shall constitute a quorum for the transaction of business.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1" w:name="sd_003"/>
      <w:bookmarkEnd w:id="11"/>
      <w:r>
        <w:rPr>
          <w:rFonts w:ascii="Times New Roman;Times;Serif" w:hAnsi="Times New Roman;Times;Serif"/>
          <w:b/>
          <w:i w:val="false"/>
          <w:caps w:val="false"/>
          <w:smallCaps w:val="false"/>
          <w:sz w:val="20"/>
        </w:rPr>
        <w:t>EXECUTIVE AND DIRECTOR COMPENSATION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named executive officers for the fiscal year ended December 31, 2025, consisting of our principal executive officer, principal financial officer and the next two most highly compensated executive officers, were:</w:t>
      </w:r>
    </w:p>
    <w:p>
      <w:pPr>
        <w:pStyle w:val="TextBody"/>
        <w:bidi w:val="0"/>
        <w:spacing w:before="0" w:after="0"/>
        <w:ind w:left="979" w:right="0" w:hanging="490"/>
        <w:jc w:val="left"/>
        <w:rPr>
          <w:caps w:val="false"/>
          <w:smallCaps w:val="false"/>
        </w:rPr>
      </w:pPr>
      <w:r>
        <w:rPr>
          <w:caps w:val="false"/>
          <w:smallCaps w:val="false"/>
        </w:rPr>
        <w:t> </w:t>
      </w:r>
    </w:p>
    <w:tbl>
      <w:tblPr>
        <w:tblW w:w="4375" w:type="dxa"/>
        <w:jc w:val="left"/>
        <w:tblInd w:w="0" w:type="dxa"/>
        <w:tblLayout w:type="fixed"/>
        <w:tblCellMar>
          <w:top w:w="0" w:type="dxa"/>
          <w:left w:w="0" w:type="dxa"/>
          <w:bottom w:w="0" w:type="dxa"/>
          <w:right w:w="0" w:type="dxa"/>
        </w:tblCellMar>
      </w:tblPr>
      <w:tblGrid>
        <w:gridCol w:w="75"/>
        <w:gridCol w:w="170"/>
        <w:gridCol w:w="413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1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Joseph Davy, our Chief Executive Officer;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413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1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Dean Ditto, our Chief Financial Officer;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413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1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Simon Baumer, our Chief Technology Officer;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413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1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Kurtzman, our Chief Revenue Officer.</w:t>
            </w:r>
          </w:p>
        </w:tc>
      </w:tr>
    </w:tbl>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2025 Summary Compensation Table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compensation paid or awarded to our named executive officers for the years ended December 31, 2025 and 2024:</w:t>
      </w:r>
    </w:p>
    <w:p>
      <w:pPr>
        <w:pStyle w:val="TextBody"/>
        <w:bidi w:val="0"/>
        <w:spacing w:before="0" w:after="0"/>
        <w:ind w:left="0" w:right="0" w:firstLine="432"/>
        <w:jc w:val="both"/>
        <w:rPr>
          <w:caps w:val="false"/>
          <w:smallCaps w:val="false"/>
        </w:rPr>
      </w:pPr>
      <w:r>
        <w:rPr>
          <w:caps w:val="false"/>
          <w:smallCaps w:val="false"/>
        </w:rPr>
        <w:t> </w:t>
      </w:r>
    </w:p>
    <w:tbl>
      <w:tblPr>
        <w:tblW w:w="11190" w:type="dxa"/>
        <w:jc w:val="left"/>
        <w:tblInd w:w="0" w:type="dxa"/>
        <w:tblLayout w:type="fixed"/>
        <w:tblCellMar>
          <w:top w:w="0" w:type="dxa"/>
          <w:left w:w="0" w:type="dxa"/>
          <w:bottom w:w="28" w:type="dxa"/>
          <w:right w:w="0" w:type="dxa"/>
        </w:tblCellMar>
      </w:tblPr>
      <w:tblGrid>
        <w:gridCol w:w="1025"/>
        <w:gridCol w:w="60"/>
        <w:gridCol w:w="440"/>
        <w:gridCol w:w="60"/>
        <w:gridCol w:w="125"/>
        <w:gridCol w:w="695"/>
        <w:gridCol w:w="290"/>
        <w:gridCol w:w="60"/>
        <w:gridCol w:w="125"/>
        <w:gridCol w:w="590"/>
        <w:gridCol w:w="290"/>
        <w:gridCol w:w="60"/>
        <w:gridCol w:w="125"/>
        <w:gridCol w:w="695"/>
        <w:gridCol w:w="185"/>
        <w:gridCol w:w="60"/>
        <w:gridCol w:w="125"/>
        <w:gridCol w:w="590"/>
        <w:gridCol w:w="185"/>
        <w:gridCol w:w="60"/>
        <w:gridCol w:w="81"/>
        <w:gridCol w:w="1154"/>
        <w:gridCol w:w="215"/>
        <w:gridCol w:w="60"/>
        <w:gridCol w:w="207"/>
        <w:gridCol w:w="1028"/>
        <w:gridCol w:w="60"/>
        <w:gridCol w:w="60"/>
        <w:gridCol w:w="188"/>
        <w:gridCol w:w="1047"/>
        <w:gridCol w:w="290"/>
        <w:gridCol w:w="60"/>
        <w:gridCol w:w="125"/>
        <w:gridCol w:w="695"/>
        <w:gridCol w:w="75"/>
      </w:tblGrid>
      <w:tr>
        <w:trPr/>
        <w:tc>
          <w:tcPr>
            <w:tcW w:w="102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 and Principal Position</w:t>
            </w:r>
          </w:p>
        </w:tc>
        <w:tc>
          <w:tcPr>
            <w:tcW w:w="60" w:type="dxa"/>
            <w:tcBorders/>
            <w:tcMar>
              <w:bottom w:w="0" w:type="dxa"/>
            </w:tcMar>
            <w:vAlign w:val="center"/>
          </w:tcPr>
          <w:p>
            <w:pPr>
              <w:pStyle w:val="TableContents"/>
              <w:bidi w:val="0"/>
              <w:spacing w:before="0" w:after="283"/>
              <w:jc w:val="left"/>
              <w:rPr/>
            </w:pPr>
            <w:r>
              <w:rPr/>
              <w:t> </w:t>
            </w:r>
          </w:p>
        </w:tc>
        <w:tc>
          <w:tcPr>
            <w:tcW w:w="44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Year</w:t>
            </w:r>
          </w:p>
        </w:tc>
        <w:tc>
          <w:tcPr>
            <w:tcW w:w="60" w:type="dxa"/>
            <w:tcBorders/>
            <w:tcMar>
              <w:bottom w:w="0" w:type="dxa"/>
            </w:tcMar>
            <w:vAlign w:val="center"/>
          </w:tcPr>
          <w:p>
            <w:pPr>
              <w:pStyle w:val="TableContents"/>
              <w:bidi w:val="0"/>
              <w:spacing w:before="0" w:after="283"/>
              <w:jc w:val="left"/>
              <w:rPr/>
            </w:pPr>
            <w:r>
              <w:rPr/>
              <w:t> </w:t>
            </w:r>
          </w:p>
        </w:tc>
        <w:tc>
          <w:tcPr>
            <w:tcW w:w="82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Salary</w:t>
              <w:br/>
              <w:t>($)</w:t>
            </w:r>
          </w:p>
        </w:tc>
        <w:tc>
          <w:tcPr>
            <w:tcW w:w="2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1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Bonus</w:t>
              <w:br/>
              <w:t>($)</w:t>
            </w:r>
          </w:p>
        </w:tc>
        <w:tc>
          <w:tcPr>
            <w:tcW w:w="2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2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Stock</w:t>
              <w:br/>
              <w:t>Awards</w:t>
              <w:br/>
              <w:t>($)</w:t>
            </w:r>
          </w:p>
        </w:tc>
        <w:tc>
          <w:tcPr>
            <w:tcW w:w="1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1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Option</w:t>
              <w:br/>
              <w:t>Awards</w:t>
              <w:br/>
              <w:t>($)</w:t>
            </w:r>
          </w:p>
        </w:tc>
        <w:tc>
          <w:tcPr>
            <w:tcW w:w="1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3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Non-Equity</w:t>
              <w:br/>
              <w:t xml:space="preserve">Incentive Plan </w:t>
              <w:br/>
              <w:t>Compensation ($)</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3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Change in</w:t>
              <w:br/>
              <w:t>Pension Value</w:t>
              <w:br/>
              <w:t>and</w:t>
              <w:br/>
              <w:t>Nonqualified</w:t>
              <w:br/>
              <w:t>Deferred</w:t>
              <w:br/>
              <w:t>Compensation</w:t>
              <w:br/>
              <w:t>Earnings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3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All Other Compensation ($)</w:t>
            </w:r>
          </w:p>
        </w:tc>
        <w:tc>
          <w:tcPr>
            <w:tcW w:w="2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2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Total ($)</w:t>
            </w:r>
          </w:p>
        </w:tc>
        <w:tc>
          <w:tcPr>
            <w:tcW w:w="75" w:type="dxa"/>
            <w:tcBorders/>
            <w:tcMar>
              <w:bottom w:w="0" w:type="dxa"/>
            </w:tcMar>
            <w:vAlign w:val="center"/>
          </w:tcPr>
          <w:p>
            <w:pPr>
              <w:pStyle w:val="TableContents"/>
              <w:bidi w:val="0"/>
              <w:spacing w:before="0" w:after="283"/>
              <w:jc w:val="left"/>
              <w:rPr/>
            </w:pPr>
            <w:r>
              <w:rPr/>
              <w:t> </w:t>
            </w:r>
          </w:p>
        </w:tc>
      </w:tr>
      <w:tr>
        <w:trPr/>
        <w:tc>
          <w:tcPr>
            <w:tcW w:w="10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Joseph Davy – Chief Executive Officer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350,000</w:t>
            </w:r>
          </w:p>
        </w:tc>
        <w:tc>
          <w:tcPr>
            <w:tcW w:w="29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tcMar>
              <w:bottom w:w="0" w:type="dxa"/>
            </w:tcMar>
            <w:vAlign w:val="center"/>
          </w:tcPr>
          <w:p>
            <w:pPr>
              <w:pStyle w:val="TableContents"/>
              <w:bidi w:val="0"/>
              <w:spacing w:before="0" w:after="283"/>
              <w:jc w:val="right"/>
              <w:rPr/>
            </w:pPr>
            <w:r>
              <w:rPr/>
              <w:t>—</w:t>
            </w:r>
          </w:p>
        </w:tc>
        <w:tc>
          <w:tcPr>
            <w:tcW w:w="29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375,700</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tcMar>
              <w:bottom w:w="0" w:type="dxa"/>
            </w:tcMar>
            <w:vAlign w:val="center"/>
          </w:tcPr>
          <w:p>
            <w:pPr>
              <w:pStyle w:val="TableContents"/>
              <w:bidi w:val="0"/>
              <w:spacing w:before="0" w:after="283"/>
              <w:jc w:val="right"/>
              <w:rPr/>
            </w:pPr>
            <w:r>
              <w:rPr/>
              <w:t>—</w:t>
            </w:r>
          </w:p>
        </w:tc>
        <w:tc>
          <w:tcPr>
            <w:tcW w:w="18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 w:type="dxa"/>
            <w:tcBorders/>
            <w:shd w:fill="CCEEFF" w:val="clear"/>
            <w:tcMar>
              <w:bottom w:w="0" w:type="dxa"/>
            </w:tcMar>
            <w:vAlign w:val="center"/>
          </w:tcPr>
          <w:p>
            <w:pPr>
              <w:pStyle w:val="TableContents"/>
              <w:bidi w:val="0"/>
              <w:spacing w:before="0" w:after="283"/>
              <w:jc w:val="left"/>
              <w:rPr/>
            </w:pPr>
            <w:r>
              <w:rPr/>
              <w:t> </w:t>
            </w:r>
          </w:p>
        </w:tc>
        <w:tc>
          <w:tcPr>
            <w:tcW w:w="1154"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$ 125,000</w:t>
            </w:r>
          </w:p>
        </w:tc>
        <w:tc>
          <w:tcPr>
            <w:tcW w:w="215" w:type="dxa"/>
            <w:tcBorders/>
            <w:shd w:fill="CCEEFF" w:val="clear"/>
            <w:tcMar>
              <w:bottom w:w="0" w:type="dxa"/>
            </w:tcMar>
            <w:vAlign w:val="center"/>
          </w:tcPr>
          <w:p>
            <w:pPr>
              <w:pStyle w:val="TableContents"/>
              <w:bidi w:val="0"/>
              <w:spacing w:before="0" w:after="283"/>
              <w:jc w:val="left"/>
              <w:rPr/>
            </w:pPr>
            <w:r>
              <w:rPr/>
              <w:t>(1)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7"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28"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8"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47"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8,437</w:t>
            </w:r>
          </w:p>
        </w:tc>
        <w:tc>
          <w:tcPr>
            <w:tcW w:w="29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859,137</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0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Joseph Davy – Chief Executive Officer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310,417</w:t>
            </w:r>
          </w:p>
        </w:tc>
        <w:tc>
          <w:tcPr>
            <w:tcW w:w="29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590" w:type="dxa"/>
            <w:tcBorders/>
            <w:shd w:fill="FFFFFF" w:val="clear"/>
            <w:tcMar>
              <w:bottom w:w="0" w:type="dxa"/>
            </w:tcMar>
            <w:vAlign w:val="center"/>
          </w:tcPr>
          <w:p>
            <w:pPr>
              <w:pStyle w:val="TableContents"/>
              <w:bidi w:val="0"/>
              <w:spacing w:before="0" w:after="283"/>
              <w:jc w:val="right"/>
              <w:rPr/>
            </w:pPr>
            <w:r>
              <w:rPr/>
              <w:t>—</w:t>
            </w:r>
          </w:p>
        </w:tc>
        <w:tc>
          <w:tcPr>
            <w:tcW w:w="29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500,000</w:t>
            </w:r>
          </w:p>
        </w:tc>
        <w:tc>
          <w:tcPr>
            <w:tcW w:w="18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59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29,700</w:t>
            </w:r>
          </w:p>
        </w:tc>
        <w:tc>
          <w:tcPr>
            <w:tcW w:w="18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60" w:type="dxa"/>
            <w:tcBorders/>
            <w:shd w:fill="FFFFFF" w:val="clear"/>
            <w:tcMar>
              <w:bottom w:w="0" w:type="dxa"/>
            </w:tcMar>
            <w:vAlign w:val="center"/>
          </w:tcPr>
          <w:p>
            <w:pPr>
              <w:pStyle w:val="TableContents"/>
              <w:bidi w:val="0"/>
              <w:spacing w:before="0" w:after="283"/>
              <w:jc w:val="left"/>
              <w:rPr/>
            </w:pPr>
            <w:r>
              <w:rPr/>
              <w:t> </w:t>
            </w:r>
          </w:p>
        </w:tc>
        <w:tc>
          <w:tcPr>
            <w:tcW w:w="81" w:type="dxa"/>
            <w:tcBorders/>
            <w:shd w:fill="FFFFFF" w:val="clear"/>
            <w:tcMar>
              <w:bottom w:w="0" w:type="dxa"/>
            </w:tcMar>
            <w:vAlign w:val="center"/>
          </w:tcPr>
          <w:p>
            <w:pPr>
              <w:pStyle w:val="TableContents"/>
              <w:bidi w:val="0"/>
              <w:spacing w:before="0" w:after="283"/>
              <w:jc w:val="left"/>
              <w:rPr/>
            </w:pPr>
            <w:r>
              <w:rPr/>
              <w:t> </w:t>
            </w:r>
          </w:p>
        </w:tc>
        <w:tc>
          <w:tcPr>
            <w:tcW w:w="1154" w:type="dxa"/>
            <w:tcBorders/>
            <w:shd w:fill="FFFFFF" w:val="clear"/>
            <w:tcMar>
              <w:bottom w:w="0" w:type="dxa"/>
            </w:tcMar>
            <w:vAlign w:val="center"/>
          </w:tcPr>
          <w:p>
            <w:pPr>
              <w:pStyle w:val="TableContents"/>
              <w:bidi w:val="0"/>
              <w:spacing w:before="0" w:after="283"/>
              <w:jc w:val="right"/>
              <w:rPr/>
            </w:pPr>
            <w:r>
              <w:rPr/>
              <w:t>—</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7" w:type="dxa"/>
            <w:tcBorders/>
            <w:shd w:fill="FFFFFF" w:val="clear"/>
            <w:tcMar>
              <w:bottom w:w="0" w:type="dxa"/>
            </w:tcMar>
            <w:vAlign w:val="center"/>
          </w:tcPr>
          <w:p>
            <w:pPr>
              <w:pStyle w:val="TableContents"/>
              <w:bidi w:val="0"/>
              <w:spacing w:before="0" w:after="283"/>
              <w:jc w:val="left"/>
              <w:rPr/>
            </w:pPr>
            <w:r>
              <w:rPr/>
              <w:t> </w:t>
            </w:r>
          </w:p>
        </w:tc>
        <w:tc>
          <w:tcPr>
            <w:tcW w:w="1028"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8" w:type="dxa"/>
            <w:tcBorders/>
            <w:shd w:fill="FFFFFF" w:val="clear"/>
            <w:tcMar>
              <w:bottom w:w="0" w:type="dxa"/>
            </w:tcMar>
            <w:vAlign w:val="center"/>
          </w:tcPr>
          <w:p>
            <w:pPr>
              <w:pStyle w:val="TableContents"/>
              <w:bidi w:val="0"/>
              <w:spacing w:before="0" w:after="283"/>
              <w:jc w:val="left"/>
              <w:rPr/>
            </w:pPr>
            <w:r>
              <w:rPr/>
              <w:t> </w:t>
            </w:r>
          </w:p>
        </w:tc>
        <w:tc>
          <w:tcPr>
            <w:tcW w:w="1047"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12,000</w:t>
            </w:r>
          </w:p>
        </w:tc>
        <w:tc>
          <w:tcPr>
            <w:tcW w:w="29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852,117</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0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Simon Baumer – Chief Technology Officer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325,000</w:t>
            </w:r>
          </w:p>
        </w:tc>
        <w:tc>
          <w:tcPr>
            <w:tcW w:w="29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before="0" w:after="283"/>
              <w:jc w:val="right"/>
              <w:rPr/>
            </w:pPr>
            <w:r>
              <w:rPr/>
              <w:t>—</w:t>
            </w:r>
          </w:p>
        </w:tc>
        <w:tc>
          <w:tcPr>
            <w:tcW w:w="29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148,635</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before="0" w:after="283"/>
              <w:jc w:val="right"/>
              <w:rPr/>
            </w:pPr>
            <w:r>
              <w:rPr/>
              <w:t>—</w:t>
            </w:r>
          </w:p>
        </w:tc>
        <w:tc>
          <w:tcPr>
            <w:tcW w:w="18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 w:type="dxa"/>
            <w:tcBorders/>
            <w:shd w:fill="CCEEFF" w:val="clear"/>
            <w:tcMar>
              <w:bottom w:w="0" w:type="dxa"/>
            </w:tcMar>
            <w:vAlign w:val="center"/>
          </w:tcPr>
          <w:p>
            <w:pPr>
              <w:pStyle w:val="TableContents"/>
              <w:bidi w:val="0"/>
              <w:spacing w:before="0" w:after="283"/>
              <w:jc w:val="left"/>
              <w:rPr/>
            </w:pPr>
            <w:r>
              <w:rPr/>
              <w:t> </w:t>
            </w:r>
          </w:p>
        </w:tc>
        <w:tc>
          <w:tcPr>
            <w:tcW w:w="1154"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18,750</w:t>
            </w:r>
          </w:p>
        </w:tc>
        <w:tc>
          <w:tcPr>
            <w:tcW w:w="215" w:type="dxa"/>
            <w:tcBorders/>
            <w:shd w:fill="CCEEFF" w:val="clear"/>
            <w:tcMar>
              <w:bottom w:w="0" w:type="dxa"/>
            </w:tcMar>
            <w:vAlign w:val="center"/>
          </w:tcPr>
          <w:p>
            <w:pPr>
              <w:pStyle w:val="TableContents"/>
              <w:bidi w:val="0"/>
              <w:spacing w:before="0" w:after="283"/>
              <w:jc w:val="left"/>
              <w:rPr/>
            </w:pPr>
            <w:r>
              <w:rPr/>
              <w:t>(6)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7" w:type="dxa"/>
            <w:tcBorders/>
            <w:shd w:fill="CCEEFF" w:val="clear"/>
            <w:tcMar>
              <w:bottom w:w="0" w:type="dxa"/>
            </w:tcMar>
            <w:vAlign w:val="center"/>
          </w:tcPr>
          <w:p>
            <w:pPr>
              <w:pStyle w:val="TableContents"/>
              <w:bidi w:val="0"/>
              <w:spacing w:before="0" w:after="283"/>
              <w:jc w:val="left"/>
              <w:rPr/>
            </w:pPr>
            <w:r>
              <w:rPr/>
              <w:t> </w:t>
            </w:r>
          </w:p>
        </w:tc>
        <w:tc>
          <w:tcPr>
            <w:tcW w:w="1028"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8" w:type="dxa"/>
            <w:tcBorders/>
            <w:shd w:fill="CCEEFF" w:val="clear"/>
            <w:tcMar>
              <w:bottom w:w="0" w:type="dxa"/>
            </w:tcMar>
            <w:vAlign w:val="center"/>
          </w:tcPr>
          <w:p>
            <w:pPr>
              <w:pStyle w:val="TableContents"/>
              <w:bidi w:val="0"/>
              <w:spacing w:before="0" w:after="283"/>
              <w:jc w:val="left"/>
              <w:rPr/>
            </w:pPr>
            <w:r>
              <w:rPr/>
              <w:t> </w:t>
            </w:r>
          </w:p>
        </w:tc>
        <w:tc>
          <w:tcPr>
            <w:tcW w:w="1047"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250</w:t>
            </w:r>
          </w:p>
        </w:tc>
        <w:tc>
          <w:tcPr>
            <w:tcW w:w="29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492,635</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0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Simon Baumer – Chief Technology Officer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291,223</w:t>
            </w:r>
          </w:p>
        </w:tc>
        <w:tc>
          <w:tcPr>
            <w:tcW w:w="29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590" w:type="dxa"/>
            <w:tcBorders/>
            <w:shd w:fill="FFFFFF" w:val="clear"/>
            <w:tcMar>
              <w:bottom w:w="0" w:type="dxa"/>
            </w:tcMar>
            <w:vAlign w:val="center"/>
          </w:tcPr>
          <w:p>
            <w:pPr>
              <w:pStyle w:val="TableContents"/>
              <w:bidi w:val="0"/>
              <w:spacing w:before="0" w:after="283"/>
              <w:jc w:val="right"/>
              <w:rPr/>
            </w:pPr>
            <w:r>
              <w:rPr/>
              <w:t>—</w:t>
            </w:r>
          </w:p>
        </w:tc>
        <w:tc>
          <w:tcPr>
            <w:tcW w:w="29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283"/>
              <w:jc w:val="right"/>
              <w:rPr/>
            </w:pPr>
            <w:r>
              <w:rPr/>
              <w:t>—</w:t>
            </w:r>
          </w:p>
        </w:tc>
        <w:tc>
          <w:tcPr>
            <w:tcW w:w="18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59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7,425</w:t>
            </w:r>
          </w:p>
        </w:tc>
        <w:tc>
          <w:tcPr>
            <w:tcW w:w="18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60" w:type="dxa"/>
            <w:tcBorders/>
            <w:shd w:fill="FFFFFF" w:val="clear"/>
            <w:tcMar>
              <w:bottom w:w="0" w:type="dxa"/>
            </w:tcMar>
            <w:vAlign w:val="center"/>
          </w:tcPr>
          <w:p>
            <w:pPr>
              <w:pStyle w:val="TableContents"/>
              <w:bidi w:val="0"/>
              <w:spacing w:before="0" w:after="283"/>
              <w:jc w:val="left"/>
              <w:rPr/>
            </w:pPr>
            <w:r>
              <w:rPr/>
              <w:t> </w:t>
            </w:r>
          </w:p>
        </w:tc>
        <w:tc>
          <w:tcPr>
            <w:tcW w:w="81" w:type="dxa"/>
            <w:tcBorders/>
            <w:shd w:fill="FFFFFF" w:val="clear"/>
            <w:tcMar>
              <w:bottom w:w="0" w:type="dxa"/>
            </w:tcMar>
            <w:vAlign w:val="center"/>
          </w:tcPr>
          <w:p>
            <w:pPr>
              <w:pStyle w:val="TableContents"/>
              <w:bidi w:val="0"/>
              <w:spacing w:before="0" w:after="283"/>
              <w:jc w:val="left"/>
              <w:rPr/>
            </w:pPr>
            <w:r>
              <w:rPr/>
              <w:t> </w:t>
            </w:r>
          </w:p>
        </w:tc>
        <w:tc>
          <w:tcPr>
            <w:tcW w:w="1154" w:type="dxa"/>
            <w:tcBorders/>
            <w:shd w:fill="FFFFFF" w:val="clear"/>
            <w:tcMar>
              <w:bottom w:w="0" w:type="dxa"/>
            </w:tcMar>
            <w:vAlign w:val="center"/>
          </w:tcPr>
          <w:p>
            <w:pPr>
              <w:pStyle w:val="TableContents"/>
              <w:bidi w:val="0"/>
              <w:spacing w:before="0" w:after="283"/>
              <w:jc w:val="right"/>
              <w:rPr/>
            </w:pPr>
            <w:r>
              <w:rPr/>
              <w:t>—</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7" w:type="dxa"/>
            <w:tcBorders/>
            <w:shd w:fill="FFFFFF" w:val="clear"/>
            <w:tcMar>
              <w:bottom w:w="0" w:type="dxa"/>
            </w:tcMar>
            <w:vAlign w:val="center"/>
          </w:tcPr>
          <w:p>
            <w:pPr>
              <w:pStyle w:val="TableContents"/>
              <w:bidi w:val="0"/>
              <w:spacing w:before="0" w:after="283"/>
              <w:jc w:val="left"/>
              <w:rPr/>
            </w:pPr>
            <w:r>
              <w:rPr/>
              <w:t> </w:t>
            </w:r>
          </w:p>
        </w:tc>
        <w:tc>
          <w:tcPr>
            <w:tcW w:w="1028"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8" w:type="dxa"/>
            <w:tcBorders/>
            <w:shd w:fill="FFFFFF" w:val="clear"/>
            <w:tcMar>
              <w:bottom w:w="0" w:type="dxa"/>
            </w:tcMar>
            <w:vAlign w:val="center"/>
          </w:tcPr>
          <w:p>
            <w:pPr>
              <w:pStyle w:val="TableContents"/>
              <w:bidi w:val="0"/>
              <w:spacing w:before="0" w:after="283"/>
              <w:jc w:val="left"/>
              <w:rPr/>
            </w:pPr>
            <w:r>
              <w:rPr/>
              <w:t> </w:t>
            </w:r>
          </w:p>
        </w:tc>
        <w:tc>
          <w:tcPr>
            <w:tcW w:w="1047" w:type="dxa"/>
            <w:tcBorders/>
            <w:shd w:fill="FFFFFF" w:val="clear"/>
            <w:tcMar>
              <w:bottom w:w="0" w:type="dxa"/>
            </w:tcMar>
            <w:vAlign w:val="center"/>
          </w:tcPr>
          <w:p>
            <w:pPr>
              <w:pStyle w:val="TableContents"/>
              <w:bidi w:val="0"/>
              <w:spacing w:before="0" w:after="283"/>
              <w:jc w:val="right"/>
              <w:rPr/>
            </w:pPr>
            <w:r>
              <w:rPr/>
              <w:t>—</w:t>
            </w:r>
          </w:p>
        </w:tc>
        <w:tc>
          <w:tcPr>
            <w:tcW w:w="29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298,648</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0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Dean Ditto – Chief Financial Officer (8)</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128,125</w:t>
            </w:r>
          </w:p>
        </w:tc>
        <w:tc>
          <w:tcPr>
            <w:tcW w:w="29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before="0" w:after="283"/>
              <w:jc w:val="right"/>
              <w:rPr/>
            </w:pPr>
            <w:r>
              <w:rPr/>
              <w:t>—</w:t>
            </w:r>
          </w:p>
        </w:tc>
        <w:tc>
          <w:tcPr>
            <w:tcW w:w="29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100,000</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before="0" w:after="283"/>
              <w:jc w:val="right"/>
              <w:rPr/>
            </w:pPr>
            <w:r>
              <w:rPr/>
              <w:t>—</w:t>
            </w:r>
          </w:p>
        </w:tc>
        <w:tc>
          <w:tcPr>
            <w:tcW w:w="18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 w:type="dxa"/>
            <w:tcBorders/>
            <w:shd w:fill="CCEEFF" w:val="clear"/>
            <w:tcMar>
              <w:bottom w:w="0" w:type="dxa"/>
            </w:tcMar>
            <w:vAlign w:val="center"/>
          </w:tcPr>
          <w:p>
            <w:pPr>
              <w:pStyle w:val="TableContents"/>
              <w:bidi w:val="0"/>
              <w:spacing w:before="0" w:after="283"/>
              <w:jc w:val="left"/>
              <w:rPr/>
            </w:pPr>
            <w:r>
              <w:rPr/>
              <w:t> </w:t>
            </w:r>
          </w:p>
        </w:tc>
        <w:tc>
          <w:tcPr>
            <w:tcW w:w="1154"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25,000</w:t>
            </w:r>
          </w:p>
        </w:tc>
        <w:tc>
          <w:tcPr>
            <w:tcW w:w="215" w:type="dxa"/>
            <w:tcBorders/>
            <w:shd w:fill="CCEEFF" w:val="clear"/>
            <w:tcMar>
              <w:bottom w:w="0" w:type="dxa"/>
            </w:tcMar>
            <w:vAlign w:val="center"/>
          </w:tcPr>
          <w:p>
            <w:pPr>
              <w:pStyle w:val="TableContents"/>
              <w:bidi w:val="0"/>
              <w:spacing w:before="0" w:after="283"/>
              <w:jc w:val="left"/>
              <w:rPr/>
            </w:pPr>
            <w:r>
              <w:rPr/>
              <w:t>(6)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7" w:type="dxa"/>
            <w:tcBorders/>
            <w:shd w:fill="CCEEFF" w:val="clear"/>
            <w:tcMar>
              <w:bottom w:w="0" w:type="dxa"/>
            </w:tcMar>
            <w:vAlign w:val="center"/>
          </w:tcPr>
          <w:p>
            <w:pPr>
              <w:pStyle w:val="TableContents"/>
              <w:bidi w:val="0"/>
              <w:spacing w:before="0" w:after="283"/>
              <w:jc w:val="left"/>
              <w:rPr/>
            </w:pPr>
            <w:r>
              <w:rPr/>
              <w:t> </w:t>
            </w:r>
          </w:p>
        </w:tc>
        <w:tc>
          <w:tcPr>
            <w:tcW w:w="1028"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8" w:type="dxa"/>
            <w:tcBorders/>
            <w:shd w:fill="CCEEFF" w:val="clear"/>
            <w:tcMar>
              <w:bottom w:w="0" w:type="dxa"/>
            </w:tcMar>
            <w:vAlign w:val="center"/>
          </w:tcPr>
          <w:p>
            <w:pPr>
              <w:pStyle w:val="TableContents"/>
              <w:bidi w:val="0"/>
              <w:spacing w:before="0" w:after="283"/>
              <w:jc w:val="left"/>
              <w:rPr/>
            </w:pPr>
            <w:r>
              <w:rPr/>
              <w:t> </w:t>
            </w:r>
          </w:p>
        </w:tc>
        <w:tc>
          <w:tcPr>
            <w:tcW w:w="1047"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10,042</w:t>
            </w:r>
          </w:p>
        </w:tc>
        <w:tc>
          <w:tcPr>
            <w:tcW w:w="29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263,167</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0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Alvin Yip – former Interim Chief Financial Officer (8)</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241,500</w:t>
            </w:r>
          </w:p>
        </w:tc>
        <w:tc>
          <w:tcPr>
            <w:tcW w:w="29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590" w:type="dxa"/>
            <w:tcBorders/>
            <w:shd w:fill="FFFFFF" w:val="clear"/>
            <w:tcMar>
              <w:bottom w:w="0" w:type="dxa"/>
            </w:tcMar>
            <w:vAlign w:val="center"/>
          </w:tcPr>
          <w:p>
            <w:pPr>
              <w:pStyle w:val="TableContents"/>
              <w:bidi w:val="0"/>
              <w:spacing w:before="0" w:after="283"/>
              <w:jc w:val="right"/>
              <w:rPr/>
            </w:pPr>
            <w:r>
              <w:rPr/>
              <w:t>—</w:t>
            </w:r>
          </w:p>
        </w:tc>
        <w:tc>
          <w:tcPr>
            <w:tcW w:w="29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148,635</w:t>
            </w:r>
          </w:p>
        </w:tc>
        <w:tc>
          <w:tcPr>
            <w:tcW w:w="18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590" w:type="dxa"/>
            <w:tcBorders/>
            <w:shd w:fill="FFFFFF" w:val="clear"/>
            <w:tcMar>
              <w:bottom w:w="0" w:type="dxa"/>
            </w:tcMar>
            <w:vAlign w:val="center"/>
          </w:tcPr>
          <w:p>
            <w:pPr>
              <w:pStyle w:val="TableContents"/>
              <w:bidi w:val="0"/>
              <w:spacing w:before="0" w:after="283"/>
              <w:jc w:val="right"/>
              <w:rPr/>
            </w:pPr>
            <w:r>
              <w:rPr/>
              <w:t>—</w:t>
            </w:r>
          </w:p>
        </w:tc>
        <w:tc>
          <w:tcPr>
            <w:tcW w:w="18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1" w:type="dxa"/>
            <w:tcBorders/>
            <w:shd w:fill="FFFFFF" w:val="clear"/>
            <w:tcMar>
              <w:bottom w:w="0" w:type="dxa"/>
            </w:tcMar>
            <w:vAlign w:val="center"/>
          </w:tcPr>
          <w:p>
            <w:pPr>
              <w:pStyle w:val="TableContents"/>
              <w:bidi w:val="0"/>
              <w:spacing w:before="0" w:after="283"/>
              <w:jc w:val="left"/>
              <w:rPr/>
            </w:pPr>
            <w:r>
              <w:rPr/>
              <w:t> </w:t>
            </w:r>
          </w:p>
        </w:tc>
        <w:tc>
          <w:tcPr>
            <w:tcW w:w="1154"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12,500</w:t>
            </w:r>
          </w:p>
        </w:tc>
        <w:tc>
          <w:tcPr>
            <w:tcW w:w="215" w:type="dxa"/>
            <w:tcBorders/>
            <w:shd w:fill="FFFFFF" w:val="clear"/>
            <w:tcMar>
              <w:bottom w:w="0" w:type="dxa"/>
            </w:tcMar>
            <w:vAlign w:val="center"/>
          </w:tcPr>
          <w:p>
            <w:pPr>
              <w:pStyle w:val="TableContents"/>
              <w:bidi w:val="0"/>
              <w:spacing w:before="0" w:after="283"/>
              <w:jc w:val="left"/>
              <w:rPr/>
            </w:pPr>
            <w:r>
              <w:rPr/>
              <w:t>(6)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7" w:type="dxa"/>
            <w:tcBorders/>
            <w:shd w:fill="FFFFFF" w:val="clear"/>
            <w:tcMar>
              <w:bottom w:w="0" w:type="dxa"/>
            </w:tcMar>
            <w:vAlign w:val="center"/>
          </w:tcPr>
          <w:p>
            <w:pPr>
              <w:pStyle w:val="TableContents"/>
              <w:bidi w:val="0"/>
              <w:spacing w:before="0" w:after="283"/>
              <w:jc w:val="left"/>
              <w:rPr/>
            </w:pPr>
            <w:r>
              <w:rPr/>
              <w:t> </w:t>
            </w:r>
          </w:p>
        </w:tc>
        <w:tc>
          <w:tcPr>
            <w:tcW w:w="1028"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8" w:type="dxa"/>
            <w:tcBorders/>
            <w:shd w:fill="FFFFFF" w:val="clear"/>
            <w:tcMar>
              <w:bottom w:w="0" w:type="dxa"/>
            </w:tcMar>
            <w:vAlign w:val="center"/>
          </w:tcPr>
          <w:p>
            <w:pPr>
              <w:pStyle w:val="TableContents"/>
              <w:bidi w:val="0"/>
              <w:spacing w:before="0" w:after="283"/>
              <w:jc w:val="left"/>
              <w:rPr/>
            </w:pPr>
            <w:r>
              <w:rPr/>
              <w:t> </w:t>
            </w:r>
          </w:p>
        </w:tc>
        <w:tc>
          <w:tcPr>
            <w:tcW w:w="1047"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270</w:t>
            </w:r>
          </w:p>
        </w:tc>
        <w:tc>
          <w:tcPr>
            <w:tcW w:w="29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402,905</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0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Alvin Yip – former Interim Chief Financial Officer (8)</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220,833</w:t>
            </w:r>
          </w:p>
        </w:tc>
        <w:tc>
          <w:tcPr>
            <w:tcW w:w="29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before="0" w:after="283"/>
              <w:jc w:val="right"/>
              <w:rPr/>
            </w:pPr>
            <w:r>
              <w:rPr/>
              <w:t>—</w:t>
            </w:r>
          </w:p>
        </w:tc>
        <w:tc>
          <w:tcPr>
            <w:tcW w:w="29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50,000</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10,455</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 w:type="dxa"/>
            <w:tcBorders/>
            <w:shd w:fill="CCEEFF" w:val="clear"/>
            <w:tcMar>
              <w:bottom w:w="0" w:type="dxa"/>
            </w:tcMar>
            <w:vAlign w:val="center"/>
          </w:tcPr>
          <w:p>
            <w:pPr>
              <w:pStyle w:val="TableContents"/>
              <w:bidi w:val="0"/>
              <w:spacing w:before="0" w:after="283"/>
              <w:jc w:val="left"/>
              <w:rPr/>
            </w:pPr>
            <w:r>
              <w:rPr/>
              <w:t> </w:t>
            </w:r>
          </w:p>
        </w:tc>
        <w:tc>
          <w:tcPr>
            <w:tcW w:w="1154" w:type="dxa"/>
            <w:tcBorders/>
            <w:shd w:fill="CCEEFF" w:val="clear"/>
            <w:tcMar>
              <w:bottom w:w="0" w:type="dxa"/>
            </w:tcMar>
            <w:vAlign w:val="center"/>
          </w:tcPr>
          <w:p>
            <w:pPr>
              <w:pStyle w:val="TableContents"/>
              <w:bidi w:val="0"/>
              <w:spacing w:before="0" w:after="283"/>
              <w:jc w:val="right"/>
              <w:rPr/>
            </w:pPr>
            <w:r>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7" w:type="dxa"/>
            <w:tcBorders/>
            <w:shd w:fill="CCEEFF" w:val="clear"/>
            <w:tcMar>
              <w:bottom w:w="0" w:type="dxa"/>
            </w:tcMar>
            <w:vAlign w:val="center"/>
          </w:tcPr>
          <w:p>
            <w:pPr>
              <w:pStyle w:val="TableContents"/>
              <w:bidi w:val="0"/>
              <w:spacing w:before="0" w:after="283"/>
              <w:jc w:val="left"/>
              <w:rPr/>
            </w:pPr>
            <w:r>
              <w:rPr/>
              <w:t> </w:t>
            </w:r>
          </w:p>
        </w:tc>
        <w:tc>
          <w:tcPr>
            <w:tcW w:w="1028"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8" w:type="dxa"/>
            <w:tcBorders/>
            <w:shd w:fill="CCEEFF" w:val="clear"/>
            <w:tcMar>
              <w:bottom w:w="0" w:type="dxa"/>
            </w:tcMar>
            <w:vAlign w:val="center"/>
          </w:tcPr>
          <w:p>
            <w:pPr>
              <w:pStyle w:val="TableContents"/>
              <w:bidi w:val="0"/>
              <w:spacing w:before="0" w:after="283"/>
              <w:jc w:val="left"/>
              <w:rPr/>
            </w:pPr>
            <w:r>
              <w:rPr/>
              <w:t> </w:t>
            </w:r>
          </w:p>
        </w:tc>
        <w:tc>
          <w:tcPr>
            <w:tcW w:w="1047" w:type="dxa"/>
            <w:tcBorders/>
            <w:shd w:fill="CCEEFF" w:val="clear"/>
            <w:tcMar>
              <w:bottom w:w="0" w:type="dxa"/>
            </w:tcMar>
            <w:vAlign w:val="center"/>
          </w:tcPr>
          <w:p>
            <w:pPr>
              <w:pStyle w:val="TableContents"/>
              <w:bidi w:val="0"/>
              <w:spacing w:before="0" w:after="283"/>
              <w:jc w:val="right"/>
              <w:rPr/>
            </w:pPr>
            <w:r>
              <w:rPr/>
              <w:t>—</w:t>
            </w:r>
          </w:p>
        </w:tc>
        <w:tc>
          <w:tcPr>
            <w:tcW w:w="29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281,288</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0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Michael Kurtzman – Chief Revenue Officer (12)</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154,375</w:t>
            </w:r>
          </w:p>
        </w:tc>
        <w:tc>
          <w:tcPr>
            <w:tcW w:w="29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59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56,250</w:t>
            </w:r>
          </w:p>
        </w:tc>
        <w:tc>
          <w:tcPr>
            <w:tcW w:w="29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225,000</w:t>
            </w:r>
          </w:p>
        </w:tc>
        <w:tc>
          <w:tcPr>
            <w:tcW w:w="18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590" w:type="dxa"/>
            <w:tcBorders/>
            <w:shd w:fill="FFFFFF" w:val="clear"/>
            <w:tcMar>
              <w:bottom w:w="0" w:type="dxa"/>
            </w:tcMar>
            <w:vAlign w:val="center"/>
          </w:tcPr>
          <w:p>
            <w:pPr>
              <w:pStyle w:val="TableContents"/>
              <w:bidi w:val="0"/>
              <w:spacing w:before="0" w:after="283"/>
              <w:jc w:val="right"/>
              <w:rPr/>
            </w:pPr>
            <w:r>
              <w:rPr/>
              <w:t>—</w:t>
            </w:r>
          </w:p>
        </w:tc>
        <w:tc>
          <w:tcPr>
            <w:tcW w:w="18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1" w:type="dxa"/>
            <w:tcBorders/>
            <w:shd w:fill="FFFFFF" w:val="clear"/>
            <w:tcMar>
              <w:bottom w:w="0" w:type="dxa"/>
            </w:tcMar>
            <w:vAlign w:val="center"/>
          </w:tcPr>
          <w:p>
            <w:pPr>
              <w:pStyle w:val="TableContents"/>
              <w:bidi w:val="0"/>
              <w:spacing w:before="0" w:after="283"/>
              <w:jc w:val="left"/>
              <w:rPr/>
            </w:pPr>
            <w:r>
              <w:rPr/>
              <w:t> </w:t>
            </w:r>
          </w:p>
        </w:tc>
        <w:tc>
          <w:tcPr>
            <w:tcW w:w="1154" w:type="dxa"/>
            <w:tcBorders/>
            <w:shd w:fill="FFFFFF" w:val="clear"/>
            <w:tcMar>
              <w:bottom w:w="0" w:type="dxa"/>
            </w:tcMar>
            <w:vAlign w:val="center"/>
          </w:tcPr>
          <w:p>
            <w:pPr>
              <w:pStyle w:val="TableContents"/>
              <w:bidi w:val="0"/>
              <w:spacing w:before="0" w:after="283"/>
              <w:jc w:val="right"/>
              <w:rPr/>
            </w:pPr>
            <w:r>
              <w:rPr/>
              <w:t>—</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7" w:type="dxa"/>
            <w:tcBorders/>
            <w:shd w:fill="FFFFFF" w:val="clear"/>
            <w:tcMar>
              <w:bottom w:w="0" w:type="dxa"/>
            </w:tcMar>
            <w:vAlign w:val="center"/>
          </w:tcPr>
          <w:p>
            <w:pPr>
              <w:pStyle w:val="TableContents"/>
              <w:bidi w:val="0"/>
              <w:spacing w:before="0" w:after="283"/>
              <w:jc w:val="left"/>
              <w:rPr/>
            </w:pPr>
            <w:r>
              <w:rPr/>
              <w:t> </w:t>
            </w:r>
          </w:p>
        </w:tc>
        <w:tc>
          <w:tcPr>
            <w:tcW w:w="1028"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8" w:type="dxa"/>
            <w:tcBorders/>
            <w:shd w:fill="FFFFFF" w:val="clear"/>
            <w:tcMar>
              <w:bottom w:w="0" w:type="dxa"/>
            </w:tcMar>
            <w:vAlign w:val="center"/>
          </w:tcPr>
          <w:p>
            <w:pPr>
              <w:pStyle w:val="TableContents"/>
              <w:bidi w:val="0"/>
              <w:spacing w:before="0" w:after="283"/>
              <w:jc w:val="left"/>
              <w:rPr/>
            </w:pPr>
            <w:r>
              <w:rPr/>
              <w:t> </w:t>
            </w:r>
          </w:p>
        </w:tc>
        <w:tc>
          <w:tcPr>
            <w:tcW w:w="1047"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250</w:t>
            </w:r>
          </w:p>
        </w:tc>
        <w:tc>
          <w:tcPr>
            <w:tcW w:w="29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435,875</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0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Mark Musburger – former Chief Financial Officer (14)</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106,714</w:t>
            </w:r>
          </w:p>
        </w:tc>
        <w:tc>
          <w:tcPr>
            <w:tcW w:w="29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before="0" w:after="283"/>
              <w:jc w:val="right"/>
              <w:rPr/>
            </w:pPr>
            <w:r>
              <w:rPr/>
              <w:t>—</w:t>
            </w:r>
          </w:p>
        </w:tc>
        <w:tc>
          <w:tcPr>
            <w:tcW w:w="29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283"/>
              <w:jc w:val="right"/>
              <w:rPr/>
            </w:pPr>
            <w:r>
              <w:rPr/>
              <w:t>—</w:t>
            </w:r>
          </w:p>
        </w:tc>
        <w:tc>
          <w:tcPr>
            <w:tcW w:w="18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before="0" w:after="283"/>
              <w:jc w:val="right"/>
              <w:rPr/>
            </w:pPr>
            <w:r>
              <w:rPr/>
              <w:t>—</w:t>
            </w:r>
          </w:p>
        </w:tc>
        <w:tc>
          <w:tcPr>
            <w:tcW w:w="18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 w:type="dxa"/>
            <w:tcBorders/>
            <w:shd w:fill="CCEEFF" w:val="clear"/>
            <w:tcMar>
              <w:bottom w:w="0" w:type="dxa"/>
            </w:tcMar>
            <w:vAlign w:val="center"/>
          </w:tcPr>
          <w:p>
            <w:pPr>
              <w:pStyle w:val="TableContents"/>
              <w:bidi w:val="0"/>
              <w:spacing w:before="0" w:after="283"/>
              <w:jc w:val="left"/>
              <w:rPr/>
            </w:pPr>
            <w:r>
              <w:rPr/>
              <w:t> </w:t>
            </w:r>
          </w:p>
        </w:tc>
        <w:tc>
          <w:tcPr>
            <w:tcW w:w="1154" w:type="dxa"/>
            <w:tcBorders/>
            <w:shd w:fill="CCEEFF" w:val="clear"/>
            <w:tcMar>
              <w:bottom w:w="0" w:type="dxa"/>
            </w:tcMar>
            <w:vAlign w:val="center"/>
          </w:tcPr>
          <w:p>
            <w:pPr>
              <w:pStyle w:val="TableContents"/>
              <w:bidi w:val="0"/>
              <w:spacing w:before="0" w:after="283"/>
              <w:jc w:val="right"/>
              <w:rPr/>
            </w:pPr>
            <w:r>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7" w:type="dxa"/>
            <w:tcBorders/>
            <w:shd w:fill="CCEEFF" w:val="clear"/>
            <w:tcMar>
              <w:bottom w:w="0" w:type="dxa"/>
            </w:tcMar>
            <w:vAlign w:val="center"/>
          </w:tcPr>
          <w:p>
            <w:pPr>
              <w:pStyle w:val="TableContents"/>
              <w:bidi w:val="0"/>
              <w:spacing w:before="0" w:after="283"/>
              <w:jc w:val="left"/>
              <w:rPr/>
            </w:pPr>
            <w:r>
              <w:rPr/>
              <w:t> </w:t>
            </w:r>
          </w:p>
        </w:tc>
        <w:tc>
          <w:tcPr>
            <w:tcW w:w="1028"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8" w:type="dxa"/>
            <w:tcBorders/>
            <w:shd w:fill="CCEEFF" w:val="clear"/>
            <w:tcMar>
              <w:bottom w:w="0" w:type="dxa"/>
            </w:tcMar>
            <w:vAlign w:val="center"/>
          </w:tcPr>
          <w:p>
            <w:pPr>
              <w:pStyle w:val="TableContents"/>
              <w:bidi w:val="0"/>
              <w:spacing w:before="0" w:after="283"/>
              <w:jc w:val="left"/>
              <w:rPr/>
            </w:pPr>
            <w:r>
              <w:rPr/>
              <w:t> </w:t>
            </w:r>
          </w:p>
        </w:tc>
        <w:tc>
          <w:tcPr>
            <w:tcW w:w="1047"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125,000</w:t>
            </w:r>
          </w:p>
        </w:tc>
        <w:tc>
          <w:tcPr>
            <w:tcW w:w="29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231,714</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0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Ashley Levesque – former Vice President of Marketing (16)</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78,750</w:t>
            </w:r>
          </w:p>
        </w:tc>
        <w:tc>
          <w:tcPr>
            <w:tcW w:w="29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590" w:type="dxa"/>
            <w:tcBorders/>
            <w:shd w:fill="FFFFFF" w:val="clear"/>
            <w:tcMar>
              <w:bottom w:w="0" w:type="dxa"/>
            </w:tcMar>
            <w:vAlign w:val="center"/>
          </w:tcPr>
          <w:p>
            <w:pPr>
              <w:pStyle w:val="TableContents"/>
              <w:bidi w:val="0"/>
              <w:spacing w:before="0" w:after="283"/>
              <w:jc w:val="right"/>
              <w:rPr/>
            </w:pPr>
            <w:r>
              <w:rPr/>
              <w:t>—</w:t>
            </w:r>
          </w:p>
        </w:tc>
        <w:tc>
          <w:tcPr>
            <w:tcW w:w="29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283"/>
              <w:jc w:val="right"/>
              <w:rPr/>
            </w:pPr>
            <w:r>
              <w:rPr/>
              <w:t>—</w:t>
            </w:r>
          </w:p>
        </w:tc>
        <w:tc>
          <w:tcPr>
            <w:tcW w:w="18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590" w:type="dxa"/>
            <w:tcBorders/>
            <w:shd w:fill="FFFFFF" w:val="clear"/>
            <w:tcMar>
              <w:bottom w:w="0" w:type="dxa"/>
            </w:tcMar>
            <w:vAlign w:val="center"/>
          </w:tcPr>
          <w:p>
            <w:pPr>
              <w:pStyle w:val="TableContents"/>
              <w:bidi w:val="0"/>
              <w:spacing w:before="0" w:after="283"/>
              <w:jc w:val="right"/>
              <w:rPr/>
            </w:pPr>
            <w:r>
              <w:rPr/>
              <w:t>—</w:t>
            </w:r>
          </w:p>
        </w:tc>
        <w:tc>
          <w:tcPr>
            <w:tcW w:w="18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1" w:type="dxa"/>
            <w:tcBorders/>
            <w:shd w:fill="FFFFFF" w:val="clear"/>
            <w:tcMar>
              <w:bottom w:w="0" w:type="dxa"/>
            </w:tcMar>
            <w:vAlign w:val="center"/>
          </w:tcPr>
          <w:p>
            <w:pPr>
              <w:pStyle w:val="TableContents"/>
              <w:bidi w:val="0"/>
              <w:spacing w:before="0" w:after="283"/>
              <w:jc w:val="left"/>
              <w:rPr/>
            </w:pPr>
            <w:r>
              <w:rPr/>
              <w:t> </w:t>
            </w:r>
          </w:p>
        </w:tc>
        <w:tc>
          <w:tcPr>
            <w:tcW w:w="1154" w:type="dxa"/>
            <w:tcBorders/>
            <w:shd w:fill="FFFFFF" w:val="clear"/>
            <w:tcMar>
              <w:bottom w:w="0" w:type="dxa"/>
            </w:tcMar>
            <w:vAlign w:val="center"/>
          </w:tcPr>
          <w:p>
            <w:pPr>
              <w:pStyle w:val="TableContents"/>
              <w:bidi w:val="0"/>
              <w:spacing w:before="0" w:after="283"/>
              <w:jc w:val="right"/>
              <w:rPr/>
            </w:pPr>
            <w:r>
              <w:rPr/>
              <w:t>—</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7" w:type="dxa"/>
            <w:tcBorders/>
            <w:shd w:fill="FFFFFF" w:val="clear"/>
            <w:tcMar>
              <w:bottom w:w="0" w:type="dxa"/>
            </w:tcMar>
            <w:vAlign w:val="center"/>
          </w:tcPr>
          <w:p>
            <w:pPr>
              <w:pStyle w:val="TableContents"/>
              <w:bidi w:val="0"/>
              <w:spacing w:before="0" w:after="283"/>
              <w:jc w:val="left"/>
              <w:rPr/>
            </w:pPr>
            <w:r>
              <w:rPr/>
              <w:t> </w:t>
            </w:r>
          </w:p>
        </w:tc>
        <w:tc>
          <w:tcPr>
            <w:tcW w:w="1028"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8" w:type="dxa"/>
            <w:tcBorders/>
            <w:shd w:fill="FFFFFF" w:val="clear"/>
            <w:tcMar>
              <w:bottom w:w="0" w:type="dxa"/>
            </w:tcMar>
            <w:vAlign w:val="center"/>
          </w:tcPr>
          <w:p>
            <w:pPr>
              <w:pStyle w:val="TableContents"/>
              <w:bidi w:val="0"/>
              <w:spacing w:before="0" w:after="283"/>
              <w:jc w:val="left"/>
              <w:rPr/>
            </w:pPr>
            <w:r>
              <w:rPr/>
              <w:t> </w:t>
            </w:r>
          </w:p>
        </w:tc>
        <w:tc>
          <w:tcPr>
            <w:tcW w:w="1047"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3,150</w:t>
            </w:r>
          </w:p>
        </w:tc>
        <w:tc>
          <w:tcPr>
            <w:tcW w:w="29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81,900</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firstLine="432"/>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13"/>
        <w:gridCol w:w="9892"/>
      </w:tblGrid>
      <w:tr>
        <w:trPr/>
        <w:tc>
          <w:tcPr>
            <w:tcW w:w="3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Stock Awards amount includes the aggregate grant date fair value of an equity award with market conditions to Mr. Davy during the year ended December 31, 2025 under the 2023 Equity Incentive Plan determined in accordance with ASC Topic 718. See </w:t>
            </w:r>
            <w:r>
              <w:rPr>
                <w:rFonts w:ascii="Times New Roman;Times;Serif" w:hAnsi="Times New Roman;Times;Serif"/>
                <w:b w:val="false"/>
                <w:i/>
                <w:caps w:val="false"/>
                <w:smallCaps w:val="false"/>
                <w:sz w:val="20"/>
              </w:rPr>
              <w:t>Note 16 – Stock-Based Compensation</w:t>
            </w:r>
            <w:r>
              <w:rPr>
                <w:rFonts w:ascii="Times New Roman;Times;Serif" w:hAnsi="Times New Roman;Times;Serif"/>
                <w:b w:val="false"/>
                <w:i w:val="false"/>
                <w:caps w:val="false"/>
                <w:smallCaps w:val="false"/>
                <w:sz w:val="20"/>
              </w:rPr>
              <w:t xml:space="preserve"> to our consolidated financial statements included in this Registration Statement. These amounts do not reflect the actual economic value that may be realized by the named executive officer. The Non-Equity Incentive Compensation Plan described in “2025 Bonuses” below. The All Other Compensation amount consists of Company-match 401(k) plan contributions of $8,167, a home office stipend of $250, and a miscellaneous bonus of $20.</w:t>
            </w:r>
          </w:p>
        </w:tc>
      </w:tr>
      <w:tr>
        <w:trPr/>
        <w:tc>
          <w:tcPr>
            <w:tcW w:w="3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These amounts include the aggregate grant date fair value of RSU awards to our named executive officers during the year ended December 31, 2024 under the 2023 Equity Incentive Plan (Mr. Davy: $500,000; Mr. Yip: $50,000) determined in accordance with ASC Topic 718. See </w:t>
            </w:r>
            <w:r>
              <w:rPr>
                <w:rFonts w:ascii="Times New Roman;Times;Serif" w:hAnsi="Times New Roman;Times;Serif"/>
                <w:b w:val="false"/>
                <w:i/>
                <w:caps w:val="false"/>
                <w:smallCaps w:val="false"/>
                <w:sz w:val="20"/>
              </w:rPr>
              <w:t>Note 16 – Stock-Based Compensation</w:t>
            </w:r>
            <w:r>
              <w:rPr>
                <w:rFonts w:ascii="Times New Roman;Times;Serif" w:hAnsi="Times New Roman;Times;Serif"/>
                <w:b w:val="false"/>
                <w:i w:val="false"/>
                <w:caps w:val="false"/>
                <w:smallCaps w:val="false"/>
                <w:sz w:val="20"/>
              </w:rPr>
              <w:t xml:space="preserve"> to our consolidated financial statements included in this Registration Statement. These amounts do not reflect the actual economic value that may be realized by the named executive officer.</w:t>
            </w:r>
          </w:p>
        </w:tc>
      </w:tr>
      <w:tr>
        <w:trPr/>
        <w:tc>
          <w:tcPr>
            <w:tcW w:w="3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amounts include the aggregate grant date fair value of stock options granted to our named executive officers during the year ended December 31, 2024 under the 2023 Equity Incentive Plan (Mr. Davy: $29,700; Mr. Baumer: $7,425; and Mr. Yip: $10,455) determined in accordance with ASC Topic 718. See </w:t>
            </w:r>
            <w:r>
              <w:rPr>
                <w:rFonts w:ascii="Times New Roman;Times;Serif" w:hAnsi="Times New Roman;Times;Serif"/>
                <w:b w:val="false"/>
                <w:i/>
                <w:caps w:val="false"/>
                <w:smallCaps w:val="false"/>
                <w:sz w:val="20"/>
              </w:rPr>
              <w:t>Note 16 – Stock-Based Compensation</w:t>
            </w:r>
            <w:r>
              <w:rPr>
                <w:rFonts w:ascii="Times New Roman;Times;Serif" w:hAnsi="Times New Roman;Times;Serif"/>
                <w:b w:val="false"/>
                <w:i w:val="false"/>
                <w:caps w:val="false"/>
                <w:smallCaps w:val="false"/>
                <w:sz w:val="20"/>
              </w:rPr>
              <w:t xml:space="preserve"> to our consolidated financial statements included in this Registration Statement. These amounts do not reflect the actual economic value that may be realized by the named executive officer.</w:t>
            </w:r>
          </w:p>
        </w:tc>
      </w:tr>
      <w:tr>
        <w:trPr/>
        <w:tc>
          <w:tcPr>
            <w:tcW w:w="3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8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Company-match 401(k) plan contributions.</w:t>
            </w:r>
          </w:p>
        </w:tc>
      </w:tr>
      <w:tr>
        <w:trPr/>
        <w:tc>
          <w:tcPr>
            <w:tcW w:w="3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These amounts consist of the aggregate grant date fair value of RSU awards to our named executive officers during the year ended December 31, 2025 under the 2023 Equity Incentive Plan (Mr. Baumer: $148,635; Mr. Ditto: $100,000; Mr. Kurtzman: $225,000; and Mr. Yip: $148,635) determined in accordance with ASC Topic 718. </w:t>
            </w:r>
            <w:r>
              <w:rPr>
                <w:rFonts w:ascii="Times New Roman;Times;Serif" w:hAnsi="Times New Roman;Times;Serif"/>
                <w:b w:val="false"/>
                <w:i/>
                <w:caps w:val="false"/>
                <w:smallCaps w:val="false"/>
                <w:sz w:val="20"/>
              </w:rPr>
              <w:t>Note 16 – Stock-Based Compensation</w:t>
            </w:r>
            <w:r>
              <w:rPr>
                <w:rFonts w:ascii="Times New Roman;Times;Serif" w:hAnsi="Times New Roman;Times;Serif"/>
                <w:b w:val="false"/>
                <w:i w:val="false"/>
                <w:caps w:val="false"/>
                <w:smallCaps w:val="false"/>
                <w:sz w:val="20"/>
              </w:rPr>
              <w:t xml:space="preserve"> to our consolidated financial statements included in this Registration Statement. These amounts do not reflect the actual economic value that may be realized by the named executive officer.</w:t>
            </w:r>
          </w:p>
        </w:tc>
      </w:tr>
      <w:tr>
        <w:trPr/>
        <w:tc>
          <w:tcPr>
            <w:tcW w:w="3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annual cash incentive bonuses, as further described in “2025 Bonuses.”</w:t>
            </w:r>
          </w:p>
        </w:tc>
      </w:tr>
      <w:tr>
        <w:trPr/>
        <w:tc>
          <w:tcPr>
            <w:tcW w:w="3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home office stipend.</w:t>
            </w:r>
          </w:p>
        </w:tc>
      </w:tr>
      <w:tr>
        <w:trPr/>
        <w:tc>
          <w:tcPr>
            <w:tcW w:w="3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 2025, Mr. Ditto was appointed as our Chief Financial Officer, as further described in “2025 Compensation Update.” Mr. Ditto replaced Mr. Yip who had served as our interim Chief Financial Officer since June 14, 2024.</w:t>
            </w:r>
          </w:p>
        </w:tc>
      </w:tr>
      <w:tr>
        <w:trPr/>
        <w:tc>
          <w:tcPr>
            <w:tcW w:w="3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98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amount consists of Company-match 401(k) plan contributions of $5,042 and a temporary housing allowance of $5,000.</w:t>
            </w:r>
          </w:p>
        </w:tc>
      </w:tr>
      <w:tr>
        <w:trPr/>
        <w:tc>
          <w:tcPr>
            <w:tcW w:w="313"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2024, the Board approved increasing Mr. Yip’s salary to $241,500 per year, effective as of January 1, 2025.</w:t>
            </w:r>
          </w:p>
        </w:tc>
      </w:tr>
      <w:tr>
        <w:trPr/>
        <w:tc>
          <w:tcPr>
            <w:tcW w:w="3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98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a home office stipend of $250, and a miscellaneous bonus of $20.</w:t>
            </w:r>
          </w:p>
        </w:tc>
      </w:tr>
      <w:tr>
        <w:trPr/>
        <w:tc>
          <w:tcPr>
            <w:tcW w:w="3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16, 2025, Mr. Kurtzman was appointed as our Chief Revenue Officer, as further described in “2025 Compensation Update.”</w:t>
            </w:r>
          </w:p>
        </w:tc>
      </w:tr>
      <w:tr>
        <w:trPr/>
        <w:tc>
          <w:tcPr>
            <w:tcW w:w="3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the guaranteed portion of an annual cash incentive bonus, as further described in “2025 Bonuses.”</w:t>
            </w:r>
          </w:p>
        </w:tc>
      </w:tr>
      <w:tr>
        <w:trPr/>
        <w:tc>
          <w:tcPr>
            <w:tcW w:w="3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98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5, 2024, Mark Musburger resigned from his position as Chief Financial Officer.</w:t>
            </w:r>
          </w:p>
        </w:tc>
      </w:tr>
      <w:tr>
        <w:trPr/>
        <w:tc>
          <w:tcPr>
            <w:tcW w:w="3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a retention bonus paid in 2024.</w:t>
            </w:r>
          </w:p>
        </w:tc>
      </w:tr>
      <w:tr>
        <w:trPr/>
        <w:tc>
          <w:tcPr>
            <w:tcW w:w="3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c>
          <w:tcPr>
            <w:tcW w:w="98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On May 29, 2024, Ashley Levesque resigned from her position as Vice President of Marketing.</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Narrative Disclosure to Summary Compensation Table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2025 Compensation Update</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In connection with Mr. Ditto’s appointment as Chief Financial Officer in July 2025, the Company and Mr. Ditto entered into an employment offer letter (the “Ditto Offer Letter”), effective July 2, 2025. Pursuant to the Ditto Offer Letter, Mr. Ditto (i) is entitled to receive an annual salary of $275,000 per annum; and (ii) will be eligible to receive an annual incentive cash bonus of $100,000, subject to the achievement of certain goals, the specifics of which were to be agreed upon at a later date. In addition to his annual salary, the Board approved an award of RSUs equivalent to $100,000. </w:t>
      </w:r>
      <w:r>
        <w:rPr>
          <w:rFonts w:ascii="Times New Roman;Times;Serif" w:hAnsi="Times New Roman;Times;Serif"/>
          <w:b w:val="false"/>
          <w:i w:val="false"/>
          <w:caps w:val="false"/>
          <w:smallCaps w:val="false"/>
          <w:sz w:val="20"/>
        </w:rPr>
        <w:t>The RSUs will vest quarterly and the last ¼ will become fully vested 12 months after they are approved by the Board. The equity will be subject to the terms and conditions of the Company’s 2023 Equity Incentive Plan.</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In connection with Mr. Kurtzman’s appointment as Chief Revenue Officer in June 2025, the Company and Mr. Kurtzman entered into an employment offer letter (the “Kurtzman Offer Letter”), effective May 16, 2025. Pursuant to the Kurtzman Offer Letter, Mr. Kurtzman (i) is entitled to receive an annual salary of $285,000 per annum; and (ii) will be eligible to receive an annual incentive cash bonus of $225,000, of which, $56,250 is guaranteed, and the remainder of which is subject to the achievement of certain goals, the specifics of which were to be agreed upon at a later date. In addition to his annual salary, the Board approved an award of RSUs equivalent to $225,000. </w:t>
      </w:r>
      <w:r>
        <w:rPr>
          <w:rFonts w:ascii="Times New Roman;Times;Serif" w:hAnsi="Times New Roman;Times;Serif"/>
          <w:b w:val="false"/>
          <w:i w:val="false"/>
          <w:caps w:val="false"/>
          <w:smallCaps w:val="false"/>
          <w:sz w:val="20"/>
        </w:rPr>
        <w:t>The RSUs will vest quarterly and the last ¼ will become fully vested 12 months after they are approved by the Board. The equity will be subject to the terms and conditions of the Company’s 2023 Equity Incentive Plan.</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2025 Bonuses</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base salaries, our named executive officers are eligible to receive annual performance-based cash bonuses, which are designed to provide appropriate incentives to our employees to achieve defined performance goals.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2025, Mr. Davy earned an annual incentive bonus of $125,000 that was paid in stock, and Mr. Ditto and Mr. Baumer earned annual incentive cash bonuses of $25,000 and $18,750, respectively. Mr. Kurtzman earned the guaranteed portion of his annual incentive cash bonus of $56,250.</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our named executive officers received annual performance-based cash bonuses with respect to the year ended December 31, 2024.</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Equity Grants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further align the interests of our executive officers with the interests of our stockholders and to further focus our executive officers on our long-term performance, we grant equity compensation in the form of restricted stock units (RSUs) and stock options.</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the Company granted RSUs. Each RSU entitles the recipient to one share of Class A Common Stock upon vesting. RSU awards vest 25% quarterly over a period of one year, subject to the named executive officer’s continued service at each vesting date. The Company measures the fair value of RSUs using the stock price on the date of grant.</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2025, the Company granted Mr. Davy an equity award that includes a market condition based on specified market capitalization thresholds at $15.0 million, $20 million, $25 million and $30.0 million, which result in tranches of stock grants of $250 thousand, $500 thousand, $500 thousand and $750 thousand, respectively, up to $2.0 million in the aggregate (“CEO Award”) which had a grant date fair value of $375,700. Mr. Baumer, Mr. Ditto and Mr. Kurtzman were granted 9,709 RSUs, 32,362 RSUs, and 72,815 RSUs, which had a grant date fair value of $148,635, $100,000, and $225,000,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2024, the Company granted Mr. Davy and Mr. Yip 30,488 RSUs and 3,289 RSUs, which had a grant date fair value of $500,000 and $50,000, respectively.</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Historically, the Company granted stock options. Stock options allow the holder to exercise the stock option and receive shares upon exercise, with the exercise price determined based on the fair market value of a share of common stock at the time of grant.</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stock options granted to our named executive officers vested or will vest in a 25% increment on the one-year anniversary of the vesting commencement date and thereafter 1/48</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of the total shares underlying the option award vests in 36 equal monthly installments, subject to the named executive officer’s continued service at each vesting date.</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2024, the Company granted Mr. Davy, Mr. Baumer, and Mr. Yip 1,200 stock options, 300 stock options, and 8 stock options, which had a grant date fair value of $29,700, $43,433, and $95,074, respectively.</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Outstanding Equity Awards as of December 31, 2025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outstanding equity incentive plan awards held by each named executive officer as of December 31, 2025:</w:t>
      </w:r>
    </w:p>
    <w:p>
      <w:pPr>
        <w:pStyle w:val="TextBody"/>
        <w:bidi w:val="0"/>
        <w:spacing w:before="0" w:after="0"/>
        <w:ind w:left="0" w:right="0" w:firstLine="432"/>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76"/>
        <w:gridCol w:w="60"/>
        <w:gridCol w:w="160"/>
        <w:gridCol w:w="895"/>
        <w:gridCol w:w="60"/>
        <w:gridCol w:w="60"/>
        <w:gridCol w:w="185"/>
        <w:gridCol w:w="1035"/>
        <w:gridCol w:w="60"/>
        <w:gridCol w:w="60"/>
        <w:gridCol w:w="83"/>
        <w:gridCol w:w="672"/>
        <w:gridCol w:w="60"/>
        <w:gridCol w:w="60"/>
        <w:gridCol w:w="950"/>
        <w:gridCol w:w="60"/>
        <w:gridCol w:w="159"/>
        <w:gridCol w:w="689"/>
        <w:gridCol w:w="60"/>
        <w:gridCol w:w="60"/>
        <w:gridCol w:w="153"/>
        <w:gridCol w:w="672"/>
        <w:gridCol w:w="60"/>
        <w:gridCol w:w="60"/>
        <w:gridCol w:w="100"/>
        <w:gridCol w:w="986"/>
        <w:gridCol w:w="222"/>
        <w:gridCol w:w="60"/>
        <w:gridCol w:w="75"/>
        <w:gridCol w:w="871"/>
        <w:gridCol w:w="242"/>
      </w:tblGrid>
      <w:tr>
        <w:trPr/>
        <w:tc>
          <w:tcPr>
            <w:tcW w:w="127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90" w:type="dxa"/>
            <w:gridSpan w:val="1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Option Awards (1)</w:t>
            </w:r>
          </w:p>
        </w:tc>
        <w:tc>
          <w:tcPr>
            <w:tcW w:w="9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4227"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Stock Awards (2)</w:t>
            </w:r>
          </w:p>
        </w:tc>
        <w:tc>
          <w:tcPr>
            <w:tcW w:w="242" w:type="dxa"/>
            <w:tcBorders/>
            <w:vAlign w:val="center"/>
          </w:tcPr>
          <w:p>
            <w:pPr>
              <w:pStyle w:val="TableContents"/>
              <w:bidi w:val="0"/>
              <w:spacing w:before="0" w:after="283"/>
              <w:jc w:val="center"/>
              <w:rPr/>
            </w:pPr>
            <w:r>
              <w:rPr/>
              <w:t> </w:t>
            </w:r>
          </w:p>
        </w:tc>
      </w:tr>
      <w:tr>
        <w:trPr/>
        <w:tc>
          <w:tcPr>
            <w:tcW w:w="127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55"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Number of</w:t>
              <w:br/>
              <w:t>Securities</w:t>
              <w:br/>
              <w:t>Underlying</w:t>
              <w:br/>
              <w:t>Unexercised</w:t>
              <w:br/>
              <w:t>Options</w:t>
              <w:br/>
              <w:t>Exercisable</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2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Number of</w:t>
              <w:br/>
              <w:t>Securities</w:t>
              <w:br/>
              <w:t>Underlying</w:t>
              <w:br/>
              <w:t>Unexercised</w:t>
              <w:br/>
              <w:t>Options</w:t>
              <w:br/>
              <w:t>Unexercisable</w:t>
              <w:br/>
              <w:t>(3)</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55"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Options</w:t>
              <w:br/>
              <w:t>Exercise</w:t>
              <w:br/>
              <w:t>Prices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5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Option</w:t>
              <w:br/>
              <w:t>Expiration</w:t>
              <w:br/>
              <w:t>Date</w:t>
            </w:r>
          </w:p>
        </w:tc>
        <w:tc>
          <w:tcPr>
            <w:tcW w:w="60" w:type="dxa"/>
            <w:tcBorders/>
            <w:vAlign w:val="center"/>
          </w:tcPr>
          <w:p>
            <w:pPr>
              <w:pStyle w:val="TableContents"/>
              <w:bidi w:val="0"/>
              <w:spacing w:before="0" w:after="283"/>
              <w:jc w:val="center"/>
              <w:rPr/>
            </w:pPr>
            <w:r>
              <w:rPr/>
              <w:t> </w:t>
            </w:r>
          </w:p>
        </w:tc>
        <w:tc>
          <w:tcPr>
            <w:tcW w:w="848"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Number of</w:t>
              <w:br/>
              <w:t>Shares or</w:t>
              <w:br/>
              <w:t>Units of</w:t>
              <w:br/>
              <w:t>Stock That</w:t>
              <w:br/>
              <w:t>Have Not</w:t>
              <w:br/>
              <w:t>Vested</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25"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Market</w:t>
              <w:br/>
              <w:t>Value of</w:t>
              <w:br/>
              <w:t>Shares or</w:t>
              <w:br/>
              <w:t>Units of</w:t>
              <w:br/>
              <w:t>Stock That</w:t>
              <w:br/>
              <w:t>Have Not</w:t>
              <w:br/>
              <w:t>Vested</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86"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Equity</w:t>
              <w:br/>
              <w:t>Incentive Plan</w:t>
              <w:br/>
              <w:t>Awards:</w:t>
              <w:br/>
              <w:t>Number of</w:t>
              <w:br/>
              <w:t>Unearned</w:t>
              <w:br/>
              <w:t>Shares, Units</w:t>
              <w:br/>
              <w:t>or Other</w:t>
              <w:br/>
              <w:t>Rights That</w:t>
              <w:br/>
              <w:t>Have Not</w:t>
              <w:br/>
              <w:t>Been Issued</w:t>
            </w:r>
          </w:p>
        </w:tc>
        <w:tc>
          <w:tcPr>
            <w:tcW w:w="22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46"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Equity</w:t>
              <w:br/>
              <w:t>Incentive</w:t>
              <w:br/>
              <w:t>Plan</w:t>
              <w:br/>
              <w:t>Awards:</w:t>
              <w:br/>
              <w:t>Market or</w:t>
              <w:br/>
              <w:t>Payout</w:t>
              <w:br/>
              <w:t>Value of</w:t>
              <w:br/>
              <w:t>Unearned</w:t>
              <w:br/>
              <w:t>Shares,</w:t>
              <w:br/>
              <w:t>Units or</w:t>
              <w:br/>
              <w:t>Other</w:t>
              <w:br/>
              <w:t>Rights That</w:t>
              <w:br/>
              <w:t>Have Not</w:t>
              <w:br/>
              <w:t>Been Issued</w:t>
            </w:r>
          </w:p>
        </w:tc>
        <w:tc>
          <w:tcPr>
            <w:tcW w:w="242" w:type="dxa"/>
            <w:tcBorders/>
            <w:vAlign w:val="center"/>
          </w:tcPr>
          <w:p>
            <w:pPr>
              <w:pStyle w:val="TableContents"/>
              <w:bidi w:val="0"/>
              <w:spacing w:before="0" w:after="283"/>
              <w:jc w:val="left"/>
              <w:rPr/>
            </w:pPr>
            <w:r>
              <w:rPr/>
              <w:t> </w:t>
            </w:r>
          </w:p>
        </w:tc>
      </w:tr>
      <w:tr>
        <w:trPr/>
        <w:tc>
          <w:tcPr>
            <w:tcW w:w="1276"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w:t>
            </w:r>
          </w:p>
        </w:tc>
        <w:tc>
          <w:tcPr>
            <w:tcW w:w="60" w:type="dxa"/>
            <w:tcBorders/>
            <w:vAlign w:val="center"/>
          </w:tcPr>
          <w:p>
            <w:pPr>
              <w:pStyle w:val="TableContents"/>
              <w:bidi w:val="0"/>
              <w:spacing w:before="0" w:after="283"/>
              <w:jc w:val="center"/>
              <w:rPr/>
            </w:pPr>
            <w:r>
              <w:rPr/>
              <w:t> </w:t>
            </w:r>
          </w:p>
        </w:tc>
        <w:tc>
          <w:tcPr>
            <w:tcW w:w="10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50"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center"/>
              <w:rPr/>
            </w:pPr>
            <w:r>
              <w:rPr/>
              <w:t> </w:t>
            </w:r>
          </w:p>
        </w:tc>
        <w:tc>
          <w:tcPr>
            <w:tcW w:w="84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2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8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t>
            </w:r>
          </w:p>
        </w:tc>
        <w:tc>
          <w:tcPr>
            <w:tcW w:w="22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4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t>
            </w:r>
          </w:p>
        </w:tc>
        <w:tc>
          <w:tcPr>
            <w:tcW w:w="242" w:type="dxa"/>
            <w:tcBorders/>
            <w:vAlign w:val="center"/>
          </w:tcPr>
          <w:p>
            <w:pPr>
              <w:pStyle w:val="TableContents"/>
              <w:bidi w:val="0"/>
              <w:spacing w:before="0" w:after="283"/>
              <w:jc w:val="center"/>
              <w:rPr/>
            </w:pPr>
            <w:r>
              <w:rPr/>
              <w:t> </w:t>
            </w:r>
          </w:p>
        </w:tc>
      </w:tr>
      <w:tr>
        <w:trPr/>
        <w:tc>
          <w:tcPr>
            <w:tcW w:w="127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Joseph Davy</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8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0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67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5/14/2034</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68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67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986" w:type="dxa"/>
            <w:tcBorders/>
            <w:shd w:fill="CCEEFF" w:val="clear"/>
            <w:vAlign w:val="center"/>
          </w:tcPr>
          <w:p>
            <w:pPr>
              <w:pStyle w:val="TableContents"/>
              <w:bidi w:val="0"/>
              <w:spacing w:before="0" w:after="283"/>
              <w:jc w:val="right"/>
              <w:rPr/>
            </w:pPr>
            <w:r>
              <w:rPr/>
              <w:t> </w:t>
            </w:r>
          </w:p>
        </w:tc>
        <w:tc>
          <w:tcPr>
            <w:tcW w:w="22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871" w:type="dxa"/>
            <w:tcBorders/>
            <w:shd w:fill="CCEEFF" w:val="clear"/>
            <w:vAlign w:val="center"/>
          </w:tcPr>
          <w:p>
            <w:pPr>
              <w:pStyle w:val="TableContents"/>
              <w:bidi w:val="0"/>
              <w:spacing w:before="0" w:after="283"/>
              <w:jc w:val="right"/>
              <w:rPr/>
            </w:pPr>
            <w:r>
              <w:rPr/>
              <w:t> </w:t>
            </w:r>
          </w:p>
        </w:tc>
        <w:tc>
          <w:tcPr>
            <w:tcW w:w="242" w:type="dxa"/>
            <w:tcBorders/>
            <w:shd w:fill="CCEEFF" w:val="clear"/>
            <w:vAlign w:val="center"/>
          </w:tcPr>
          <w:p>
            <w:pPr>
              <w:pStyle w:val="TableContents"/>
              <w:bidi w:val="0"/>
              <w:spacing w:before="0" w:after="283"/>
              <w:jc w:val="left"/>
              <w:rPr/>
            </w:pPr>
            <w:r>
              <w:rPr/>
              <w:t> </w:t>
            </w:r>
          </w:p>
        </w:tc>
      </w:tr>
      <w:tr>
        <w:trPr/>
        <w:tc>
          <w:tcPr>
            <w:tcW w:w="127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8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03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67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5/14/2034</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68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67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986" w:type="dxa"/>
            <w:tcBorders/>
            <w:shd w:fill="FFFFFF" w:val="clear"/>
            <w:vAlign w:val="center"/>
          </w:tcPr>
          <w:p>
            <w:pPr>
              <w:pStyle w:val="TableContents"/>
              <w:bidi w:val="0"/>
              <w:spacing w:before="0" w:after="283"/>
              <w:jc w:val="right"/>
              <w:rPr/>
            </w:pPr>
            <w:r>
              <w:rPr/>
              <w:t> </w:t>
            </w:r>
          </w:p>
        </w:tc>
        <w:tc>
          <w:tcPr>
            <w:tcW w:w="22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pPr>
            <w:r>
              <w:rPr/>
              <w:t> </w:t>
            </w:r>
          </w:p>
        </w:tc>
        <w:tc>
          <w:tcPr>
            <w:tcW w:w="242" w:type="dxa"/>
            <w:tcBorders/>
            <w:shd w:fill="FFFFFF" w:val="clear"/>
            <w:vAlign w:val="center"/>
          </w:tcPr>
          <w:p>
            <w:pPr>
              <w:pStyle w:val="TableContents"/>
              <w:bidi w:val="0"/>
              <w:spacing w:before="0" w:after="283"/>
              <w:jc w:val="left"/>
              <w:rPr/>
            </w:pPr>
            <w:r>
              <w:rPr/>
              <w:t> </w:t>
            </w:r>
          </w:p>
        </w:tc>
      </w:tr>
      <w:tr>
        <w:trPr/>
        <w:tc>
          <w:tcPr>
            <w:tcW w:w="127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8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0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67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5/14/2034</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68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67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986" w:type="dxa"/>
            <w:tcBorders/>
            <w:shd w:fill="CCEEFF" w:val="clear"/>
            <w:vAlign w:val="center"/>
          </w:tcPr>
          <w:p>
            <w:pPr>
              <w:pStyle w:val="TableContents"/>
              <w:bidi w:val="0"/>
              <w:spacing w:before="0" w:after="283"/>
              <w:jc w:val="right"/>
              <w:rPr/>
            </w:pPr>
            <w:r>
              <w:rPr/>
              <w:t> </w:t>
            </w:r>
          </w:p>
        </w:tc>
        <w:tc>
          <w:tcPr>
            <w:tcW w:w="22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871" w:type="dxa"/>
            <w:tcBorders/>
            <w:shd w:fill="CCEEFF" w:val="clear"/>
            <w:vAlign w:val="center"/>
          </w:tcPr>
          <w:p>
            <w:pPr>
              <w:pStyle w:val="TableContents"/>
              <w:bidi w:val="0"/>
              <w:spacing w:before="0" w:after="283"/>
              <w:jc w:val="right"/>
              <w:rPr/>
            </w:pPr>
            <w:r>
              <w:rPr/>
              <w:t> </w:t>
            </w:r>
          </w:p>
        </w:tc>
        <w:tc>
          <w:tcPr>
            <w:tcW w:w="242" w:type="dxa"/>
            <w:tcBorders/>
            <w:shd w:fill="CCEEFF" w:val="clear"/>
            <w:vAlign w:val="center"/>
          </w:tcPr>
          <w:p>
            <w:pPr>
              <w:pStyle w:val="TableContents"/>
              <w:bidi w:val="0"/>
              <w:spacing w:before="0" w:after="283"/>
              <w:jc w:val="left"/>
              <w:rPr/>
            </w:pPr>
            <w:r>
              <w:rPr/>
              <w:t> </w:t>
            </w:r>
          </w:p>
        </w:tc>
      </w:tr>
      <w:tr>
        <w:trPr/>
        <w:tc>
          <w:tcPr>
            <w:tcW w:w="127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8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03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67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68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67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986" w:type="dxa"/>
            <w:tcBorders/>
            <w:shd w:fill="FFFFFF" w:val="clear"/>
            <w:vAlign w:val="center"/>
          </w:tcPr>
          <w:p>
            <w:pPr>
              <w:pStyle w:val="TableContents"/>
              <w:bidi w:val="0"/>
              <w:spacing w:before="0" w:after="283"/>
              <w:jc w:val="right"/>
              <w:rPr/>
            </w:pPr>
            <w:r>
              <w:rPr/>
              <w:t>—</w:t>
            </w:r>
          </w:p>
        </w:tc>
        <w:tc>
          <w:tcPr>
            <w:tcW w:w="22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375,700</w:t>
            </w:r>
          </w:p>
        </w:tc>
        <w:tc>
          <w:tcPr>
            <w:tcW w:w="24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r>
      <w:tr>
        <w:trPr/>
        <w:tc>
          <w:tcPr>
            <w:tcW w:w="127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Simon Baumer</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8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03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67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7/14/2031</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68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67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986" w:type="dxa"/>
            <w:tcBorders/>
            <w:shd w:fill="CCEEFF" w:val="clear"/>
            <w:vAlign w:val="center"/>
          </w:tcPr>
          <w:p>
            <w:pPr>
              <w:pStyle w:val="TableContents"/>
              <w:bidi w:val="0"/>
              <w:spacing w:before="0" w:after="283"/>
              <w:jc w:val="right"/>
              <w:rPr/>
            </w:pPr>
            <w:r>
              <w:rPr/>
              <w:t> </w:t>
            </w:r>
          </w:p>
        </w:tc>
        <w:tc>
          <w:tcPr>
            <w:tcW w:w="22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871" w:type="dxa"/>
            <w:tcBorders/>
            <w:shd w:fill="CCEEFF" w:val="clear"/>
            <w:vAlign w:val="center"/>
          </w:tcPr>
          <w:p>
            <w:pPr>
              <w:pStyle w:val="TableContents"/>
              <w:bidi w:val="0"/>
              <w:spacing w:before="0" w:after="283"/>
              <w:jc w:val="right"/>
              <w:rPr/>
            </w:pPr>
            <w:r>
              <w:rPr/>
              <w:t> </w:t>
            </w:r>
          </w:p>
        </w:tc>
        <w:tc>
          <w:tcPr>
            <w:tcW w:w="242" w:type="dxa"/>
            <w:tcBorders/>
            <w:shd w:fill="CCEEFF" w:val="clear"/>
            <w:vAlign w:val="center"/>
          </w:tcPr>
          <w:p>
            <w:pPr>
              <w:pStyle w:val="TableContents"/>
              <w:bidi w:val="0"/>
              <w:spacing w:before="0" w:after="283"/>
              <w:jc w:val="left"/>
              <w:rPr/>
            </w:pPr>
            <w:r>
              <w:rPr/>
              <w:t> </w:t>
            </w:r>
          </w:p>
        </w:tc>
      </w:tr>
      <w:tr>
        <w:trPr/>
        <w:tc>
          <w:tcPr>
            <w:tcW w:w="127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8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03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67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2/15/2032</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68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67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986" w:type="dxa"/>
            <w:tcBorders/>
            <w:shd w:fill="FFFFFF" w:val="clear"/>
            <w:vAlign w:val="center"/>
          </w:tcPr>
          <w:p>
            <w:pPr>
              <w:pStyle w:val="TableContents"/>
              <w:bidi w:val="0"/>
              <w:spacing w:before="0" w:after="283"/>
              <w:jc w:val="right"/>
              <w:rPr/>
            </w:pPr>
            <w:r>
              <w:rPr/>
              <w:t> </w:t>
            </w:r>
          </w:p>
        </w:tc>
        <w:tc>
          <w:tcPr>
            <w:tcW w:w="22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pPr>
            <w:r>
              <w:rPr/>
              <w:t> </w:t>
            </w:r>
          </w:p>
        </w:tc>
        <w:tc>
          <w:tcPr>
            <w:tcW w:w="242" w:type="dxa"/>
            <w:tcBorders/>
            <w:shd w:fill="FFFFFF" w:val="clear"/>
            <w:vAlign w:val="center"/>
          </w:tcPr>
          <w:p>
            <w:pPr>
              <w:pStyle w:val="TableContents"/>
              <w:bidi w:val="0"/>
              <w:spacing w:before="0" w:after="283"/>
              <w:jc w:val="left"/>
              <w:rPr/>
            </w:pPr>
            <w:r>
              <w:rPr/>
              <w:t> </w:t>
            </w:r>
          </w:p>
        </w:tc>
      </w:tr>
      <w:tr>
        <w:trPr/>
        <w:tc>
          <w:tcPr>
            <w:tcW w:w="127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8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0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67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3/1/2033</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68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67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986" w:type="dxa"/>
            <w:tcBorders/>
            <w:shd w:fill="CCEEFF" w:val="clear"/>
            <w:vAlign w:val="center"/>
          </w:tcPr>
          <w:p>
            <w:pPr>
              <w:pStyle w:val="TableContents"/>
              <w:bidi w:val="0"/>
              <w:spacing w:before="0" w:after="283"/>
              <w:jc w:val="right"/>
              <w:rPr/>
            </w:pPr>
            <w:r>
              <w:rPr/>
              <w:t> </w:t>
            </w:r>
          </w:p>
        </w:tc>
        <w:tc>
          <w:tcPr>
            <w:tcW w:w="22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871" w:type="dxa"/>
            <w:tcBorders/>
            <w:shd w:fill="CCEEFF" w:val="clear"/>
            <w:vAlign w:val="center"/>
          </w:tcPr>
          <w:p>
            <w:pPr>
              <w:pStyle w:val="TableContents"/>
              <w:bidi w:val="0"/>
              <w:spacing w:before="0" w:after="283"/>
              <w:jc w:val="right"/>
              <w:rPr/>
            </w:pPr>
            <w:r>
              <w:rPr/>
              <w:t> </w:t>
            </w:r>
          </w:p>
        </w:tc>
        <w:tc>
          <w:tcPr>
            <w:tcW w:w="242" w:type="dxa"/>
            <w:tcBorders/>
            <w:shd w:fill="CCEEFF" w:val="clear"/>
            <w:vAlign w:val="center"/>
          </w:tcPr>
          <w:p>
            <w:pPr>
              <w:pStyle w:val="TableContents"/>
              <w:bidi w:val="0"/>
              <w:spacing w:before="0" w:after="283"/>
              <w:jc w:val="left"/>
              <w:rPr/>
            </w:pPr>
            <w:r>
              <w:rPr/>
              <w:t> </w:t>
            </w:r>
          </w:p>
        </w:tc>
      </w:tr>
      <w:tr>
        <w:trPr/>
        <w:tc>
          <w:tcPr>
            <w:tcW w:w="127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8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03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67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5/14/2034</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68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67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986" w:type="dxa"/>
            <w:tcBorders/>
            <w:shd w:fill="FFFFFF" w:val="clear"/>
            <w:vAlign w:val="center"/>
          </w:tcPr>
          <w:p>
            <w:pPr>
              <w:pStyle w:val="TableContents"/>
              <w:bidi w:val="0"/>
              <w:spacing w:before="0" w:after="283"/>
              <w:jc w:val="right"/>
              <w:rPr/>
            </w:pPr>
            <w:r>
              <w:rPr/>
              <w:t> </w:t>
            </w:r>
          </w:p>
        </w:tc>
        <w:tc>
          <w:tcPr>
            <w:tcW w:w="22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pPr>
            <w:r>
              <w:rPr/>
              <w:t> </w:t>
            </w:r>
          </w:p>
        </w:tc>
        <w:tc>
          <w:tcPr>
            <w:tcW w:w="242" w:type="dxa"/>
            <w:tcBorders/>
            <w:shd w:fill="FFFFFF" w:val="clear"/>
            <w:vAlign w:val="center"/>
          </w:tcPr>
          <w:p>
            <w:pPr>
              <w:pStyle w:val="TableContents"/>
              <w:bidi w:val="0"/>
              <w:spacing w:before="0" w:after="283"/>
              <w:jc w:val="left"/>
              <w:rPr/>
            </w:pPr>
            <w:r>
              <w:rPr/>
              <w:t> </w:t>
            </w:r>
          </w:p>
        </w:tc>
      </w:tr>
      <w:tr>
        <w:trPr/>
        <w:tc>
          <w:tcPr>
            <w:tcW w:w="127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8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0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67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5/14/2034</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68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67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986" w:type="dxa"/>
            <w:tcBorders/>
            <w:shd w:fill="CCEEFF" w:val="clear"/>
            <w:vAlign w:val="center"/>
          </w:tcPr>
          <w:p>
            <w:pPr>
              <w:pStyle w:val="TableContents"/>
              <w:bidi w:val="0"/>
              <w:spacing w:before="0" w:after="283"/>
              <w:jc w:val="right"/>
              <w:rPr/>
            </w:pPr>
            <w:r>
              <w:rPr/>
              <w:t> </w:t>
            </w:r>
          </w:p>
        </w:tc>
        <w:tc>
          <w:tcPr>
            <w:tcW w:w="22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871" w:type="dxa"/>
            <w:tcBorders/>
            <w:shd w:fill="CCEEFF" w:val="clear"/>
            <w:vAlign w:val="center"/>
          </w:tcPr>
          <w:p>
            <w:pPr>
              <w:pStyle w:val="TableContents"/>
              <w:bidi w:val="0"/>
              <w:spacing w:before="0" w:after="283"/>
              <w:jc w:val="right"/>
              <w:rPr/>
            </w:pPr>
            <w:r>
              <w:rPr/>
              <w:t> </w:t>
            </w:r>
          </w:p>
        </w:tc>
        <w:tc>
          <w:tcPr>
            <w:tcW w:w="242" w:type="dxa"/>
            <w:tcBorders/>
            <w:shd w:fill="CCEEFF" w:val="clear"/>
            <w:vAlign w:val="center"/>
          </w:tcPr>
          <w:p>
            <w:pPr>
              <w:pStyle w:val="TableContents"/>
              <w:bidi w:val="0"/>
              <w:spacing w:before="0" w:after="283"/>
              <w:jc w:val="left"/>
              <w:rPr/>
            </w:pPr>
            <w:r>
              <w:rPr/>
              <w:t> </w:t>
            </w:r>
          </w:p>
        </w:tc>
      </w:tr>
      <w:tr>
        <w:trPr/>
        <w:tc>
          <w:tcPr>
            <w:tcW w:w="127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8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03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67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5/14/2034</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68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67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986" w:type="dxa"/>
            <w:tcBorders/>
            <w:shd w:fill="FFFFFF" w:val="clear"/>
            <w:vAlign w:val="center"/>
          </w:tcPr>
          <w:p>
            <w:pPr>
              <w:pStyle w:val="TableContents"/>
              <w:bidi w:val="0"/>
              <w:spacing w:before="0" w:after="283"/>
              <w:jc w:val="right"/>
              <w:rPr/>
            </w:pPr>
            <w:r>
              <w:rPr/>
              <w:t> </w:t>
            </w:r>
          </w:p>
        </w:tc>
        <w:tc>
          <w:tcPr>
            <w:tcW w:w="22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pPr>
            <w:r>
              <w:rPr/>
              <w:t> </w:t>
            </w:r>
          </w:p>
        </w:tc>
        <w:tc>
          <w:tcPr>
            <w:tcW w:w="242" w:type="dxa"/>
            <w:tcBorders/>
            <w:shd w:fill="FFFFFF" w:val="clear"/>
            <w:vAlign w:val="center"/>
          </w:tcPr>
          <w:p>
            <w:pPr>
              <w:pStyle w:val="TableContents"/>
              <w:bidi w:val="0"/>
              <w:spacing w:before="0" w:after="283"/>
              <w:jc w:val="left"/>
              <w:rPr/>
            </w:pPr>
            <w:r>
              <w:rPr/>
              <w:t> </w:t>
            </w:r>
          </w:p>
        </w:tc>
      </w:tr>
      <w:tr>
        <w:trPr/>
        <w:tc>
          <w:tcPr>
            <w:tcW w:w="127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8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03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67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68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67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98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2,428</w:t>
            </w:r>
          </w:p>
        </w:tc>
        <w:tc>
          <w:tcPr>
            <w:tcW w:w="22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87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2,345</w:t>
            </w:r>
          </w:p>
        </w:tc>
        <w:tc>
          <w:tcPr>
            <w:tcW w:w="242" w:type="dxa"/>
            <w:tcBorders/>
            <w:shd w:fill="CCEEFF" w:val="clear"/>
            <w:vAlign w:val="center"/>
          </w:tcPr>
          <w:p>
            <w:pPr>
              <w:pStyle w:val="TableContents"/>
              <w:bidi w:val="0"/>
              <w:spacing w:before="0" w:after="283"/>
              <w:jc w:val="left"/>
              <w:rPr/>
            </w:pPr>
            <w:r>
              <w:rPr/>
              <w:t> </w:t>
            </w:r>
          </w:p>
        </w:tc>
      </w:tr>
      <w:tr>
        <w:trPr/>
        <w:tc>
          <w:tcPr>
            <w:tcW w:w="127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Dean Ditto</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8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03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67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68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67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98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24,272</w:t>
            </w:r>
          </w:p>
        </w:tc>
        <w:tc>
          <w:tcPr>
            <w:tcW w:w="22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23,439</w:t>
            </w:r>
          </w:p>
        </w:tc>
        <w:tc>
          <w:tcPr>
            <w:tcW w:w="242" w:type="dxa"/>
            <w:tcBorders/>
            <w:shd w:fill="FFFFFF" w:val="clear"/>
            <w:vAlign w:val="center"/>
          </w:tcPr>
          <w:p>
            <w:pPr>
              <w:pStyle w:val="TableContents"/>
              <w:bidi w:val="0"/>
              <w:spacing w:before="0" w:after="283"/>
              <w:jc w:val="left"/>
              <w:rPr/>
            </w:pPr>
            <w:r>
              <w:rPr/>
              <w:t> </w:t>
            </w:r>
          </w:p>
        </w:tc>
      </w:tr>
      <w:tr>
        <w:trPr/>
        <w:tc>
          <w:tcPr>
            <w:tcW w:w="127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Michael Kurtzman</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8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03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67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68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67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98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36,408</w:t>
            </w:r>
          </w:p>
        </w:tc>
        <w:tc>
          <w:tcPr>
            <w:tcW w:w="22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87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35,159</w:t>
            </w:r>
          </w:p>
        </w:tc>
        <w:tc>
          <w:tcPr>
            <w:tcW w:w="242" w:type="dxa"/>
            <w:tcBorders/>
            <w:shd w:fill="CCEEFF" w:val="clear"/>
            <w:vAlign w:val="center"/>
          </w:tcPr>
          <w:p>
            <w:pPr>
              <w:pStyle w:val="TableContents"/>
              <w:bidi w:val="0"/>
              <w:spacing w:before="0" w:after="283"/>
              <w:jc w:val="left"/>
              <w:rPr/>
            </w:pPr>
            <w:r>
              <w:rPr/>
              <w:t> </w:t>
            </w:r>
          </w:p>
        </w:tc>
      </w:tr>
      <w:tr>
        <w:trPr/>
        <w:tc>
          <w:tcPr>
            <w:tcW w:w="127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Alvin Yip</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8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03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67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12/2/2033</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68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67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986" w:type="dxa"/>
            <w:tcBorders/>
            <w:shd w:fill="FFFFFF" w:val="clear"/>
            <w:vAlign w:val="center"/>
          </w:tcPr>
          <w:p>
            <w:pPr>
              <w:pStyle w:val="TableContents"/>
              <w:bidi w:val="0"/>
              <w:spacing w:before="0" w:after="283"/>
              <w:jc w:val="right"/>
              <w:rPr/>
            </w:pPr>
            <w:r>
              <w:rPr/>
              <w:t> </w:t>
            </w:r>
          </w:p>
        </w:tc>
        <w:tc>
          <w:tcPr>
            <w:tcW w:w="22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pPr>
            <w:r>
              <w:rPr/>
              <w:t> </w:t>
            </w:r>
          </w:p>
        </w:tc>
        <w:tc>
          <w:tcPr>
            <w:tcW w:w="242" w:type="dxa"/>
            <w:tcBorders/>
            <w:shd w:fill="FFFFFF" w:val="clear"/>
            <w:vAlign w:val="center"/>
          </w:tcPr>
          <w:p>
            <w:pPr>
              <w:pStyle w:val="TableContents"/>
              <w:bidi w:val="0"/>
              <w:spacing w:before="0" w:after="283"/>
              <w:jc w:val="left"/>
              <w:rPr/>
            </w:pPr>
            <w:r>
              <w:rPr/>
              <w:t> </w:t>
            </w:r>
          </w:p>
        </w:tc>
      </w:tr>
      <w:tr>
        <w:trPr/>
        <w:tc>
          <w:tcPr>
            <w:tcW w:w="127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8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0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67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5/14/2034</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68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67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986" w:type="dxa"/>
            <w:tcBorders/>
            <w:shd w:fill="CCEEFF" w:val="clear"/>
            <w:vAlign w:val="center"/>
          </w:tcPr>
          <w:p>
            <w:pPr>
              <w:pStyle w:val="TableContents"/>
              <w:bidi w:val="0"/>
              <w:spacing w:before="0" w:after="283"/>
              <w:jc w:val="right"/>
              <w:rPr/>
            </w:pPr>
            <w:r>
              <w:rPr/>
              <w:t> </w:t>
            </w:r>
          </w:p>
        </w:tc>
        <w:tc>
          <w:tcPr>
            <w:tcW w:w="22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871" w:type="dxa"/>
            <w:tcBorders/>
            <w:shd w:fill="CCEEFF" w:val="clear"/>
            <w:vAlign w:val="center"/>
          </w:tcPr>
          <w:p>
            <w:pPr>
              <w:pStyle w:val="TableContents"/>
              <w:bidi w:val="0"/>
              <w:spacing w:before="0" w:after="283"/>
              <w:jc w:val="right"/>
              <w:rPr/>
            </w:pPr>
            <w:r>
              <w:rPr/>
              <w:t> </w:t>
            </w:r>
          </w:p>
        </w:tc>
        <w:tc>
          <w:tcPr>
            <w:tcW w:w="242" w:type="dxa"/>
            <w:tcBorders/>
            <w:shd w:fill="CCEEFF" w:val="clear"/>
            <w:vAlign w:val="center"/>
          </w:tcPr>
          <w:p>
            <w:pPr>
              <w:pStyle w:val="TableContents"/>
              <w:bidi w:val="0"/>
              <w:spacing w:before="0" w:after="283"/>
              <w:jc w:val="left"/>
              <w:rPr/>
            </w:pPr>
            <w:r>
              <w:rPr/>
              <w:t> </w:t>
            </w:r>
          </w:p>
        </w:tc>
      </w:tr>
      <w:tr>
        <w:trPr/>
        <w:tc>
          <w:tcPr>
            <w:tcW w:w="127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8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03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67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68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67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98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w:t>
            </w:r>
          </w:p>
        </w:tc>
        <w:tc>
          <w:tcPr>
            <w:tcW w:w="22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w:t>
            </w:r>
          </w:p>
        </w:tc>
        <w:tc>
          <w:tcPr>
            <w:tcW w:w="242" w:type="dxa"/>
            <w:tcBorders/>
            <w:shd w:fill="FFFFFF" w:val="clear"/>
            <w:vAlign w:val="center"/>
          </w:tcPr>
          <w:p>
            <w:pPr>
              <w:pStyle w:val="TableContents"/>
              <w:bidi w:val="0"/>
              <w:spacing w:before="0" w:after="283"/>
              <w:jc w:val="left"/>
              <w:rPr/>
            </w:pPr>
            <w:r>
              <w:rPr/>
              <w:t> </w:t>
            </w:r>
          </w:p>
        </w:tc>
      </w:tr>
      <w:tr>
        <w:trPr/>
        <w:tc>
          <w:tcPr>
            <w:tcW w:w="127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8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03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67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68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67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98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2,428</w:t>
            </w:r>
          </w:p>
        </w:tc>
        <w:tc>
          <w:tcPr>
            <w:tcW w:w="22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87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2,345</w:t>
            </w:r>
          </w:p>
        </w:tc>
        <w:tc>
          <w:tcPr>
            <w:tcW w:w="242"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4"/>
        <w:gridCol w:w="9981"/>
      </w:tblGrid>
      <w:tr>
        <w:trPr/>
        <w:tc>
          <w:tcPr>
            <w:tcW w:w="22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8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Option Awards was granted under the 2016 Plan or the 2023 Equity Incentive Plan.</w:t>
            </w:r>
          </w:p>
        </w:tc>
      </w:tr>
      <w:tr>
        <w:trPr/>
        <w:tc>
          <w:tcPr>
            <w:tcW w:w="22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8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Stock Awards was granted under the 2023 Equity Incentive Plan.</w:t>
            </w:r>
          </w:p>
        </w:tc>
      </w:tr>
      <w:tr>
        <w:trPr/>
        <w:tc>
          <w:tcPr>
            <w:tcW w:w="22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8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 of the total shares underlying the option award vest on the one-year anniversary of the vesting commencement date, thereafter 1/48th of the total shares underlying the option award vest in 36 equal monthly installments, subject to continued employment at each vesting date.</w:t>
            </w:r>
          </w:p>
        </w:tc>
      </w:tr>
      <w:tr>
        <w:trPr/>
        <w:tc>
          <w:tcPr>
            <w:tcW w:w="22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8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CEO Award will vest into common stock in 4 tranches ranging from $250 thousand to $750 thousand, up to $2.0 million in the aggregate, if specified market capitalization thresholds ranging from $15.0 million to $30.0 million are met.</w:t>
            </w:r>
          </w:p>
        </w:tc>
      </w:tr>
      <w:tr>
        <w:trPr/>
        <w:tc>
          <w:tcPr>
            <w:tcW w:w="22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8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RSUs vest quarterly commencing with the January 1, 2025 grant date, and the last ¼ will become fully vested in January 2026, subject to continued employment through the applicable vesting dates.</w:t>
            </w:r>
          </w:p>
        </w:tc>
      </w:tr>
      <w:tr>
        <w:trPr/>
        <w:tc>
          <w:tcPr>
            <w:tcW w:w="22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98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RSUs vest quarterly commencing with the July 14, 2025 grant date, and the last ¼ will become fully vested in July 2026, subject to continued employment through the applicable vesting dates.</w:t>
            </w:r>
          </w:p>
        </w:tc>
      </w:tr>
      <w:tr>
        <w:trPr/>
        <w:tc>
          <w:tcPr>
            <w:tcW w:w="22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998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RSUs vest quarterly commencing with the August 22, 2025 grant date, and the last ¼ will become fully vested in June 2026, subject to continued employment through the applicable vesting dates.</w:t>
            </w:r>
          </w:p>
        </w:tc>
      </w:tr>
      <w:tr>
        <w:trPr/>
        <w:tc>
          <w:tcPr>
            <w:tcW w:w="22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998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RSUs vest annually commencing with the May 14, 2024 grant date, and the last ¼ will become fully vested in May 2028, subject to continued employment through the applicable vesting dates.</w:t>
            </w:r>
          </w:p>
        </w:tc>
      </w:tr>
      <w:tr>
        <w:trPr/>
        <w:tc>
          <w:tcPr>
            <w:tcW w:w="22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998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RSUs vest quarterly commencing with the January 1, 2025 grant date, and the last ¼ will become fully vested in January 2026, subject to continued employment through the applicable vesting dates.</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Additional Narrative Disclosure</w:t>
      </w:r>
    </w:p>
    <w:p>
      <w:pPr>
        <w:pStyle w:val="TextBody"/>
        <w:bidi w:val="0"/>
        <w:spacing w:before="0" w:after="0"/>
        <w:ind w:left="432"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401(k) Plan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a 401(k) plan that provides eligible U.S. employees with an opportunity to save for retirement on a tax advantaged basis. Eligible employees are able to defer eligible compensation up to certain Code limits, which are updated annually. We make employer contributions under the 401(k) plan and also have the ability to make employer profit sharing contributions to the 401(k) plan. The 401(k) plan is intended to be qualified under Section 401(a) of the Code, with the related trust intended to be tax exempt under Section 501(a) of the Code. As a tax-qualified retirement plan, contributions to the 401(k) plan are deductible by us when made, and contributions and earnings on those amounts are not generally taxable to the employees until withdrawn or distributed from the 401(k)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Non-Employee Director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reviews director compensation periodically to ensure that director compensation remains competitive such that the Company is able to recruit and retain qualified directors. In January 2026, the Board approved compensation for the 4 non-employee directors for the year ended December 31, 2025 of $327,595 in the form of 216,950 RSUs. In December 2024, the 4 non-employee directors received compensation of $371,507 in the form of 30,049 RSUs. In December 2023, the Company adopted a board of directors’ compensation program that is designed to align compensation with the Company’s business objectives and the creation of stockholder value, while enabling the Company to attract, retain, incentivize, and reward directors who contribute to the long-term success of the Company. Under that program, our non-employee directors are eligible to receive the following:</w:t>
      </w:r>
    </w:p>
    <w:p>
      <w:pPr>
        <w:pStyle w:val="TextBody"/>
        <w:bidi w:val="0"/>
        <w:spacing w:before="0" w:after="0"/>
        <w:ind w:left="0" w:right="0" w:firstLine="432"/>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Annual base retainer of $100,000, to be paid as determined by the Compensation Committee;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Committee Chair Retainers: Audit Committee, $10,000; Compensation Committee, $5,000; and Nominating and Corporate Governance Committee, $5,000.</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Committee Member Retainers: Audit Committee, $5,000; Compensation Committee, $2,500; and Nominating and Corporate Governance Committee, $2,500.</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non-employee directors are also reimbursed for their reasonable out-of-pocket travel expenses to cover in-person attendance at and participation in Board and committee meetings.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Disclosure of Policies and Practices Related to the Grant of Certain Equity Awards Close in Time to the Release of Material Nonpublic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response to Item 402(x)(1) of Regulation S-K, the Company does not currently grant new awards of stock options, stock appreciation rights, or similar option-like instruments within four business days before or one business day after the release of a Form 10-Q, 10-K, or 8-K that discloses material nonpublic information (MNPI). Accordingly, the Company has no specific policy or practice on the timing of awards of such options in relation to the disclosure of material nonpublic information by the Company. In the event the Company determines to grant new awards of such options, the Board will evaluate the appropriate steps to take in relation to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Rule 10b5-1 Sales Plans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directors and executive officers may adopt written plans, known as Rule 10b5-1 plans, in which they will contract with a broker to buy or sell shares of our common stock on a periodic basis. Under a Rule 10b5-1 plan, a broker executes trades pursuant to parameters established by the director or executive officer when entering into the plan, without further direction from them. The director or executive officer may amend a Rule 10b5-1 plan in some circumstances and may terminate a plan at any time. Our directors and executive officers also may buy or sell additional shares outside of a Rule 10b5-1 plan when they are not in possession of material nonpublic information, subject to compliance with the terms of our insider trading policy. The sale of any shares under such a plan will be subject to the Lock-Up Agreements, to the extent that the selling director or executive officer is a party thereto.</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 w:name="sd_004"/>
      <w:bookmarkEnd w:id="12"/>
      <w:r>
        <w:rPr>
          <w:rFonts w:ascii="Times New Roman;Times;Serif" w:hAnsi="Times New Roman;Times;Serif"/>
          <w:b/>
          <w:i w:val="false"/>
          <w:caps w:val="false"/>
          <w:smallCaps w:val="false"/>
          <w:sz w:val="20"/>
        </w:rPr>
        <w:t>CERTAIN RELATIONSHIPS AND RELATED PARTY TRANSACTIONS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transactions since January 1, 2023, and any currently proposed transactions to which the Company was or is to be a participant in which the amount involved exceeded or will exceed the lesser of $120,000 and one percent of the average of the Company’s total assets at year end for the last two completed fiscal years, and in which any of the Company’s directors, executive officers or, to the Company’s knowledge, beneficial owners of more than 5% of the Company’s capital stock, or their immediate family members have had or will have a direct or indirect material interest, other than compensation and other arrangements that are described under the section of this prospectus titled “Executive and Director Compensation.”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Related Party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required by Item 404 of Regulation S-K is incorporated herein by reference to Notes 5 and 12 to the consolidated financial statements of our 2025 Annual Report. Except as disclosed in such notes, no director, executive officer, shareholder holding at least 5% of shares of our common stock, or any family member thereof, had any material interest, direct or indirect, in any transaction, or proposed transaction since January 1, 2024, in which the amount involved in the transaction exceeds the lesser of $120,000 or one percent of the average of our total assets at the year-end for the last two completed fiscal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Related Person Transactions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in the process of formally adopting a written related person transactions policy. The Board has historically identified, reviewed and approved any transactions, arrangements or relationships (or any series of similar transactions, arrangements or relationships) in Banzai or any of its subsidiaries and related persons are, were or would be participants, including the transactions described above. Prior to approving such a transaction, the material facts as to a director or officer’s relationship or interest in the agreement or transaction were disclosed to the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policy, a related person is any executive officer, director, nominee to become a director or a security holder known by us to beneficially own more than 5% of any class of our voting securities (a “significant stockholder”), including any of their immediate family members and affiliates, including entities controlled by such persons or such person has a 5% or greater beneficial ownership interest.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director and executive officer shall identify, and we shall request each significant stockholder to identify, any related person transaction involving such director, executive officer or significant stockholder or his, her or its immediate family members and inform the Chair of our Audit Committee pursuant to this policy before such related person may engage in the transaction. Each related person transaction must be reviewed and approved in accordance with our related party transactions policy either by the Audit Committee or, if the Audit Committee determines that the approval of such related party transaction should be considered by all of the disinterested, independent members of the Board, by the disinterested, independent members of the Board by the vote of a majority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considering related person transactions, our Audit Committee or the disinterested, independent members of the Board, as the case may be, take into account the relevant available facts and circumstances, which may include, but are not limited to:</w:t>
      </w:r>
    </w:p>
    <w:p>
      <w:pPr>
        <w:pStyle w:val="TextBody"/>
        <w:bidi w:val="0"/>
        <w:spacing w:before="0" w:after="0"/>
        <w:ind w:left="979" w:right="0" w:hanging="49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size of the transaction and the amount payable to a related party;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nature of the interest of the related party in the transaction;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the transaction may involve a conflict of interest;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the transaction involves the provision of goods or services to the Company that are available from unaffiliated third parties and, if so, whether the transaction is on terms and made under circumstances that are at least as favorable to the Company as would be available in comparable transactions with or involving unaffiliated third parties;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information regarding the related party transaction or related party that would be material to investors in light of the circumstances of the transaction.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Committee or the disinterested, independent members of the Board, as the case may be, shall approve only those related party transactions that they determine in good faith, based on all of the relevant information available to them, are in the best interests of the Company and our stockholders.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 w:name="sd_005"/>
      <w:bookmarkEnd w:id="13"/>
      <w:r>
        <w:rPr>
          <w:rFonts w:ascii="Times New Roman;Times;Serif" w:hAnsi="Times New Roman;Times;Serif"/>
          <w:b/>
          <w:i w:val="false"/>
          <w:caps w:val="false"/>
          <w:smallCaps w:val="false"/>
          <w:sz w:val="20"/>
        </w:rPr>
        <w:t>PRINCIPAL SECURITYHOLDERS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regarding the beneficial ownership of shares of our Class A Common Stock and Class B Common Stock as of the date hereof for:</w:t>
      </w:r>
    </w:p>
    <w:p>
      <w:pPr>
        <w:pStyle w:val="TextBody"/>
        <w:bidi w:val="0"/>
        <w:spacing w:before="0" w:after="0"/>
        <w:ind w:left="979" w:right="0" w:hanging="490"/>
        <w:jc w:val="both"/>
        <w:rPr>
          <w:caps w:val="false"/>
          <w:smallCaps w:val="false"/>
        </w:rPr>
      </w:pPr>
      <w:r>
        <w:rPr>
          <w:caps w:val="false"/>
          <w:smallCaps w:val="false"/>
        </w:rPr>
        <w:t> </w:t>
      </w:r>
    </w:p>
    <w:tbl>
      <w:tblPr>
        <w:tblW w:w="9460" w:type="dxa"/>
        <w:jc w:val="left"/>
        <w:tblInd w:w="0" w:type="dxa"/>
        <w:tblLayout w:type="fixed"/>
        <w:tblCellMar>
          <w:top w:w="0" w:type="dxa"/>
          <w:left w:w="0" w:type="dxa"/>
          <w:bottom w:w="0" w:type="dxa"/>
          <w:right w:w="0" w:type="dxa"/>
        </w:tblCellMar>
      </w:tblPr>
      <w:tblGrid>
        <w:gridCol w:w="75"/>
        <w:gridCol w:w="170"/>
        <w:gridCol w:w="9215"/>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2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person known to us to be the beneficial owner of more than 5% of our outstanding shares of Common Stock;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2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2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our named executive officers;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2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2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our directors;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2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2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directors and named executive officers as a group.</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ownership of our Common Stock is determined in accordance with the rules of the SEC and generally includes voting and investment power with respect to the securities. Except as otherwise provided by footnote, and subject to applicable community property laws, the persons named in the table have sole voting and investment power with respect to all shares of Common Stock shown as beneficially owned by them. The number of shares of Common Stock used to calculate the percentage ownership of each listed person includes the shares of Common Stock underlying options or warrants or convertible securities held by such persons that are currently exercisable or convertible within 60 days of the date hereof, but are not treated as outstanding for the purpose of computing the percentage ownership of any other person.</w:t>
      </w:r>
    </w:p>
    <w:p>
      <w:pPr>
        <w:pStyle w:val="TextBody"/>
        <w:bidi w:val="0"/>
        <w:spacing w:before="0" w:after="0"/>
        <w:ind w:left="0" w:right="0" w:firstLine="432"/>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ownership as set forth below is based on our review of our record stockholders list and public ownership reports filed by certain stockholders of the Company and may not include certain securities held in brokerage accounts or beneficially owned by the stockholders described below.</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percentage of beneficial ownership is based on 18,492,103 shares of Class A Common Stock and 677,118 shares of Class B Common Stock outstanding as of April 14, 2026.</w:t>
      </w:r>
    </w:p>
    <w:p>
      <w:pPr>
        <w:pStyle w:val="TextBody"/>
        <w:bidi w:val="0"/>
        <w:spacing w:before="0" w:after="0"/>
        <w:ind w:left="0" w:right="0" w:firstLine="432"/>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02"/>
        <w:gridCol w:w="60"/>
        <w:gridCol w:w="63"/>
        <w:gridCol w:w="900"/>
        <w:gridCol w:w="271"/>
        <w:gridCol w:w="63"/>
        <w:gridCol w:w="63"/>
        <w:gridCol w:w="516"/>
        <w:gridCol w:w="185"/>
        <w:gridCol w:w="60"/>
        <w:gridCol w:w="74"/>
        <w:gridCol w:w="872"/>
        <w:gridCol w:w="74"/>
        <w:gridCol w:w="74"/>
        <w:gridCol w:w="74"/>
        <w:gridCol w:w="608"/>
        <w:gridCol w:w="185"/>
        <w:gridCol w:w="60"/>
        <w:gridCol w:w="139"/>
        <w:gridCol w:w="1153"/>
        <w:gridCol w:w="209"/>
      </w:tblGrid>
      <w:tr>
        <w:trPr/>
        <w:tc>
          <w:tcPr>
            <w:tcW w:w="450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76"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A Common Stock</w:t>
            </w:r>
          </w:p>
        </w:tc>
        <w:tc>
          <w:tcPr>
            <w:tcW w:w="1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776"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B Common Stock</w:t>
            </w:r>
          </w:p>
        </w:tc>
        <w:tc>
          <w:tcPr>
            <w:tcW w:w="1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92"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Voting Power</w:t>
            </w:r>
          </w:p>
        </w:tc>
        <w:tc>
          <w:tcPr>
            <w:tcW w:w="209"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4502"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and Address of Beneficial Owner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6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tc>
        <w:tc>
          <w:tcPr>
            <w:tcW w:w="271" w:type="dxa"/>
            <w:tcBorders/>
            <w:vAlign w:val="center"/>
          </w:tcPr>
          <w:p>
            <w:pPr>
              <w:pStyle w:val="TableContents"/>
              <w:bidi w:val="0"/>
              <w:spacing w:before="0" w:after="283"/>
              <w:jc w:val="center"/>
              <w:rPr>
                <w:caps w:val="false"/>
                <w:smallCaps w:val="false"/>
              </w:rPr>
            </w:pPr>
            <w:r>
              <w:rPr>
                <w:caps w:val="false"/>
                <w:smallCaps w:val="false"/>
              </w:rPr>
              <w:t> </w:t>
            </w:r>
          </w:p>
        </w:tc>
        <w:tc>
          <w:tcPr>
            <w:tcW w:w="63" w:type="dxa"/>
            <w:tcBorders/>
            <w:vAlign w:val="center"/>
          </w:tcPr>
          <w:p>
            <w:pPr>
              <w:pStyle w:val="TableContents"/>
              <w:bidi w:val="0"/>
              <w:spacing w:before="0" w:after="283"/>
              <w:jc w:val="center"/>
              <w:rPr>
                <w:caps w:val="false"/>
                <w:smallCaps w:val="false"/>
              </w:rPr>
            </w:pPr>
            <w:r>
              <w:rPr>
                <w:caps w:val="false"/>
                <w:smallCaps w:val="false"/>
              </w:rPr>
              <w:t> </w:t>
            </w:r>
          </w:p>
        </w:tc>
        <w:tc>
          <w:tcPr>
            <w:tcW w:w="57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4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tc>
        <w:tc>
          <w:tcPr>
            <w:tcW w:w="74" w:type="dxa"/>
            <w:tcBorders/>
            <w:vAlign w:val="center"/>
          </w:tcPr>
          <w:p>
            <w:pPr>
              <w:pStyle w:val="TableContents"/>
              <w:bidi w:val="0"/>
              <w:spacing w:before="0" w:after="283"/>
              <w:jc w:val="center"/>
              <w:rPr>
                <w:caps w:val="false"/>
                <w:smallCaps w:val="false"/>
              </w:rPr>
            </w:pPr>
            <w:r>
              <w:rPr>
                <w:caps w:val="false"/>
                <w:smallCaps w:val="false"/>
              </w:rPr>
              <w:t> </w:t>
            </w:r>
          </w:p>
        </w:tc>
        <w:tc>
          <w:tcPr>
            <w:tcW w:w="74" w:type="dxa"/>
            <w:tcBorders/>
            <w:vAlign w:val="center"/>
          </w:tcPr>
          <w:p>
            <w:pPr>
              <w:pStyle w:val="TableContents"/>
              <w:bidi w:val="0"/>
              <w:spacing w:before="0" w:after="283"/>
              <w:jc w:val="center"/>
              <w:rPr>
                <w:caps w:val="false"/>
                <w:smallCaps w:val="false"/>
              </w:rPr>
            </w:pPr>
            <w:r>
              <w:rPr>
                <w:caps w:val="false"/>
                <w:smallCaps w:val="false"/>
              </w:rPr>
              <w:t> </w:t>
            </w:r>
          </w:p>
        </w:tc>
        <w:tc>
          <w:tcPr>
            <w:tcW w:w="68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9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w:t>
            </w:r>
          </w:p>
        </w:tc>
        <w:tc>
          <w:tcPr>
            <w:tcW w:w="20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502" w:type="dxa"/>
            <w:tcBorders/>
            <w:shd w:fill="CCEEFF" w:val="clear"/>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Directors and Named Executive Officers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3" w:type="dxa"/>
            <w:gridSpan w:val="2"/>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9" w:type="dxa"/>
            <w:gridSpan w:val="2"/>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6" w:type="dxa"/>
            <w:gridSpan w:val="2"/>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2" w:type="dxa"/>
            <w:gridSpan w:val="2"/>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2" w:type="dxa"/>
            <w:gridSpan w:val="2"/>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50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Joseph Davy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31,087</w:t>
            </w:r>
          </w:p>
        </w:tc>
        <w:tc>
          <w:tcPr>
            <w:tcW w:w="27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677,118</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5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26.93</w:t>
            </w:r>
          </w:p>
        </w:tc>
        <w:tc>
          <w:tcPr>
            <w:tcW w:w="20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50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Paula Boggs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7,673</w:t>
            </w:r>
          </w:p>
        </w:tc>
        <w:tc>
          <w:tcPr>
            <w:tcW w:w="2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0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50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Jack Leeney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6,998</w:t>
            </w:r>
          </w:p>
        </w:tc>
        <w:tc>
          <w:tcPr>
            <w:tcW w:w="2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5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0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50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Kent Schofield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9,645</w:t>
            </w:r>
          </w:p>
        </w:tc>
        <w:tc>
          <w:tcPr>
            <w:tcW w:w="2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0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50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Mason Ward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8,223</w:t>
            </w:r>
          </w:p>
        </w:tc>
        <w:tc>
          <w:tcPr>
            <w:tcW w:w="27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5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0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50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Dean Ditto</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58,433</w:t>
            </w:r>
          </w:p>
        </w:tc>
        <w:tc>
          <w:tcPr>
            <w:tcW w:w="2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0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50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Simon Baumer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46,203</w:t>
            </w:r>
          </w:p>
        </w:tc>
        <w:tc>
          <w:tcPr>
            <w:tcW w:w="27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5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0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50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Directors and Executive Officers of the Company as a Group (7 Individuals)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168,212</w:t>
            </w:r>
          </w:p>
        </w:tc>
        <w:tc>
          <w:tcPr>
            <w:tcW w:w="2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677,118</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27.47</w:t>
            </w:r>
          </w:p>
        </w:tc>
        <w:tc>
          <w:tcPr>
            <w:tcW w:w="20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5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2"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8"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53"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0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502" w:type="dxa"/>
            <w:tcBorders/>
            <w:shd w:fill="CCEEFF" w:val="clear"/>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Five Percent or Greater Holders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2"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8"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53"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0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50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CP BF Lending, LLC (4)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2,236,509</w:t>
            </w:r>
          </w:p>
        </w:tc>
        <w:tc>
          <w:tcPr>
            <w:tcW w:w="2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12.09</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5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8.85</w:t>
            </w:r>
          </w:p>
        </w:tc>
        <w:tc>
          <w:tcPr>
            <w:tcW w:w="20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50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 IV OR Aggregator, LLC (5)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1,226,624</w:t>
            </w:r>
          </w:p>
        </w:tc>
        <w:tc>
          <w:tcPr>
            <w:tcW w:w="27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6.63</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4.86</w:t>
            </w:r>
          </w:p>
        </w:tc>
        <w:tc>
          <w:tcPr>
            <w:tcW w:w="20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firstLine="432"/>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9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than 1%.</w:t>
            </w:r>
          </w:p>
        </w:tc>
      </w:tr>
      <w:tr>
        <w:trPr/>
        <w:tc>
          <w:tcPr>
            <w:tcW w:w="21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9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noted, the business address of each of the following persons is c/o Banzai International, Inc., 435 Ericksen Ave NE, Suite 250, Bainbridge Island, WA 98110.</w:t>
            </w:r>
          </w:p>
        </w:tc>
      </w:tr>
      <w:tr>
        <w:trPr/>
        <w:tc>
          <w:tcPr>
            <w:tcW w:w="21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9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share of Common Stock entitles its holders to one vote per share; each share of Class B Common Stock entitles its holder to ten votes on all matters presented to our stockholders generally. As a result, percentage of voting power is based on 24,848,900 total votes.</w:t>
            </w:r>
          </w:p>
        </w:tc>
      </w:tr>
      <w:tr>
        <w:trPr/>
        <w:tc>
          <w:tcPr>
            <w:tcW w:w="2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30,488 shares of Class A Common Stock and options to purchase 599 shares of Class A Common Stock exercisable within 60 days of April 14, 2026 held directly by Joseph Davy.</w:t>
            </w:r>
          </w:p>
        </w:tc>
      </w:tr>
      <w:tr>
        <w:trPr/>
        <w:tc>
          <w:tcPr>
            <w:tcW w:w="2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9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8,223 shares of Class A Common Stock and warrants to purchase 706 shares of Class A Common Stock held directly by Mason Ward.</w:t>
            </w:r>
          </w:p>
        </w:tc>
      </w:tr>
      <w:tr>
        <w:trPr/>
        <w:tc>
          <w:tcPr>
            <w:tcW w:w="2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9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45,876 shares of Class A Common Stock held directly by Simon Baumer, and options to purchase 327 shares of Class A Common Stock exercisable within 60 days of April 14, 2026.</w:t>
            </w:r>
          </w:p>
        </w:tc>
      </w:tr>
      <w:tr>
        <w:trPr/>
        <w:tc>
          <w:tcPr>
            <w:tcW w:w="2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9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CP Business Finance GP, LLC (“CP Business”) is the Manager of CP BF Lending, LLC’s (“CP BF”). Columbia Pacific Advisors, LLC (“Columbia”) is the Manager of CP Business, and Columbia in turn is managed by a Board of Managers. As such, Columbia’s Board of Managers has the voting and dispositive power with respect to the securities held by CP BF. The address of CP BF is 1910 Fairview Ave. E., Suite 300, Seattle, WA 98102.</w:t>
            </w:r>
          </w:p>
        </w:tc>
      </w:tr>
      <w:tr>
        <w:trPr/>
        <w:tc>
          <w:tcPr>
            <w:tcW w:w="2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9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 manager, of FE Aggregator, Frederick N. Coulson, IV may be deemed to have voting and dispositive power over the shares of Class A common stock held by FE Aggregator. The address of FE Aggregator and Mr. Coulson is 4801 Main Street, Suite 700, Kansas City, MO 64112.</w:t>
            </w:r>
          </w:p>
        </w:tc>
      </w:tr>
      <w:tr>
        <w:trPr/>
        <w:tc>
          <w:tcPr>
            <w:tcW w:w="2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99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Includes (i) 49,996 shares of Class A common stock held by FE IV OR Aggregator, LLC (“FE Aggregator”) and (ii) 1,176,628 shares of Class A common stock issuable upon the exercise of Pre-Funded Warrants held by FE Aggregator. FE Aggregator’s right to exercise Pre-Funded Warrants at any particular time is subject to the Beneficial Ownership Limitation described above, however, for purposes of the second column of the above table, all shares of Class A common stock underlying the Pre-Funded Warrants have been included. </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4" w:name="sd_006"/>
      <w:bookmarkEnd w:id="14"/>
      <w:r>
        <w:rPr>
          <w:rFonts w:ascii="Times New Roman;Times;Serif" w:hAnsi="Times New Roman;Times;Serif"/>
          <w:b/>
          <w:i w:val="false"/>
          <w:caps w:val="false"/>
          <w:smallCaps w:val="false"/>
          <w:sz w:val="20"/>
        </w:rPr>
        <w:t>SELLING SECURITYHOLDERS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relates to the possible resale from time to time by the selling shareholders of the shares of Class A Common Stock, including those underlying the 2024 CP BF Convertible Notes. For additional information regarding the issuance of Common Stock covered by this prospectus, see the section titled “Recent Developments - CP BF Letter Agreement”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registering the shares of common stock pursuant to the provisions of the (1) Letter Agreement, dated October 10, 2025 between the Company and CP BF to offer the shares of Common Stock for resale from time to time. Except for the transactions contemplated by, and in connection with, the Letter Agreement, the selling shareholders have not had any material relationship with us within the past three years.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 of the Selling Securityholder;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our Shares of Common Stock that the Selling Securityholder beneficially owned prior to the Offering for resale of the shares under this prospectus;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maximum number of our Shares of Common Stock that may be offered for resale for the account of the Selling Securityholders under this prospectus;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and percentage of our Shares of Common Stock beneficially owned by the Selling Securityholders after the Offering of the shares (assuming all of the offered shares are sold by the Selling Securityholders), is based on 18,492,103 shares of Common Stock outstanding as of the date hereof; as stated previously, these figures do not include:</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the Selling Securityholders is a broker dealer or an affiliate of a broker dealer. None of the Selling Securityholders has any agreement or understanding to distribute any of the shares being registered.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Selling Securityholder may offer for sale all or part of the shares from time to time. The table below assumes that the Selling Securityholders will sell all of the shares offered for resale. A Selling Securityholder is under no obligation, however, to sell any shares pursuant to this prospectus.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838"/>
        <w:gridCol w:w="60"/>
        <w:gridCol w:w="453"/>
        <w:gridCol w:w="1059"/>
        <w:gridCol w:w="60"/>
        <w:gridCol w:w="60"/>
        <w:gridCol w:w="121"/>
        <w:gridCol w:w="1994"/>
        <w:gridCol w:w="60"/>
        <w:gridCol w:w="60"/>
        <w:gridCol w:w="679"/>
        <w:gridCol w:w="1585"/>
        <w:gridCol w:w="60"/>
        <w:gridCol w:w="60"/>
        <w:gridCol w:w="315"/>
        <w:gridCol w:w="661"/>
        <w:gridCol w:w="80"/>
      </w:tblGrid>
      <w:tr>
        <w:trPr/>
        <w:tc>
          <w:tcPr>
            <w:tcW w:w="2838" w:type="dxa"/>
            <w:tcBorders>
              <w:bottom w:val="single" w:sz="8" w:space="0" w:color="000000"/>
            </w:tcBorders>
            <w:vAlign w:val="center"/>
          </w:tcPr>
          <w:p>
            <w:pPr>
              <w:pStyle w:val="TableContents"/>
              <w:bidi w:val="0"/>
              <w:spacing w:before="0" w:after="283"/>
              <w:jc w:val="left"/>
              <w:rPr>
                <w:b/>
              </w:rPr>
            </w:pPr>
            <w:r>
              <w:rPr>
                <w:b/>
              </w:rPr>
              <w:t>Name of Selling Securityholder</w:t>
            </w:r>
          </w:p>
        </w:tc>
        <w:tc>
          <w:tcPr>
            <w:tcW w:w="60" w:type="dxa"/>
            <w:tcBorders/>
            <w:tcMar>
              <w:bottom w:w="0" w:type="dxa"/>
            </w:tcMar>
            <w:vAlign w:val="center"/>
          </w:tcPr>
          <w:p>
            <w:pPr>
              <w:pStyle w:val="TableContents"/>
              <w:bidi w:val="0"/>
              <w:spacing w:before="0" w:after="283"/>
              <w:jc w:val="left"/>
              <w:rPr/>
            </w:pPr>
            <w:r>
              <w:rPr/>
              <w:t> </w:t>
            </w:r>
          </w:p>
        </w:tc>
        <w:tc>
          <w:tcPr>
            <w:tcW w:w="1512"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 of Common Stock</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Beneficially</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Owned Prior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Offering</w:t>
            </w:r>
            <w:r>
              <w:rPr>
                <w:rFonts w:ascii="Times New Roman;Times;Serif" w:hAnsi="Times New Roman;Times;Serif"/>
                <w:b/>
                <w:i w:val="false"/>
                <w:caps w:val="false"/>
                <w:smallCaps w:val="false"/>
                <w:position w:val="7"/>
                <w:sz w:val="16"/>
                <w:sz w:val="20"/>
              </w:rPr>
              <w:t>(1)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115"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Maximum</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Shares of Common Stock to be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Sold</w:t>
            </w:r>
            <w:r>
              <w:rPr>
                <w:rFonts w:ascii="Times New Roman;Times;Serif" w:hAnsi="Times New Roman;Times;Serif"/>
                <w:b/>
                <w:i w:val="false"/>
                <w:caps w:val="false"/>
                <w:smallCaps w:val="false"/>
                <w:position w:val="7"/>
                <w:sz w:val="16"/>
                <w:sz w:val="20"/>
              </w:rPr>
              <w:t>(2)</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264"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Shares of Common Stock Owned After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Offering</w:t>
            </w:r>
            <w:r>
              <w:rPr>
                <w:rFonts w:ascii="Times New Roman;Times;Serif" w:hAnsi="Times New Roman;Times;Serif"/>
                <w:b/>
                <w:i w:val="false"/>
                <w:caps w:val="false"/>
                <w:smallCaps w:val="false"/>
                <w:position w:val="7"/>
                <w:sz w:val="16"/>
                <w:sz w:val="20"/>
              </w:rPr>
              <w:t>(3)</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76"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Percentage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Ownership</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After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Offering </w:t>
            </w:r>
            <w:r>
              <w:rPr>
                <w:rFonts w:ascii="Times New Roman;Times;Serif" w:hAnsi="Times New Roman;Times;Serif"/>
                <w:b/>
                <w:i w:val="false"/>
                <w:caps w:val="false"/>
                <w:smallCaps w:val="false"/>
                <w:position w:val="7"/>
                <w:sz w:val="16"/>
                <w:sz w:val="20"/>
              </w:rPr>
              <w:t>(4)</w:t>
            </w:r>
          </w:p>
        </w:tc>
        <w:tc>
          <w:tcPr>
            <w:tcW w:w="80" w:type="dxa"/>
            <w:tcBorders/>
            <w:tcMar>
              <w:bottom w:w="0" w:type="dxa"/>
            </w:tcMar>
            <w:vAlign w:val="center"/>
          </w:tcPr>
          <w:p>
            <w:pPr>
              <w:pStyle w:val="TableContents"/>
              <w:bidi w:val="0"/>
              <w:spacing w:before="0" w:after="283"/>
              <w:jc w:val="left"/>
              <w:rPr/>
            </w:pPr>
            <w:r>
              <w:rPr/>
              <w:t> </w:t>
            </w:r>
          </w:p>
        </w:tc>
      </w:tr>
      <w:tr>
        <w:trPr/>
        <w:tc>
          <w:tcPr>
            <w:tcW w:w="2838"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CP BF Lending, LLC c/o Columbia Pacific Advisors (5)</w:t>
            </w:r>
          </w:p>
        </w:tc>
        <w:tc>
          <w:tcPr>
            <w:tcW w:w="60" w:type="dxa"/>
            <w:tcBorders/>
            <w:shd w:fill="CCEEFF" w:val="clear"/>
            <w:tcMar>
              <w:bottom w:w="0" w:type="dxa"/>
            </w:tcMar>
            <w:vAlign w:val="center"/>
          </w:tcPr>
          <w:p>
            <w:pPr>
              <w:pStyle w:val="TableContents"/>
              <w:bidi w:val="0"/>
              <w:spacing w:before="0" w:after="283"/>
              <w:jc w:val="left"/>
              <w:rPr/>
            </w:pPr>
            <w:r>
              <w:rPr/>
              <w:t> </w:t>
            </w:r>
          </w:p>
        </w:tc>
        <w:tc>
          <w:tcPr>
            <w:tcW w:w="453" w:type="dxa"/>
            <w:tcBorders/>
            <w:shd w:fill="CCEEFF" w:val="clear"/>
            <w:tcMar>
              <w:bottom w:w="0" w:type="dxa"/>
            </w:tcMar>
            <w:vAlign w:val="center"/>
          </w:tcPr>
          <w:p>
            <w:pPr>
              <w:pStyle w:val="TableContents"/>
              <w:bidi w:val="0"/>
              <w:spacing w:before="0" w:after="283"/>
              <w:jc w:val="left"/>
              <w:rPr/>
            </w:pPr>
            <w:r>
              <w:rPr/>
              <w:t> </w:t>
            </w:r>
          </w:p>
        </w:tc>
        <w:tc>
          <w:tcPr>
            <w:tcW w:w="1059" w:type="dxa"/>
            <w:tcBorders/>
            <w:shd w:fill="CCEEFF" w:val="clear"/>
            <w:tcMar>
              <w:bottom w:w="0" w:type="dxa"/>
            </w:tcMar>
            <w:vAlign w:val="center"/>
          </w:tcPr>
          <w:p>
            <w:pPr>
              <w:pStyle w:val="TableContents"/>
              <w:bidi w:val="0"/>
              <w:spacing w:before="0" w:after="283"/>
              <w:jc w:val="right"/>
              <w:rPr/>
            </w:pPr>
            <w:r>
              <w:rPr/>
              <w:t>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1" w:type="dxa"/>
            <w:tcBorders/>
            <w:shd w:fill="CCEEFF" w:val="clear"/>
            <w:tcMar>
              <w:bottom w:w="0" w:type="dxa"/>
            </w:tcMar>
            <w:vAlign w:val="center"/>
          </w:tcPr>
          <w:p>
            <w:pPr>
              <w:pStyle w:val="TableContents"/>
              <w:bidi w:val="0"/>
              <w:spacing w:before="0" w:after="283"/>
              <w:jc w:val="left"/>
              <w:rPr/>
            </w:pPr>
            <w:r>
              <w:rPr/>
              <w:t> </w:t>
            </w:r>
          </w:p>
        </w:tc>
        <w:tc>
          <w:tcPr>
            <w:tcW w:w="1994" w:type="dxa"/>
            <w:tcBorders/>
            <w:shd w:fill="CCEEFF" w:val="clear"/>
            <w:tcMar>
              <w:bottom w:w="0" w:type="dxa"/>
            </w:tcMar>
            <w:vAlign w:val="center"/>
          </w:tcPr>
          <w:p>
            <w:pPr>
              <w:pStyle w:val="TableContents"/>
              <w:bidi w:val="0"/>
              <w:spacing w:before="0" w:after="283"/>
              <w:jc w:val="right"/>
              <w:rPr/>
            </w:pPr>
            <w:r>
              <w:rPr/>
              <w:t>2,076,842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9" w:type="dxa"/>
            <w:tcBorders/>
            <w:shd w:fill="CCEEFF" w:val="clear"/>
            <w:tcMar>
              <w:bottom w:w="0" w:type="dxa"/>
            </w:tcMar>
            <w:vAlign w:val="center"/>
          </w:tcPr>
          <w:p>
            <w:pPr>
              <w:pStyle w:val="TableContents"/>
              <w:bidi w:val="0"/>
              <w:spacing w:before="0" w:after="283"/>
              <w:jc w:val="left"/>
              <w:rPr/>
            </w:pPr>
            <w:r>
              <w:rPr/>
              <w:t> </w:t>
            </w:r>
          </w:p>
        </w:tc>
        <w:tc>
          <w:tcPr>
            <w:tcW w:w="1585" w:type="dxa"/>
            <w:tcBorders/>
            <w:shd w:fill="CCEEFF" w:val="clear"/>
            <w:tcMar>
              <w:bottom w:w="0" w:type="dxa"/>
            </w:tcMar>
            <w:vAlign w:val="center"/>
          </w:tcPr>
          <w:p>
            <w:pPr>
              <w:pStyle w:val="TableContents"/>
              <w:bidi w:val="0"/>
              <w:spacing w:before="0" w:after="283"/>
              <w:jc w:val="right"/>
              <w:rPr/>
            </w:pPr>
            <w:r>
              <w:rPr/>
              <w:t>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15" w:type="dxa"/>
            <w:tcBorders/>
            <w:shd w:fill="CCEEFF" w:val="clear"/>
            <w:tcMar>
              <w:bottom w:w="0" w:type="dxa"/>
            </w:tcMar>
            <w:vAlign w:val="center"/>
          </w:tcPr>
          <w:p>
            <w:pPr>
              <w:pStyle w:val="TableContents"/>
              <w:bidi w:val="0"/>
              <w:spacing w:before="0" w:after="283"/>
              <w:jc w:val="left"/>
              <w:rPr/>
            </w:pPr>
            <w:r>
              <w:rPr/>
              <w:t> </w:t>
            </w:r>
          </w:p>
        </w:tc>
        <w:tc>
          <w:tcPr>
            <w:tcW w:w="661"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0"/>
        <w:gridCol w:w="9995"/>
      </w:tblGrid>
      <w:tr>
        <w:trPr/>
        <w:tc>
          <w:tcPr>
            <w:tcW w:w="2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beneficial ownership of less than one percent of our outstanding shares (assuming all of the offered shares are sold by the Selling Securityholders).</w:t>
            </w:r>
          </w:p>
        </w:tc>
      </w:tr>
      <w:tr>
        <w:trPr/>
        <w:tc>
          <w:tcPr>
            <w:tcW w:w="2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 of this selling securityholder table only, the Offering refers to the resale of the Shares of Common Stock by each Selling Securityholder listed above.</w:t>
            </w:r>
          </w:p>
        </w:tc>
      </w:tr>
      <w:tr>
        <w:trPr/>
        <w:tc>
          <w:tcPr>
            <w:tcW w:w="210" w:type="dxa"/>
            <w:tcBorders/>
            <w:vAlign w:val="center"/>
          </w:tcPr>
          <w:p>
            <w:pPr>
              <w:pStyle w:val="TableContents"/>
              <w:bidi w:val="0"/>
              <w:spacing w:before="0" w:after="283"/>
              <w:jc w:val="both"/>
              <w:rPr>
                <w:caps w:val="false"/>
                <w:smallCaps w:val="false"/>
              </w:rPr>
            </w:pPr>
            <w:r>
              <w:rPr>
                <w:caps w:val="false"/>
                <w:smallCaps w:val="false"/>
              </w:rPr>
              <w:t> </w:t>
            </w:r>
          </w:p>
        </w:tc>
        <w:tc>
          <w:tcPr>
            <w:tcW w:w="999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(i) shares of Class A Common Stock issuable to CP BF Lending, LLC upon the conversion of that certain convertible promissory note (as amended, the “2024 CP BF Convertible Note”) originally issued by the Company to CP BF Lending, LLC, c/o Columbia Pacific Advisors, pursuant to the Loan Agreement, dated as of February 19, 2021, as amended by the Second Amendment to Loan Agreement, dated as of September 23, 2024, and further amended by the Letter Agreement, dated October 10, 2025 between the Company and CP BF. See “</w:t>
            </w:r>
            <w:r>
              <w:rPr>
                <w:rFonts w:ascii="Times New Roman;Times;Serif" w:hAnsi="Times New Roman;Times;Serif"/>
                <w:b w:val="false"/>
                <w:i/>
                <w:caps w:val="false"/>
                <w:smallCaps w:val="false"/>
                <w:sz w:val="20"/>
              </w:rPr>
              <w:t>Description of Securities-Debt</w:t>
            </w:r>
            <w:r>
              <w:rPr>
                <w:rFonts w:ascii="Times New Roman;Times;Serif" w:hAnsi="Times New Roman;Times;Serif"/>
                <w:b w:val="false"/>
                <w:i w:val="false"/>
                <w:caps w:val="false"/>
                <w:smallCaps w:val="false"/>
                <w:sz w:val="20"/>
              </w:rPr>
              <w:t>” for more information.</w:t>
            </w:r>
          </w:p>
        </w:tc>
      </w:tr>
      <w:tr>
        <w:trPr/>
        <w:tc>
          <w:tcPr>
            <w:tcW w:w="210" w:type="dxa"/>
            <w:tcBorders/>
            <w:vAlign w:val="center"/>
          </w:tcPr>
          <w:p>
            <w:pPr>
              <w:pStyle w:val="TableContents"/>
              <w:bidi w:val="0"/>
              <w:spacing w:before="0" w:after="283"/>
              <w:jc w:val="both"/>
              <w:rPr>
                <w:caps w:val="false"/>
                <w:smallCaps w:val="false"/>
              </w:rPr>
            </w:pPr>
            <w:r>
              <w:rPr>
                <w:caps w:val="false"/>
                <w:smallCaps w:val="false"/>
              </w:rPr>
              <w:t> </w:t>
            </w:r>
          </w:p>
        </w:tc>
        <w:tc>
          <w:tcPr>
            <w:tcW w:w="999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we do not have the ability to control how many, if any, of their shares each of the Selling Securityholders will sell, we have assumed that the Selling Securityholders will sell all of the shares offered herein for purposes of determining how many shares they will own after the Offering and their percentage of ownership following the Offering.</w:t>
            </w:r>
          </w:p>
        </w:tc>
      </w:tr>
      <w:tr>
        <w:trPr/>
        <w:tc>
          <w:tcPr>
            <w:tcW w:w="210" w:type="dxa"/>
            <w:tcBorders/>
            <w:vAlign w:val="center"/>
          </w:tcPr>
          <w:p>
            <w:pPr>
              <w:pStyle w:val="TableContents"/>
              <w:bidi w:val="0"/>
              <w:spacing w:before="0" w:after="283"/>
              <w:jc w:val="both"/>
              <w:rPr>
                <w:caps w:val="false"/>
                <w:smallCaps w:val="false"/>
              </w:rPr>
            </w:pPr>
            <w:r>
              <w:rPr>
                <w:caps w:val="false"/>
                <w:smallCaps w:val="false"/>
              </w:rPr>
              <w:t> </w:t>
            </w:r>
          </w:p>
        </w:tc>
        <w:tc>
          <w:tcPr>
            <w:tcW w:w="999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percentages have been rounded up to the nearest one hundredth of one percent.</w:t>
            </w:r>
          </w:p>
        </w:tc>
      </w:tr>
      <w:tr>
        <w:trPr/>
        <w:tc>
          <w:tcPr>
            <w:tcW w:w="210" w:type="dxa"/>
            <w:tcBorders/>
            <w:vAlign w:val="center"/>
          </w:tcPr>
          <w:p>
            <w:pPr>
              <w:pStyle w:val="TableContents"/>
              <w:bidi w:val="0"/>
              <w:spacing w:before="0" w:after="283"/>
              <w:jc w:val="both"/>
              <w:rPr>
                <w:caps w:val="false"/>
                <w:smallCaps w:val="false"/>
              </w:rPr>
            </w:pPr>
            <w:r>
              <w:rPr>
                <w:caps w:val="false"/>
                <w:smallCaps w:val="false"/>
              </w:rPr>
              <w:t> </w:t>
            </w:r>
          </w:p>
        </w:tc>
        <w:tc>
          <w:tcPr>
            <w:tcW w:w="999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CP Business Finance GP, LLC (“CP Business”) is the Manager of CP BF Lending, LLC’s (“CP BF”). Columbia Pacific Advisors, LLC (“Columbia”) is the Manager of CP Business, and Columbia in turn is managed by a Board of Managers. As such, Columbia’s Board of Managers has the voting and dispositive power with respect to the securities held by CP BF. The address of CP BF is 1910 Fairview Ave. E., Suite 300, Seattle, WA 98102.</w:t>
            </w:r>
          </w:p>
        </w:tc>
      </w:tr>
    </w:tbl>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5" w:name="sd_007"/>
      <w:bookmarkEnd w:id="15"/>
      <w:r>
        <w:rPr>
          <w:rFonts w:ascii="Times New Roman;Times;Serif" w:hAnsi="Times New Roman;Times;Serif"/>
          <w:b/>
          <w:i w:val="false"/>
          <w:caps w:val="false"/>
          <w:smallCaps w:val="false"/>
          <w:sz w:val="20"/>
        </w:rPr>
        <w:t>PLAN OF DISTRIBUTION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of Common Stock offered by this prospectus are being offered by the Selling Securityholders. The shares of Common Stock may be sold or distributed from time to time by the Selling Securityholders directly to one or more purchasers or through brokers, dealers, or underwriters who may act solely as agents at market prices prevailing at the time of sale, at prices related to the prevailing market prices, at negotiated prices, or at fixed prices, which may be changed. The sale of the shares of Common Stock offered by this prospectus could be effected in one or more of the following methods: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ordinary brokers’ transactions;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transactions involving cross or block trades;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brokers, dealers, or underwriters who may act solely as agents;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at the market” into an existing market for our common stock;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other ways not involving market makers or established business markets, including direct sales to purchasers or sales effected through agents;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privately negotiated transactions;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combination of the foregoing.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comply with the securities laws of certain states, if applicable, the shares of Common Stock may be sold only through registered or licensed brokers or dealers. In addition, in certain states, the shares of Common Stock may not be sold unless they have been registered or qualified for sale in the state or an exemption from the state’s registration or qualification requirement is available and complied with.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Securityholders are both an “underwriter” within the meaning of Section 2(a)(11) of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Securityholders have informed us that they intend to use one or more registered broker-dealers to effectuate all sales, if any, of our Common Stock that they have acquired and may in the future acquire from us pursuant to their respective agreements. Such sales will be made at prices and at terms then prevailing or at prices related to the then current market price. Each such registered broker-dealer will be an underwriter within the meaning of Section 2(a)(11) of the Securities Act. The Selling Securityholders have informed us that each such broker-dealer will receive commissions that will not exceed customary brokerage commissions.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Brokers, dealers, underwriters, or agents participating in the distribution of the shares of our Common Stock offered by this prospectus may receive compensation in the form of commissions, discounts, or concessions from the purchasers, for whom the broker-dealers may act as agent, of the shares of Common Stock sold by the Selling Securityholders through this prospectus. The compensation paid to any such particular broker-dealer by any such purchasers of shares of our Common Stock sold by the Selling Securityholders may be less than or in excess of customary commissions. Neither we nor the Selling Securityholders can presently estimate the amount of compensation that any agent will receive from any purchasers of shares of our Common Stock sold by the Selling Securityholders.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know of no existing arrangements between the Selling Securityholders or any other stockholder, broker, dealer, underwriter, or agent relating to the sale or distribution of the shares of our Common Stock offered by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FINRA Rule 5110 requires FINRA member firms (unless an exemption applies) to satisfy the filing requirements of Rule 5110 in connection with the resale, on behalf of Selling Securityholders, of the securities on a principal or agency basis. NASD Notice to Members 88-101 states that in the event a Selling Securityholder intends to sell any of the shares registered for resale in this prospectus through a member of FINRA participating in a distribution of our securities, such member is responsible for insuring that a timely filing, if required, is first made with the Corporate Finance Department of FINRA and disclosing to FINRA the following: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intends to take possession of the registered securities or to facilitate the transfer of such certificates;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complete details of how the Selling Shareholders’ shares are and will be held, including location of the particular accounts;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the member firm or any direct or indirect affiliates thereof have entered into, will facilitate or otherwise participate in any type of payment transaction with the Selling Shareholders, including details regarding any such transactions; and</w:t>
            </w:r>
          </w:p>
        </w:tc>
      </w:tr>
    </w:tbl>
    <w:p>
      <w:pPr>
        <w:pStyle w:val="TextBody"/>
        <w:bidi w:val="0"/>
        <w:spacing w:before="0" w:after="0"/>
        <w:ind w:left="979" w:right="0" w:hanging="49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any of the securities offered by the Selling Shareholders are sold, transferred, assigned or hypothecated by any Selling Shareholder in a transaction that directly or indirectly involves a member firm of FINRA or any affiliates thereof, that prior to or at the time of said transaction the member firm will timely file all relevant documents with respect to such transaction(s) with the Corporate Finance Department of FINRA for review.</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from time to time file with the SEC one or more supplements to this prospectus or amendments to the registration statement of which this prospectus forms a part to amend, supplement or update information contained in this prospectus, including, if and when required under the Securities Act, to disclose certain information relating to a particular sale of shares of Common Stock offered by this prospectus by the Selling Securityholders, including the names of any brokers, dealers, underwriters or agents participating in the distribution of such shares of Common Stock by the Selling Securityholders, any compensation paid by the Selling Securityholders to any such brokers, dealers, underwriters or agents, and any other required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pay the expenses incident to the registration under the Securities Act of the offer and sale of the shares of our Common Stock covered by this prospectus by the Selling Securityholders.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have agreed to indemnify CP BF and certain other persons against certain liabilities in connection with the offering of shares of our Common Stock offered hereby, including liabilities arising under the Securities Act or, if such indemnity is unavailable, to contribute amounts required to be paid in respect of such liabilities. CP BF has agreed to indemnify us against liabilities under the Securities Act that may arise from certain written information furnished to us by CP BF specifically for use in this prospectus or, if such indemnity is unavailable, to contribute amounts required to be paid in respect of such liabilities. Insofar as indemnification for liabilities arising under the Securities Act may be permitted to our directors, officers, and controlling persons, we have been advised that in the opinion of the SEC this indemnification is against public policy as expressed in the Securities Act and is therefore, unenforceable.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CP BF has represented to us that at no time prior to the date of their respective agreements with the Company have they or their agents, representatives or affiliates engaged in or effected, in any manner whatsoever, directly or indirectly, any short sale (as such term is defined in Rule 200 of Regulation SHO of the Exchange Act) of our common stock or any hedging transaction, which establishes a net short position with respect to our Common Stock. CP BF has agreed that during the term of their respective agreements, neither CP BF nor any of its agents, representatives or affiliates will enter into or effect, directly or indirectly, any of the foregoing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advised the Selling Securityholders that they are required to comply with Regulation M promulgated under the Exchange Act. With certain exceptions, Regulation M precludes the Selling Securityholders, any affiliated purchasers, and any broker-dealer or other person who participates in the distribution from bidding for or purchasing, or attempting to induce any person to bid for or purchase any security that is the subject of the distribution until the entire distribution is complete. Regulation M also prohibits any bids or purchases made in order to stabilize the price of a security in connection with the distribution of that security. All of the foregoing may affect the marketability of the securities offered by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offering will terminate on the date that all shares of our Common Stock offered by this prospectus have been sold by the Selling Securityholders.</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 ELIGIBLE FOR FUTURE SALE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Lock-Up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Business Combination, on the Closing Date, the Company and certain stockholders and executives of Legacy Banzai, including Legacy Banzai’s officers, directors, and certain holders of 10% or more of the outstanding shares of Legacy Banzai Common Stock as of the date of the Merger Agreement, entered into Lock-Up Agreements effective as of the Closing Date (each, a “Lock-Up Agreement”). The terms of the Lock-Up Agreements provide that such signatory stockholders agree not to, without the prior written consent of the Company (subject to certain exceptions): (i) sell, offer to sell, contract or agree to sell, hypothecate, pledge, grant any option to purchase or otherwise dispose of or agree to dispose of, directly or indirectly, or establish or increase a put equivalent position or liquidate or decrease a call equivalent position within the meaning of Section 16 of the Securities Act and the rules and regulations of the SEC promulgated thereunder, any shares of Common Stock held by him, her, or it immediately after the Closing, any shares of Common Stock issuable upon the exercise of options to purchase shares, or any securities convertible into or exercisable or exchangeable for Common Stock held by him, her, or it immediately after the Closing, (ii) enter into any swap or other arrangement that transfers to another, in whole or in part, any of the economic consequences of ownership of any of such shares of Common Stock or securities convertible into or exercisable or exchangeable for Common Stock, whether any such transaction is to be settled by delivery of such securities, in cash or otherwise, or (iii) publicly announce any intention to effect any transaction specified in clause (i) or (ii) until 180 days after the closing date of the Business Combination.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Shares Registered for Resale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shares being registered with this prospectus, Banzai filed the following registration statements: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S-1 (File No. 333-276307) with the SEC for purposes of registering the resale from time to time of up to 30,309 shares of Common Stock, which was declared effective on February 14, 2024.</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S-1 (File No. 333-282232) with the SEC for purposes of registering for resale from time to time up to 2,500,000 shares of Common Stock, which was declared effective on September 26, 2024.</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S-1 (File No. 333-278871) with the SEC for purposes of registering the resale from time to time of up to 352,941 shares of Common Stock, which was declared effective on May 21, 2024.</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S-1 (File No. 333-282306) with the SEC for purposes of registering the resale from time to time of up to an aggregate of 492,506 shares of Common Stock, which was declared effective on October 10, 2024.</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S-1 (File No. 333-282680) with the SEC for purposes of registering the resale from time to time of up to 87,737 shares of Common Stock, which was declared effective on November 12, 2024.</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S-3 (File No. 333-288935) with the SEC for purposes of registering the resale from time to time of up to 1,502,826 shares of Common Stock, which was declared effective on August 8, 2025.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S-3 (File No. 333-289099) with the SEC for purposes of registering the resale from time to time of up to 9,004,003 shares of Common Stock, which was declared effective on August 8, 2025.</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Rule 144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Rule 144, a person who has beneficially owned restricted Common Stock or Warrants for at least six months would be entitled to sell their securities provided that (i) such person is not deemed to have been an affiliate of Banzai at the time of, or at any time during the three months preceding, a sale and (ii) Banzai is subject to the Exchange Act periodic reporting requirements for at least three months before the sale and has filed all required reports under Section 13 or 15(d) of the Exchange Act during the 12 months (or such shorter period as Banzai was required to file reports) preceding the sale.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who have beneficially owned restricted Common Stock or Banzai Warrants for at least six months but who are affiliates of Banzai at the time of, or at any time during the three months preceding, a sale would be subject to additional restrictions, by which such person would be entitled to sell within any three-month period only a number of securities that does not exceed the greater of:</w:t>
      </w:r>
    </w:p>
    <w:p>
      <w:pPr>
        <w:pStyle w:val="TextBody"/>
        <w:bidi w:val="0"/>
        <w:spacing w:before="0" w:after="0"/>
        <w:ind w:left="979" w:right="0" w:hanging="49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of the total number of shares of Common Stock then outstanding;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average weekly reported trading volume of Common Stock during the four calendar weeks preceding the filing of a notice on Form 144 with respect to the sale.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by affiliates of Banzai under Rule 144 are also limited by manner of sale provisions and notice requirements and to the availability of current public information about Banzai.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Restrictions on the Use of Rule 144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Rule 144 is not available for the resale of securities initially issued by shell companies (other than business combination related shell companies) or issuers that have been at any time previously a shell company. However, Rule 144 also includes an important exception to this prohibition if the following conditions are met: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of the securities that was formerly a shell company has ceased to be a shell company;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of the securities is subject to the reporting requirements of Section 13 or 15(d) of the Exchange Act;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of the securities has filed all Exchange Act reports and material required to be filed, as applicable, during the preceding 12 months (or such shorter period that the issuer was required to file such reports and materials), other than Form 8-K reports;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least one year has elapsed from the time that the issuer filed current Form 10 type information with the SEC reflecting its status as an entity that is not a shell company.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consummation of the Business Combination, we are no longer a shell company. Accordingly, once the conditions set forth in the exceptions listed above are satisfied, Rule 144 will become available for the resale of the above noted restricted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Rule 701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Rule 701 under the Securities Act generally allows a stockholder who purchases shares of Banzai capital stock pursuant to a written compensatory plan or contract and who is not deemed to have been an affiliate of Banzai during the immediately preceding 90 days to sell these shares in reliance upon Rule 144, but without being required to comply with the public information, holding period, volume limitation, or notice provisions of Rule 144. Rule 701 also permits affiliates of Banzai to sell their Rule 701 shares under Rule 144 without complying with the holding period requirements of Rule 144. However, the Rule 701 shares would remain subject to lock-up arrangements and would only become eligible for sale when the applicable lock-up period expires.</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6" w:name="sd_009"/>
      <w:bookmarkEnd w:id="16"/>
      <w:r>
        <w:rPr>
          <w:rFonts w:ascii="Times New Roman;Times;Serif" w:hAnsi="Times New Roman;Times;Serif"/>
          <w:b/>
          <w:i w:val="false"/>
          <w:caps w:val="false"/>
          <w:smallCaps w:val="false"/>
          <w:sz w:val="20"/>
        </w:rPr>
        <w:t>DESCRIPTION OF SECURITIES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summary of certain material provisions of the Company’s securities does not purport to be complete and is subject to and qualified in its entirety by the provisions of the Charter, the Bylaws and applicable law. The applicable provisions of the Charter and the Bylaws that are filed with the registration statement of which this prospectus forms a part should be read carefully and in their entirety.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Authorized and Outstanding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Charter authorizes the issuance of 350,000,000 shares, consisting of 250,000,000 shares of Class A Common Stock, 25,000,000 shares of Class B Common Stock, and 75,000,000 shares of Preferred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Class A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Voting rights</w:t>
      </w:r>
      <w:r>
        <w:rPr>
          <w:rFonts w:ascii="Times New Roman;Times;Serif" w:hAnsi="Times New Roman;Times;Serif"/>
          <w:b w:val="false"/>
          <w:i w:val="false"/>
          <w:caps w:val="false"/>
          <w:smallCaps w:val="false"/>
          <w:sz w:val="20"/>
        </w:rPr>
        <w:t>. Each holder of Class A Common Stock is entitled to one vote for each share of Class A Common Stock held of record by such holder on all matters voted upon by our stockholders, provided, however, that, except as otherwise required in the Charter, as provided by law or by the resolution(s) or any certificate of designation providing for the issue of any Preferred Stock, the holders of Class A Common Stock are not entitled to vote on any amendment to our Charter that relates solely to the terms of one or more outstanding series of Preferred Stock if the holders of such affected series are entitled, either separately or together with the holders of one or more other such series, to vote thereon pursuant to our Charter (including any certificate of designation relating to any series of Preferred Stock) or pursuant to the DGCL.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Dividend rights</w:t>
      </w:r>
      <w:r>
        <w:rPr>
          <w:rFonts w:ascii="Times New Roman;Times;Serif" w:hAnsi="Times New Roman;Times;Serif"/>
          <w:b w:val="false"/>
          <w:i w:val="false"/>
          <w:caps w:val="false"/>
          <w:smallCaps w:val="false"/>
          <w:sz w:val="20"/>
        </w:rPr>
        <w:t>. Subject to the rights of holders of Preferred Stock, holders of Class A Common Stock and Class B Common Stock are entitled to receive ratably, on a per share basis, dividends and other distributions in cash, stock or property of the Company as may be declared and paid from time to time by the Board out of any of our assets legally available therefor.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Rights upon liquidation</w:t>
      </w:r>
      <w:r>
        <w:rPr>
          <w:rFonts w:ascii="Times New Roman;Times;Serif" w:hAnsi="Times New Roman;Times;Serif"/>
          <w:b w:val="false"/>
          <w:i w:val="false"/>
          <w:caps w:val="false"/>
          <w:smallCaps w:val="false"/>
          <w:sz w:val="20"/>
        </w:rPr>
        <w:t>. Subject to applicable law and the rights of holders of Preferred Stock, holders of Class A Common Stock and Class B Common Stock shall be entitled to receive ratably the assets and funds of the Company available for distribution in the event of any liquidation, dissolution or winding up of the Company, whether voluntary or involuntary, unless disparate or different treatment of the shares of each such class with respect to distributions upon any such liquidation, dissolution or winding up is approved in advance by holders of a majority of the outstanding shares of Class A Common Stock and the holders of a majority of the outstanding shares of Class B Common Stock, each voting separately as a class.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Other rights</w:t>
      </w:r>
      <w:r>
        <w:rPr>
          <w:rFonts w:ascii="Times New Roman;Times;Serif" w:hAnsi="Times New Roman;Times;Serif"/>
          <w:b w:val="false"/>
          <w:i w:val="false"/>
          <w:caps w:val="false"/>
          <w:smallCaps w:val="false"/>
          <w:sz w:val="20"/>
        </w:rPr>
        <w:t>. No holder of Class A Common Stock is entitled to preemptive or subscription rights contained in the Charter or in the Bylaws. There are no redemption or sinking fund provisions applicable to Class A Common Stock. The rights, preferences, and privileges of holders of Class A Common Stock are subject to those of the holders of any shares of the Preferred Stock that the Company may issue in the future.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Class B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Issuance of Class B Common Stock.</w:t>
      </w:r>
      <w:r>
        <w:rPr>
          <w:rFonts w:ascii="Times New Roman;Times;Serif" w:hAnsi="Times New Roman;Times;Serif"/>
          <w:b w:val="false"/>
          <w:i w:val="false"/>
          <w:caps w:val="false"/>
          <w:smallCaps w:val="false"/>
          <w:sz w:val="20"/>
        </w:rPr>
        <w:t xml:space="preserve"> Shares of Class B Common Stock may be issued only to, and registered in the name of, Mr. Davy and any entities wholly-owned (directly or indirectly) by Mr. Davy, or any trust for the benefit of Mr. Davy, or of which Mr. Davy is a trustee or has sole or shared voting power such that Mr. Davy has Voting Control (as defined in the Charter) over the shares held therein; provided that, in each case, Mr. Davy has sole dispositive power and the exclusive right to direct the voting of all of the shares of Class B Common Stock held by such entity and the transfer does not involve any payment of cash, securities, property or other consideration (other than an interest in such entity) to Mr. Davy (collectively, “Permitted Class B Owners”).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Voting rights</w:t>
      </w:r>
      <w:r>
        <w:rPr>
          <w:rFonts w:ascii="Times New Roman;Times;Serif" w:hAnsi="Times New Roman;Times;Serif"/>
          <w:b w:val="false"/>
          <w:i w:val="false"/>
          <w:caps w:val="false"/>
          <w:smallCaps w:val="false"/>
          <w:sz w:val="20"/>
        </w:rPr>
        <w:t>. Each holder of Class B Common Stock is entitled to 10 votes for each share of Class B Common Stock held of record by such holder on all matters voted upon by our stockholders, provided, however, that, except as otherwise required in the Charter, as provided by law or by the resolution(s) or any certificate of designation providing for the issue of any Preferred Stock, the holders of Class B Common Stock are not entitled to vote on any amendment to our Charter that relates solely to the terms of one or more outstanding series of Preferred Stock if the holders of such affected series are entitled, either separately or together with the holders of one or more other such series, to vote thereon pursuant to our Charter (including any certificate of designation relating to any series of Preferred Stock) or pursuant to the DGCL.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Dividend rights</w:t>
      </w:r>
      <w:r>
        <w:rPr>
          <w:rFonts w:ascii="Times New Roman;Times;Serif" w:hAnsi="Times New Roman;Times;Serif"/>
          <w:b w:val="false"/>
          <w:i w:val="false"/>
          <w:caps w:val="false"/>
          <w:smallCaps w:val="false"/>
          <w:sz w:val="20"/>
        </w:rPr>
        <w:t>. Subject to the rights of holders of Preferred Stock, holders of Class A Common Stock and Class B Common Stock are entitled to receive ratably, on a per share basis, dividends and other distributions in cash, stock or property of the Company as may be declared and paid from time to time by the Board out of any of our assets legally available therefor.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Rights upon liquidation</w:t>
      </w:r>
      <w:r>
        <w:rPr>
          <w:rFonts w:ascii="Times New Roman;Times;Serif" w:hAnsi="Times New Roman;Times;Serif"/>
          <w:b w:val="false"/>
          <w:i w:val="false"/>
          <w:caps w:val="false"/>
          <w:smallCaps w:val="false"/>
          <w:sz w:val="20"/>
        </w:rPr>
        <w:t>. Subject to applicable law and the rights of holders of Preferred Stock, holders of Class A Common Stock and Class B Common Stock shall be entitled to receive ratably the assets and funds of the Company available for distribution in the event of any liquidation, dissolution or winding up of the Company, whether voluntary or involuntary, unless disparate or different treatment of the shares of each such class with respect to distributions upon any such liquidation, dissolution or winding up is approved in advance by holders of a majority of the outstanding shares of Class A Common Stock and the holders of a majority of the outstanding shares of Class B Common Stock, each voting separately as a class.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Transfers</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Pursuant to the Charter, holders of shares of Class B Common Stock are generally restricted from transferring such shares, other than to a Permitted Class B Owner or in connection with a divorce or domestic relations order or decree.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Conversion</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Each share of Class B Common Stock will be (1) automatically converted into an equal number of fully paid and nonassessable shares of Class A Common Stock upon any Transfer (as defined in the Charter) of such shares of Class B Common Stock, except for a Permitted Transfer (as defined in the Charter) and (2) subject to conversion into an equal number of fully paid and nonassessable shares of Class A Common Stock at the determination of the Board 90 days after the earliest date (the “Termination Anniversary Date”) that any of the following conditions are satisfied: (i) Mr. Davy’s employment as Chief Executive Officer being terminated for cause or due to death or permanent disability; (ii) Mr. Davy resigns (other than for good reason) as the Chief Executive Officer of the Company; or (iii) Mr. Davy no longer serves as a member of the Board. In the event that Mr. Davy is reinstated as the Chief Executive Officer of the Company or is reelected or reappointed to serve as a member of the Board prior to the Termination Anniversary Date (each, a “Reset Event”), then the shares of Class B Common Stock will not be converted pursuant to clause (2) unless and until the ninety-day anniversary of the date that any of the foregoing conditions are subsequently met; provided that in the event of a subsequent Reset Event, the next Termination Anniversary Date will extend until the ninety-day anniversary of the date that any of the foregoing conditions are subsequently met without a Reset Event occurring prior to such anniversary. In addition, upon delivery by Mr. Davy of written notice (a “Conversion Notice”) to the Company at any time requesting the conversion of all or a portion of the shares of Class B Common Stock held by Mr. Davy, the Company shall, without further action on the part of the Company or any holder of shares of Class B Common Stock, be converted into an equal number of fully paid and nonassessable shares of Class A Common Stock (a “Voluntary Conversion”). The election by the Founder to effect a Voluntary Conversion shall be irrevocable.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Other rights</w:t>
      </w:r>
      <w:r>
        <w:rPr>
          <w:rFonts w:ascii="Times New Roman;Times;Serif" w:hAnsi="Times New Roman;Times;Serif"/>
          <w:b w:val="false"/>
          <w:i w:val="false"/>
          <w:caps w:val="false"/>
          <w:smallCaps w:val="false"/>
          <w:sz w:val="20"/>
        </w:rPr>
        <w:t>. No holder of Class B Common Stock is entitled to preemptive or subscription rights contained in the Charter or in the Bylaws. There are no redemption or sinking fund provisions applicable to Class A Common Stock. The rights, preferences, and privileges of holders of the shares of Class B Common Stock are subject to those of the holders of any shares of the Preferred Stock that the Company may issue in the future.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has the authority to issue shares of preferred stock from time to time on terms it may determine, to divide shares of preferred stock into one or more series and to fix the designations, preferences, privileges, and restrictions of preferred stock, including dividend rights, conversion rights, voting rights, terms of redemption, liquidation preference, sinking fund terms, and the number of shares constituting any series or the designation of any series to the fullest extent permitted by the DGCL. The issuance of Preferred Stock could have the effect of decreasing the trading price of Class A Common Stock, restricting dividends on the capital stock of the Company, diluting the voting power of Class A Common Stock, impairing the liquidation rights of the capital stock of the Company, or delaying or preventing a change in control of the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Series FE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Series FE Preferred Stock has a two (2) year term and from the issue date to the second anniversary of the issue date, the holder is granted the right upon a subsequent financing resulting in the issuance of new securities by the Company, to participate on a pro-rata basis in such subsequent financing up to the holder’s fully diluted ownership percentage of the Company. Upon the two-year anniversary of the issue date of the Series FE Preferred Stock, the Series FE Preferred Stock will automatically be canceled and return to the status of authorized but unissued. The Series FE Preferred Stock does not participate in dividends of the Company, is not convertible into any other class of equity securities of the Company, has no voting rights with the Common Stock or other equity securities of the Company, and is not redeemable.</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Series A Warrants, Series B Warrants, Placement Agent Warrants, Warrants and Pre-Funded Warrants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w:t>
      </w:r>
      <w:r>
        <w:rPr>
          <w:rFonts w:ascii="Times New Roman;Times;Serif" w:hAnsi="Times New Roman;Times;Serif"/>
          <w:b w:val="false"/>
          <w:i/>
          <w:caps w:val="false"/>
          <w:smallCaps w:val="false"/>
          <w:sz w:val="20"/>
        </w:rPr>
        <w:t>Prospectus Summary - Recent Wainwright Private Financing” &amp; “Prospectus Summary - Recent Developments - Alco and CP BF Registration</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w:t>
      </w:r>
      <w:r>
        <w:rPr>
          <w:rFonts w:ascii="Times New Roman;Times;Serif" w:hAnsi="Times New Roman;Times;Serif"/>
          <w:b w:val="false"/>
          <w:i/>
          <w:caps w:val="false"/>
          <w:smallCaps w:val="false"/>
          <w:sz w:val="20"/>
        </w:rPr>
        <w:t>Prospectus Summary - Recent Developments - Alco and CP BF Registration</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Public Stockholder Warrants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whole Public Warrant entitles the registered holder to purchase one share of Class A Common Stock at a price of $5,750 per share, subject to adjustment as discussed below, at any time commencing 30 days after the completion of the Business Combination (January 13, 2024) (subject to certain exceptions). Pursuant to the Warrant Agreement, a warrant holder may exercise its Public Warrants only for a whole number of shares of Class A Common Stock. The Public Warrants will expire five years after the Closing, at 5:00 p.m., New York City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Redemption of Public Warrants When the price per Share of Class A Common Stock Equals or Exceeds $9,000.00.</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the Public Warrants become exercisable, the Company may redeem the outstanding Public Warrants: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10" w:type="dxa"/>
            <w:tcBorders/>
            <w:vAlign w:val="center"/>
          </w:tcPr>
          <w:p>
            <w:pPr>
              <w:pStyle w:val="TableContents"/>
              <w:bidi w:val="0"/>
              <w:spacing w:before="0" w:after="283"/>
              <w:jc w:val="both"/>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whole and not in part;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10"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10" w:type="dxa"/>
            <w:tcBorders/>
            <w:vAlign w:val="center"/>
          </w:tcPr>
          <w:p>
            <w:pPr>
              <w:pStyle w:val="TableContents"/>
              <w:bidi w:val="0"/>
              <w:spacing w:before="0" w:after="283"/>
              <w:jc w:val="both"/>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 price of $0.01 per Public Warrant;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10"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10" w:type="dxa"/>
            <w:tcBorders/>
            <w:vAlign w:val="center"/>
          </w:tcPr>
          <w:p>
            <w:pPr>
              <w:pStyle w:val="TableContents"/>
              <w:bidi w:val="0"/>
              <w:spacing w:before="0" w:after="283"/>
              <w:jc w:val="both"/>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 minimum of 30 days’ prior written notice of redemption to each warrant holder;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10"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10" w:type="dxa"/>
            <w:tcBorders/>
            <w:vAlign w:val="center"/>
          </w:tcPr>
          <w:p>
            <w:pPr>
              <w:pStyle w:val="TableContents"/>
              <w:bidi w:val="0"/>
              <w:spacing w:before="0" w:after="283"/>
              <w:jc w:val="both"/>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and only if, the closing price per share of Class A Common Stock equals or exceeds $9,000 per share (as adjusted for adjustments to the number of shares issuable upon exercise or the exercise price of a Public Warrant as described under the heading “</w:t>
            </w:r>
            <w:r>
              <w:rPr>
                <w:rFonts w:ascii="Times New Roman;Times;Serif" w:hAnsi="Times New Roman;Times;Serif"/>
                <w:b w:val="false"/>
                <w:i/>
                <w:caps w:val="false"/>
                <w:smallCaps w:val="false"/>
                <w:sz w:val="20"/>
              </w:rPr>
              <w:t>- Warrants-Public Stockholder Warrants-Anti-dilution Adjustments</w:t>
            </w:r>
            <w:r>
              <w:rPr>
                <w:rFonts w:ascii="Times New Roman;Times;Serif" w:hAnsi="Times New Roman;Times;Serif"/>
                <w:b w:val="false"/>
                <w:i w:val="false"/>
                <w:caps w:val="false"/>
                <w:smallCaps w:val="false"/>
                <w:sz w:val="20"/>
              </w:rPr>
              <w:t>”) for any 20 trading days within a 30-trading day period ending three trading days before the Company sends the notice of redemption to the warrant holders.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established the last of the redemption criterion discussed above to prevent a redemption call unless there is at the time of the call a significant premium to the Public Warrant exercise price. If the foregoing conditions are satisfied and the Company issues a notice of redemption of the Public Warrants, each warrant holder will be entitled to exercise his, her or its Public Warrant prior to the scheduled redemption date. However, the price per share of Class A Common Stock may fall below the $9,000 redemption trigger price (as adjusted for certain adjustments to the number of shares issuable upon exercise or the exercise price of a Public Warrant as described under the heading “</w:t>
      </w:r>
      <w:r>
        <w:rPr>
          <w:rFonts w:ascii="Times New Roman;Times;Serif" w:hAnsi="Times New Roman;Times;Serif"/>
          <w:b w:val="false"/>
          <w:i/>
          <w:caps w:val="false"/>
          <w:smallCaps w:val="false"/>
          <w:sz w:val="20"/>
        </w:rPr>
        <w:t>-Warrants-Public Stockholder Warrants-Anti-dilution Adjustments</w:t>
      </w:r>
      <w:r>
        <w:rPr>
          <w:rFonts w:ascii="Times New Roman;Times;Serif" w:hAnsi="Times New Roman;Times;Serif"/>
          <w:b w:val="false"/>
          <w:i w:val="false"/>
          <w:caps w:val="false"/>
          <w:smallCaps w:val="false"/>
          <w:sz w:val="20"/>
        </w:rPr>
        <w:t>”) as well as the $5,750 (for whole shares) Public Warrant exercise price after the redemption notice is issued.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fractional shares of Class A Common Stock will be issued upon exercise. If, upon exercise, a holder would be entitled to receive a fractional interest in a share, the Company will round down to the nearest whole number of the number of shares of Class A Common Stock to be issued to the holder.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Redemption Procedures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holder of a Public Warrant may notify the Company in writing in the event it elects to be subject to a requirement that such holder will not have the right to exercise such Public Warrant, to the extent that after giving effect to such exercise, such person (together with such person’s affiliates), to the warrant agent’s actual knowledge, would beneficially own in excess of 4.9% or 9.8% (or such other amount as a holder may specify) of the shares of Class A Common Stock issued and outstanding immediately after giving effect to such exercise.</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Anti-dilution Adjustments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number of outstanding shares of Class A Common Stock is increased by a stock dividend payable in shares of Class A Common Stock, or by a split-up of shares of common stock or other similar event, then, on the effective date of such stock dividend, split-up or similar event, the number of shares of Class A Common Stock issuable on exercise of each Public Warrant will be increased in proportion to such increase in the outstanding shares of Class A Common Stock. A rights offering made to all or substantially all holders of Class A Common Stock entitling holders to purchase shares of Class A Common Stock at a price less than the “historical fair market value” (as defined below) will be deemed a stock dividend of a number of shares of Class A Common Stock equal to the product of (i) the number of shares of Class A Common Stock actually sold in such rights offering (or issuable under any other equity securities sold in such rights offering that are convertible into or exercisable for shares of Class A Common Stock) and (ii) one (1) minus the quotient of (x) the price per share of Class A Common Stock paid in such rights offering and (y) the historical fair market value. For these purposes, (i) if the rights offering is for securities convertible into or exercisable for shares of Class A Common Stock, in determining the price payable per share of Class A Common Stock, there will be taken into account any consideration received for such rights, as well as any additional amount payable upon exercise or conversion and (ii) “historical fair market value” means the volume weighted average price per share of Class A Common Stock as reported during the 10 trading day period ending on the trading day prior to the first date on which the shares of Class A Common Stock trade on the applicable exchange or in the applicable market, regular way, without the right to receive such rights.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if the Company, at any time while the Public Warrants are outstanding and unexpired, pays a dividend or makes a distribution in cash, securities or other assets to the holders of Class A Common Stock on account of such shares (or other securities into which the warrants are convertible), other than (a) as described above or (b) any cash dividends or cash distributions which, when combined on a per share basis with all other cash dividends and cash distributions paid on the shares during the 365-day period ending on the date of declaration of such dividend or distribution (as adjusted to appropriately reflect any other adjustments and excluding cash dividends or cash distributions that resulted in an adjustment to the exercise price or to the number of shares issuable on exercise of each Public Warrant) does not exceed $5.00, then the Public Warrant price shall be decreased, effective immediately, by the amount of cash and/or fair market value (as determined by the Board in good faith) of any securities or other assets paid on each share.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number of outstanding shares of Class A Common Stock is decreased by a consolidation, combination, reverse stock split or reclassification of Class A Common Stock or other similar event, then, on the effective date of such consolidation, combination, reverse stock split, reclassification or similar event, the number of shares of Class A Common Stock issuable on exercise of each Public Warrant will be decreased in proportion to such decrease in outstanding shares of Class A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Whenever the number of shares of Class A Common Stock purchasable upon the exercise of the Public Warrants is adjusted, as described above, the Public Warrant exercise price will be adjusted by multiplying the Public Warrant exercise price immediately prior to such adjustment by a fraction (x) the numerator of which will be the number of shares of Class A Common Stock purchasable upon the exercise of the Public Warrants immediately prior to such adjustment and (y) the denominator of which will be the number of shares of Class A Common Stock so purchasable immediately thereafter.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of any reclassification or reorganization of the outstanding shares of Class A Common Stock (other than those described above or that solely affects the par value of such shares of Class A Common Stock), or in the case of any merger or consolidation of the Company with or into another entity (other than a consolidation or merger in which the Company is the continuing corporation and that does not result in any reclassification or reorganization of our outstanding shares of Class A Common Stock), or in the case of any sale or conveyance to another entity of the assets or other property of the Company as an entirety or substantially as an entirety in connection with which the Company is dissolved, the holders of the Public Warrants will thereafter have the right to purchase and receive, upon the basis and upon the terms and conditions specified in the Public Warrants and in lieu of the shares of Class A Common Stock immediately theretofore purchasable and receivable upon the exercise of the rights represented thereby, the kind and amount of shares of Class A Common Stock or other securities or property (including cash) receivable upon such reclassification, reorganization, merger or consolidation, or upon a dissolution following any such sale or transfer, that the holder of the Public Warrants would have received if such holder had exercised their Public Warrants immediately prior to such event. However, if such holders were entitled to exercise a right of election as to the kind or amount of securities, cash or other assets receivable upon such consolidation or merger, then the kind and amount of securities, cash or other assets for which each Public Warrant will become exercisable will be deemed to be the weighted average of the kind and amount received per share by such holders in such consolidation or merger that affirmatively make such election, and if a tender, exchange or redemption offer has been made to and accepted by such holders under circumstances in which, upon completion of such tender or exchange offer, the maker thereof, together with members of any group (within the meaning of Rule 13d-5(b)(1) under the Exchange Act) of which such maker is a part, and together with any affiliate or associate of such maker (within the meaning of Rule 12b-2 under the Exchange Act) and any members of any such group of which any such affiliate or associate is a part, own beneficially (within the meaning of Rule 13d-3 under the Exchange Act) more than 50% of the issued and outstanding shares of Class A Common Stock, the holder of a Public Warrant will be entitled to receive the highest amount of cash, securities or other property to which such holder would actually have been entitled as a stockholder if such warrant holder had exercised the Public Warrant prior to the expiration of such tender or exchange offer, accepted such offer and all of the shares of Class A Common Stock held by such holder had been purchased pursuant to such tender or exchange offer, subject to adjustment (from and after the consummation of such tender or exchange offer) as nearly equivalent as possible to the adjustments provided for in the Warrant Agreement. If less than 70% of the consideration receivable by the holders of shares of Class A Common Stock in such a transaction is payable in the form of shares of Class A Common Stock in the successor entity that is listed for trading on a national securities exchange or is quoted in an established over-the-counter market, or is to be so listed for trading or quoted immediately following such event, and if the registered holder of the Public Warrant properly exercises the Public Warrant within thirty days following public disclosure of such transaction, the Public Warrant exercise price will be reduced as specified in the Warrant Agreement based on the Black-Scholes warrant value (as defined in the Warrant Agreement) of the Public Warrant. The purpose of such exercise price reduction is to provide additional value to holders of the Public Warrants when an extraordinary transaction occurs during the exercise period of the Public Warrants pursuant to which the holders of the Public Warrants otherwise do not receive the full potential value of the Public Warrants.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Public Warrants were issued in registered form under the Warrant Agreement. The warrant holders do not have the rights or privileges of holders of Class A Common Stock and any voting rights until they exercise their Public Warrants and receive shares of Class A Common Stock. After the issuance of the shares of Class A Common Stock upon exercise of the Public Warrants, each holder will be entitled to one vote for each share of Class A Common Stock held of record on all matters to be voted on by holders of Class A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GEM Warrant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GEM Warrant entitles GEM to purchase up to 1,657 shares of Class A Common Stock at an exercise price of $3,407.25 per share. The exercise price will be adjusted to 105% of the then-current exercise price if on December 15, 2024, the GEM Warrant has not been exercised in full, and the average closing price per share of Class A Common Stock for the 10 trading days preceding December 15, 2024, is less than 90% of the then-current exercise price. GEM may exercise the GEM Warrant at any time and from time to time until December 15,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the GEM Warrant provide that the exercise price of the GEM Warrant, and the number of shares of Class A Common Stock for which the GEM Warrant may be exercised, are subject to adjustment to account for increases or decreases in the number of outstanding shares of Class A Common Stock resulting from stock splits, reverse stock splits, consolidations, combinations, and reclassifications. Additionally, the GEM Warrant contains weighted average anti-dilution provisions that provide that if the Company issues shares of Class A Common Stock, or securities convertible into or exercisable or exchangeable for, shares of Class A Common Stock at a price per share that is less than 90% of the exercise price then in effect or without consideration, then the exercise price of the GEM Warrant upon each such issuance will be adjusted to the price equal to 105% of the consideration per share paid for such Class A Common Stock or other securities. The issuance of shares of Class A Common Stock in this offering may cause such an adjustment in the exercise price of the GEM Warrant.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per share market value of one share of Class A Common Stock is greater than the then-current exercise price, then GEM will have the option to exercise the GEM Warrant on a cashless basis and receive a number of shares of Class A Common Stock equal to (x) the number of shares of Class A Common Stock purchasable upon exercise of all of the GEM Warrant or, if only a portion of the GEM Warrant is being exercised, the portion of the GEM Warrant being exercised, less (y) the product of the then-current exercise price and the number of shares of Class A Common Stock purchasable upon exercise of all of the GEM Warrant or, if only a portion of the GEM Warrant is being exercised, the portion of the GEM Warrant being exercised, divided by the per share market value of one share of Class A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GEM Warrant is subject to a restriction on exercise of the GEM Warrant such that the GEM Warrant may not be exercised if such exercise would result in the beneficial ownership of the holder and its affiliates in excess of 9.99% of the then-issued and outstanding shares of Class A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Warrants issued in connection with the Senior Secured Convertible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w:t>
      </w:r>
      <w:r>
        <w:rPr>
          <w:rFonts w:ascii="Times New Roman;Times;Serif" w:hAnsi="Times New Roman;Times;Serif"/>
          <w:b w:val="false"/>
          <w:i/>
          <w:caps w:val="false"/>
          <w:smallCaps w:val="false"/>
          <w:sz w:val="20"/>
        </w:rPr>
        <w:t>Debt – Senior Secured Convertible Notes</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Debt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Senior Convertible Notes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23, 2024, the Company issued an amended and restated senior convertible note (the “Senior Convertible Note”) to CP BF in an aggregate principal amount of approximately $3.1 million, which amended and restated certain prior senior convertible notes originally issued by Legacy Banzai to CP BF in 2021 and 2022 in connection with the Loan Agreement, as subsequently amended.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the Closing, the Senior Convertible Note is convertible, at CP BF’s option on 5 days’ written notice to the Company, into shares of Class A Common Stock. The Senior Convertible Note provides that the initial fixed conversion price for any such conversion is $38.90 per share, subject to adjustment as provided therein and as amended by the letter agreement described below.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the Senior Convertible Notes provide that the conversion price of the Senior Convertible Notes is subject to adjustment to account for increases or decreases in the number of outstanding shares of the Company’s capital stock resulting from stock splits, reverse stock splits, consolidations, combinations, reclassifications, and dividends on capital stock payable in capital stock. In the event the Company issues dividends on capital stock payable in cash, the Senior Convertible Notes entitle the holder to receive upon conversion, a dividend or other distribution in an amount equal to the amount the holder would have received if all outstanding principal and accrued but unpaid interest had been converted into Class A Common Stock on the date of such event, in accordance with the terms of the Senior Convertible Notes.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Senior Convertible Note accrues paid-in-kind interest on the unpaid principal balance at a rate equal to 15.5% per annum, compounding monthly, subject to an increase to 20.0% upon an event of default as described in the Senior Convertible Note, and has a maturity date of February 19, 2027.</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Senior Convertible Note is subject to a restriction on conversion such that the principal of the Senior Convertible Note may not be converted if such conversion would result in the beneficial ownership of CP BF and its affiliates in excess of 19.99% of shares of Common Stock outstanding immediately after giving effect to the conversion (provided that such beneficial ownership limitation shall be 9.99% with respect to any holder other than CP BF and such holder’s affiliates).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a letter agreement, the following amendments were made to the Loan Agreement and Note in October 2025:</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Conversion Price is reduced to a price equal to 95% of the price of the Class A Common Stock on the trading day (each a “Trading Day”) immediately preceding delivery of any Conversion Notice, subject to a floor price of $2.50 (the “Floor Price”).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CP BF shall take commercially reasonable actions to partially convert the Balance into shares of Class A Common Stock at the new conversion price. However, the Letter Agreement limits the amount of shares CP BF can sell (or convert) to 5% of the aggregate daily trading volume and we maintain the right to waive or increase such limitation.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 the time that we pay at least $2,000,000 of the Balance until the earlier of (a) 60 days following the date of the Letter Agreement and (b) our receipt of $10,000,000 in gross proceeds for the sale of our securities, (such period, the “Suspension Period”), we are no longer required to prepay a certain percentage of other proceeds we receive from securities offerings to CP BF, as originally required in the Loan Agreement.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per the letter agreement, we agreed to use an agreed upon portion of other debt to partially prepay the balance. We also agreed to reserve that number of shares of Class A Common Stock equal to 120% of the number of shares of Class A Common Stock issuable upon full conversion of the Balance at the new conversion price and to register 100% of all such shares with the SEC within 60 days of the letter agreement. As per the letter agreement, subject to their receipt of $2,000,000 and the filing of this registration statement, CP BF also agreed to waive certain events of default that may have occurred or be occurring as of the date of the letter agreement; CP BF also agreed that until December 31, 2025, it shall not exercise any right or remedy associated with any failure on our part to comply with certain financial covenants set forth in the Loan Agreement, as they relate to the period ending September 30, 2025. Our failure to comply with the letter agreement shall constitute an Event of Default under the Loan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GEM Promissory Note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GEM Promissory Note has an aggregate amount of $1.0 million, with principal on the GEM Promissory Note, together with all accrued but unpaid interest on such principal amount, to be paid to GEM, in cash, in monthly payments of $100,000 on the first day of each month, beginning on March 1, 2024, with the final payment to be made on December 1, 2024. At any time and from time to time, the Company may prepay in whole or in part, without premium or penalty, the outstanding principal amount of the GEM Promissory Note, together with all accrued but unpaid interest on such principal amount up to the date of prepayment.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GEM Promissory Note provides that, in the event that the Company fails to make a monthly payment when due, then on or before the fifth trading day after the payment due date, such monthly payment amount shall convert into the right of GEM to receive, and obligation of the Company to issue, an amount of shares of Class A Common Stock equal to the monthly payment amount divided by the VWAP for the trading day immediately preceding the payment due date.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Yorkville Promissory Notes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14, 2023, 7GC, Legacy Banzai and Yorkville entered into the Original SEPA and, on February 5, 2024, the Company and Yorkville entered into the Supplemental SEPA Agreement, pursuant to which, subject to certain conditions, the Company has the option, but not the obligation, to sell to Yorkville, and Yorkville must subscribe for, an aggregate amount of up to $100 million of Class A Common Stock, at the Company’s request any time during the commitment period (all as further described below under “</w:t>
      </w:r>
      <w:r>
        <w:rPr>
          <w:rFonts w:ascii="Times New Roman;Times;Serif" w:hAnsi="Times New Roman;Times;Serif"/>
          <w:b w:val="false"/>
          <w:i/>
          <w:caps w:val="false"/>
          <w:smallCaps w:val="false"/>
          <w:sz w:val="20"/>
        </w:rPr>
        <w:t>- Yorkville SEPA</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SEPA, Yorkville advanced to the Company the Pre-Paid Advance in a principal amount equal to $4.5 million, which amount is evidenced by promissory notes convertible into shares of Class A Common Stock. The first Pre-Paid Advance in a principal amount of $2.0 million (less a 10% discount) was advanced at the Closing and was evidenced by issuance by the Company on December 14, 2023 to Yorkville of the First Yorkville Promissory Note having a principal amount of $2.0 million, the Second Tranche of $1.0 million (less a 10% discount) was advanced on February 5, 2024 and is evidenced by the issuance by the Company on February 5, 2024 of the Second Yorkville Promissory Note having a principal amount of $1.0 million and the Third Tranche of $1.5 million (less a 10% discount) was advanced on March 26, 2024 and is evidenced by the issuance by the Company on March 26, 2024 to Yorkville of the Third Promissory Note having a principal amount of $1.5 million.</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Yorkville Promissory Notes shall be convertible by Yorkville into shares of Class A Common Stock at an aggregate purchase price based on a price per share equal to the lower of (a) the Fixed Price of $103.83 per share or (b) the Variable Price of 90% of the lowest daily VWAP of the shares of Class A Common Stock on The Nasdaq Global Market during the ten trading days immediately prior to each conversion, but which Variable Price shall not be lower than the Floor Price then in effect. The “Floor Price” is $5.00 per share (subject to adjustment from time to time). Additionally, the Company, at its option, shall have the right, but not the obligation, to redeem early a portion or all amounts outstanding under the Promissory Notes at a redemption amount equal to the outstanding principal balance being repaid or redeemed, plus a 10% prepayment premium, plus all accrued and unpaid interest; provided that (i) the Company provides Yorkville with no less than five (5) trading days’ prior written notice thereof and (ii) on the date such notice is issued, the VWAP of the shares of Class A Common Stock is less than $103.83 (subject to adjustment from time to time, the “Fixed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Yorkville Promissory Notes accrue interest on the outstanding principal balances at an annual rate equal to 0%, subject to an increase to 18% upon an event of default as described in the Yorkville Promissory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Yorkville Promissory Notes each mature on June 14, 2024, which maturity is expected to be extended to the date that is 120 days after the repayment of a portion of the Yorkville Promissory Notes described under the heading “Summary-Recent Developments” in this prospectus is completed and which maturity may be extended at the option of the 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Within seven trading days of an Amortization Event (as defined in the Yorkville Promissory Notes), the Company will be obligated to make monthly cash payments in an amount equal to the sum of (i) $1.0 million of principal of the Yorkville Promissory Notes (or the outstanding principal if less than such amount) (the “Amortization Principal Amount”), plus (ii) a payment premium of 10% in respect of such Amortization Principal Amount, plus (iii) accrued and unpaid interest thereunder. The obligation of the Company to make monthly prepayments shall cease (with respect to any payment that has not yet come due) if at any time after an Amortization Event (a) the Company reduces the Floor Price to an amount no more than 75% of the closing price of the shares of Class A Common Stock on the trading day immediately prior to such reset notice (and no greater than the initial Floor Price), or (b) the daily VWAP is greater than the Floor Price for a period of ten consecutive trading days, unless a subsequent Amortization Event occurs.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Yorkville SEPAs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14, 2023, the Company entered into the SEPA with Yorkville, pursuant to which Yorkville has committed to purchase up to $100 million of Class A Common Stock, subject to certain limitations and conditions set forth in the SEPA, including certain beneficial ownership limitations, at our request any time pursuant to Advance Notices delivered by the Company any time during the commitment period terminating on the 36-month anniversary of the Original SEPA; provided that any Advance Notice may only be made if (x) no amount remains outstanding on the Yorkville Promissory Notes, (y) there is an effective Resale Registration Statement filed with the SEC for the resale under the Securities Act of the shares of Class A Common Stock to be issued pursuant to such Advance Notice, and (z) the Company complies with other customary conditions precedent.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during the Commitment Period and provided that a balance under a Yorkville Promissory Note is outstanding, Yorkville may, by providing an Investor Notice to the Company, require the Company to issue and sell shares to Yorkville as set out in the relevant Investor Notice, subject to certain limitations as set forth in the SEPA. The purchase price of the shares delivered pursuant to an Investor Notice shall be equal to the Conversion Price and shall be paid by offsetting the amount of the aggregate purchase price to be paid by Yorkville against an equal amount outstanding under the Promissory Note.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Otherwise, Class A Common Stock to be issued to Yorkville from time to time under the SEPA will be issued at one of two pricing options, at the election of the Company. Under Pricing Option 1, the Company will sell Class A Common Stock at 95% of the VWAP of Class A Common Stock during the period commencing (i) if submitted to Yorkville prior to 9:00 a.m. Eastern Time on a trading day, the open of trading on such day or (ii) if submitted to Yorkville after 9:00 a.m. on a trading day, upon receipt by the Company of written confirmation of acceptance of such Advance Notice by Yorkville (or the open of regular trading hours, if later), and which confirmation shall specify such commencement time, and, in either case, ending on 4:00 p.m. New York City time on the applicable date of the Advance Notice. Under Pricing Option 2, the Company will sell Class A Common Stock at 96% of the lowest daily VWAP of Class A Common Stock during the period commencing (i) if submitted to Yorkville prior to 9:00 a.m. Eastern Time, the three consecutive trading days commencing on the date of the Advance Notice or (ii) if submitted to Yorkville after 9:00 a.m. Eastern Time, the three consecutive trading days commencing on the trading day immediately following the date of the Advance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ability to deliver Advance Notices to Yorkville is subject to the satisfaction or waiver of certain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SEPA does not require Yorkville to subscribe for or acquire any shares of Class A Common Stock under the SEPA if those shares of Class A Common Stock, when aggregated with all other shares of Class A Common Stock acquired by Yorkville under the SEPA, would result in Yorkville beneficially owning more than 9.99% of the then outstanding shares of Class A Common Stock.</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22, 2024, the Company entered into an Amended and Restated Debt Repayment Agreement (the “Amended Debt Repayment Agreement”) with Yorkville with respect to the unsecured promissory note in the principal amount of $2,000,000 issued to Yorkville on December 14, 2023 (the “December Promissory Note”) and the unsecured promissory note in the principal amount of $1,500,000 issued to Yorkville on March 26, 2024 (the “March Promissory Note,” together with the December Promissory Note, the “Promissory Notes”). The Amended Debt Repayment Agreement amends and restates the Debt Repayment Agreement, dated as of May 3, 2024, by and between the Company and Yorkville. The Company issued the Promissory Notes pursuant to a Standby Equity Purchase Agreement, dated as of December 14, 2023, by and among Yorkville and the Company, as amended from time to time (the “SEPA”). As of the date hereof, the Promissory Notes have been fully repaid.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Amended Debt Repayment Agreement, Yorkville agreed that, after the Company completed the Best Efforts Offering and repaid an aggregate of $750,000 outstanding under the Promissory Notes from the proceeds of such offering (the “Repayment Amount”), Yorkville will not to deliver to the Company any Investor Notice (as defined in the SEPA) and will not exercise its right to convert the remainder of the amount outstanding under the Promissory Notes for a period commencing on May 28, 2024 and ending on August 26, 2024; provided that the Company will seek any consents necessary to allow Yorkville to issue Investor Notices or exercise its right to convert the remainder of the amount outstanding under the Promissory Notes after a period of 60 days following the closing of the Best Efforts Offering. Under the Amended Debt Repayment Agreement, the Company and Yorkville also agreed to extend the maturity date of the Promissory Notes to September 25, 2024, and to satisfy the $75,000 payment premium due in connection with an early redemption through the issuance of an Advance Notice (as defined in the SEPA) for shares of the Class A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Termination of the SEPA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earlier terminated as provided in the SEPA, the SEPA will terminate automatically on the earlier to occur of:</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10" w:type="dxa"/>
            <w:tcBorders/>
            <w:vAlign w:val="center"/>
          </w:tcPr>
          <w:p>
            <w:pPr>
              <w:pStyle w:val="TableContents"/>
              <w:bidi w:val="0"/>
              <w:spacing w:before="0" w:after="283"/>
              <w:jc w:val="both"/>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first day of the month next following the 36-month anniversary of the date of the SEPA, provided that if a Yorkville Promissory Note is then outstanding, such termination shall be delayed until such date that the Yorkville Promissory Note that was outstanding has been repaid (and/or converted);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10"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10" w:type="dxa"/>
            <w:tcBorders/>
            <w:vAlign w:val="center"/>
          </w:tcPr>
          <w:p>
            <w:pPr>
              <w:pStyle w:val="TableContents"/>
              <w:bidi w:val="0"/>
              <w:spacing w:before="0" w:after="283"/>
              <w:jc w:val="both"/>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on which Yorkville shall have made payment of Advances pursuant to the SEPA for shares of Class A Common Stock equal to the commitment amount of $100.0 million.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conditions, we have the right to unilaterally terminate the SEPA upon five trading days’ prior written notice to Yorkville. The SEPA may also be terminated at any time by mutual written consent.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Effect of Issuances of Class A Common Stock Under the SEPA on our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shares of Class A Common Stock that may be issued by us to Yorkville under the SEPA that were registered under the Securities Act for resale by Yorkville on the Prior SEPA Registration Statements are expected to be freely tradable. The shares of Class A Common Stock registered for resale under the SEPA may be issued by us to Yorkville from time to time at our discretion during the commitment period or are issued following a conversion of a Yorkville Promissory Note. The resale by Yorkville of a significant amount of shares registered for resale at any given time, or the perception that these sales may occur, could cause the market price of our Class A Common Stock to decline. Issuances of shares of Class A Common Stock, if any, to Yorkville under the SEPA will depend upon market conditions and other factors. We may ultimately decide to issue to Yorkville all, some, or none of the shares of Class A Common Stock that may be available for issuance to Yorkville pursuant to the SEPA.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the subscription price per shares of Class A Common Stock to be paid by Yorkville for Class A Common Stock will fluctuate based on the market prices of our Class A Common Stock during the applicable pricing period, as of the date of this prospectus we cannot reliably predict the number of shares of Class A Common Stock that we will issue to Yorkville under the SEPA, the actual subscription price per share of Class A Common Stock to be paid by Yorkville for those shares of Class A Common Stock, or the actual gross proceeds to be raised by us from those issuances, if 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issuance, if any, of shares of Class A Common Stock to Yorkville pursuant to the SEPA would not affect the rights or privileges of our existing stockholders, except that the economic and voting interests of each of our existing stockholders would be diluted. Although the number of shares of Class A Common Stock that our existing stockholders own would not decrease as a result of issuances, if any, under the SEPA, the shares of Class A Common Stock owned by our existing stockholders would represent a smaller percentage of our total issued shares of Class A Common Stock after any such issuance.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Senior Secured Convertible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27, 2025, the Company entered into a securities purchase agreement (the “Purchase Agreement”) with an institutional investor (the “Buyer”) for the issuance and sale in a private placement (the “Offering”) of senior secured convertible notes of the Company in an aggregate original principal amount of up to $11,000,000 (the “Notes”), which are convertible into shares of Class A Common Stock (the shares of Class A Common Stock issuable pursuant to the terms of the Notes, including, without limitation, upon conversion or otherwise, collectively, the “Conversion Shares”), in accordance with the terms of the Purchase Agreement.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19, 2025, the Company conducted an additional closing pursuant to the Purchase Agreement (the “August Closing”) and issued an additional note in the original principal amount of $2,200,000 (the “August Note”) and warrants to purchase up to 396,396 shares of Class A Common Stock, as adjusted, at a current exercise price equal to $1.11 per share, as adjusted (the “August Warrants”). The August Note has a current conversion price equal to $1.11 per share, as adjusted, and matures on August 19, 2026. Other than the maturity date and the conversion and exercise prices, the August Note and August Warrants have the same terms as those issued at the Initial Closing.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8, 2025, the Company conducted an additional closing pursuant to the Purchase Agreement (the “October Closing”) and issued an additional note in the original principal amount of $2,500,000 (the “October Note”) and warrants to purchase up to 450,450 shares of Class A Common Stock, as adjusted, at a current exercise price equal to $1.11 per share, as adjusted (the “October Warrants”). The October Note has a current conversion price equal to $1.11 per share, as adjusted, and matures on October 8, 2026. Other than the maturity date and the conversion and exercise prices, the October Note and October Warrants have the same terms as those issued at the August Closing and the Initial Closing.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13, 2026, the Company conducted an additional closing pursuant to the Purchase Agreement (the “February Closing”) and issued an additional note in the original principal amount of $2,333,333.33 (the “February Note” and, together with the October Note, the August Note, and the Initial Note, the “Notes”) and warrants to purchase up to 420,420 shares of Class A Common Stock at an initial exercise price equal to $1.11 per share (the “February Warrants” and, together with the October Warrants, the August Warrants, and the Initial Buyer Warrants, the “Buyer Warrants”). The February Note has an initial conversion price equal to $1.11 per share and matures on February 13, 2027. Other than the maturity date and the conversion and exercise prices, the February Note and February Warrants have the same terms as those issued at the prior closings.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were each issued with an original issue discount of 10.0% and accrue interest at a rate of 10.0% per annum. The Notes mature twelve (12) months from the respective date of issuance (the “Maturity Date”), unless extended pursuant to the terms thereof. The Notes are convertible, in whole or in part, at any time prior to the applicable Maturity Date into a number of shares of Class A Common Stock equal to the quotient of the sum of the outstanding principal amount, accrued and unpaid interest and any other amounts owing under the Notes divided by the applicable conversion price then in effect (the “Conversion Rate”). At no time may the Buyer beneficially own more than 4.99% (or up to 9.99% at the election of the Buyer pursuant to the Notes) of the outstanding Class A Common Stock. The conversion price of the Notes is subject to a floor price (the floor price of the February Note being $0.2540).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occurrence of an event of default under the Notes, the Buyer may elect to convert (each, an “Alternate Conversion”) all, or any part of, the outstanding principal, accrued interest and other amounts owing under the Notes (such portion, the “Alternate Conversion Amount”) into shares of Class A Common Stock at a conversion rate equal to the quotient of (x) the product of (A) the applicable redemption premium set forth in the Notes and (B) the Alternate Conversion Amount, divided by (y) the alternate conversion price determined in accordance with the Notes (the “Alternate Conversion Rate”). Upon the occurrence of an event of default under the Notes, the Company is required to deliver written notice to the Buyer within one (1) business day (an “Event of Default Notice”). At any time after the earlier of (a) the Buyer’s receipt of an Event of Default Notice and (b) the Buyer becoming aware of an event of default, the Buyer may require the Company to redeem all or any portion of the Notes at a 15% premium. Beginning on the earlier to occur of (x) the effective date of the initial registration statement filed with the SEC for the resale of the Conversion Shares and (y) August 1, 2025, and thereafter on the first trading day of each calendar month immediately following (each, an “Installment Date”) until the applicable Maturity Date, the Company shall repay the Buyer $183,333.33 towards the principal balance of the Notes, plus any then-accrued and unpaid interest, in cash or, provided certain conditions are satisfied, in shares of Class A Common Stock, at the Company’s option (collectively, the “Installment Amount”). In connection with a change of control of the Company (as specified in the Notes), the Buyer shall have the right to require the Company to redeem part or all of the Notes outstanding in cash at the applicable redemption price set forth in the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Buyer is subject to a leak-out agreement entered into at the Initial Closing, which governs the sale of shares of Class A Common Stock by the Buyer during the period (the “Restricted Period”) ending upon the earliest to occur of (i) such date as the Buyer no longer holds any Notes, (ii) the date of any redemption notice delivered with respect to any Notes then outstanding, (iii) such date upon which any breach by the Company of any term of the Purchase Agreement occurs, regardless of whether such breach is subsequently cured, and (iv) such date any event of default under the Notes occurs, regardless of whether such event of default is subsequently cured. During the Restricted Period, the Buyer is subject to sale limitations tied to the Company’s daily trading volume, as detailed in such leak-out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Buyer Warrants are exercisable immediately upon issuance and have a term of exercise equal to three (3) years from the respective date of issuance. The exercise price of the Buyer Warrants is $1.11 per share (subject to adjustment as set forth therein).</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holder of the Buyer Warrants may not exercise any portion of such holder’s Warrants to the extent that the holder, together with its affiliates, would beneficially own more than 4.99% (or, at the election of the holder, 9.99%) of the Company’s outstanding shares of Common Stock immediately after exercise, except that upon at least 61 days’ prior notice from the holder to the Company, the holder may increase the beneficial ownership limitation to up to 9.99% of the number of shares of Common Stock outstanding immediately after giving effect to the exercise. In the event of a change of control of the Company (as specified in the Warrants), holders of the Warrants will have the right to receive the value of their Warrants calculated pursuant to a Black Scholes option pricing formula set forth in the Warrants, payable in cash.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of Class A Common Stock underlying the Notes and the Buyer Warrants issued in connection with the Offering are registered for resale under registration statements filed with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Purchase Agreement, the Company agreed not to issue any Notes (other than to the Buyer as contemplated thereby) without the prior written consent of the holders of a majority of the outstanding Notes, issue any other securities that would cause a breach or default under the Notes or the Warrants, or file any other registration statement with the SEC (in each case, subject to certain exceptions) until after the effective date of the applicable resale registration statement. The Company has also agreed not to effect any variable rate transaction (as specified in the Purchase Agreement), other than an at-the-market offering permitted under the Purchase Agreement, until the later of (x) the 180th calendar day after the February Closing and (y) such date as no Notes remain outstanding.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of Charter or Bylaws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DGCL generally provides that the affirmative vote of a majority of the outstanding shares entitled to vote on amendments to a corporation’s certificate of incorporation or bylaws is required to approve such amendment, unless a corporation’s certificate of incorporation or bylaws, as applicable, imposes a higher voting standard.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affirmative vote of the holders of a majority in voting power of the shares of the Company entitled to vote thereon is required to amend, alter, change, or repeal any provision of the Charter or to adopt any new provision of the Charter; provided, however, that the affirmative vote of the holders of at least 66 2/3% in voting power of the stock of the Company entitled to vote thereon is required to amend, alter, change, or repeal, or adopt any provision inconsistent with, any of Article V, Article VI, Article VII, Article VIII of the Charter. The affirmative vote of a majority of the authorized number of directors of the Board and the affirmative vote of at least 66 2/3% of the voting power of all of the then-outstanding shares of Common Stock entitled to vote generally in the election of directors, voting together as a single class, is required to adopt, amend or repeal the Bylaws.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so long as shares of Class B Common Stock remain outstanding, the Charter requires the approval of Mr. Davy, as Founder, to amend, repeal, waive, or alter any provision in Section A of Article IV (or adopt any provision inconsistent therewith) of the Charter that would adversely affect the rights of holders of shares of Class B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Anti-Takeover Effects of Delaware Law and the Charter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Among other things, the Charter and Bylaws: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10" w:type="dxa"/>
            <w:tcBorders/>
            <w:vAlign w:val="center"/>
          </w:tcPr>
          <w:p>
            <w:pPr>
              <w:pStyle w:val="TableContents"/>
              <w:bidi w:val="0"/>
              <w:spacing w:before="0" w:after="283"/>
              <w:jc w:val="both"/>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permit the Board to issue up to 75,000,000 shares of Preferred Stock, with any rights, preferences, and privileges as they may designate, including the right to approve an acquisition or other change of control;</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10" w:type="dxa"/>
            <w:tcBorders/>
            <w:vAlign w:val="center"/>
          </w:tcPr>
          <w:p>
            <w:pPr>
              <w:pStyle w:val="TableContents"/>
              <w:bidi w:val="0"/>
              <w:spacing w:before="0" w:after="283"/>
              <w:jc w:val="both"/>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that the authorized number of directors may be changed only by resolution of the Board;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10"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10" w:type="dxa"/>
            <w:tcBorders/>
            <w:vAlign w:val="center"/>
          </w:tcPr>
          <w:p>
            <w:pPr>
              <w:pStyle w:val="TableContents"/>
              <w:bidi w:val="0"/>
              <w:spacing w:before="0" w:after="283"/>
              <w:jc w:val="both"/>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that the Board is classified into three classes of directors;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10"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10" w:type="dxa"/>
            <w:tcBorders/>
            <w:vAlign w:val="center"/>
          </w:tcPr>
          <w:p>
            <w:pPr>
              <w:pStyle w:val="TableContents"/>
              <w:bidi w:val="0"/>
              <w:spacing w:before="0" w:after="283"/>
              <w:jc w:val="both"/>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that, subject to the rights of any series of Preferred Stock to elect directors, directors may only be removed for cause, which removal may be effected, subject to any limitation imposed by law, by the holders of at least 66 2/3% of the voting power of all of the then-outstanding shares of the Company’s capital stock entitled to vote generally at an election of directors;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10"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10" w:type="dxa"/>
            <w:tcBorders/>
            <w:vAlign w:val="center"/>
          </w:tcPr>
          <w:p>
            <w:pPr>
              <w:pStyle w:val="TableContents"/>
              <w:bidi w:val="0"/>
              <w:spacing w:before="0" w:after="283"/>
              <w:jc w:val="both"/>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that all vacancies, including newly created directorships, may, except as otherwise required by law, be filled by the affirmative vote of a majority of directors then in office, even if less than a quorum;</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10"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10" w:type="dxa"/>
            <w:tcBorders/>
            <w:vAlign w:val="center"/>
          </w:tcPr>
          <w:p>
            <w:pPr>
              <w:pStyle w:val="TableContents"/>
              <w:bidi w:val="0"/>
              <w:spacing w:before="0" w:after="283"/>
              <w:jc w:val="both"/>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require that any action to be taken by the Company’s stockholders must be effected at a duly called annual or special meeting of stockholders and not be taken by written consent or electronic transmission;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10"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10" w:type="dxa"/>
            <w:tcBorders/>
            <w:vAlign w:val="center"/>
          </w:tcPr>
          <w:p>
            <w:pPr>
              <w:pStyle w:val="TableContents"/>
              <w:bidi w:val="0"/>
              <w:spacing w:before="0" w:after="283"/>
              <w:jc w:val="both"/>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that stockholders seeking to present proposals before a meeting of stockholders or to nominate candidates for election as directors at a meeting of stockholders must provide advance notice in writing, and also specify requirements as to the form and content of a stockholder’s notice;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10"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10" w:type="dxa"/>
            <w:tcBorders/>
            <w:vAlign w:val="center"/>
          </w:tcPr>
          <w:p>
            <w:pPr>
              <w:pStyle w:val="TableContents"/>
              <w:bidi w:val="0"/>
              <w:spacing w:before="0" w:after="283"/>
              <w:jc w:val="both"/>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that special meetings of the Company’s stockholders may be called only by the chairperson of the Board, the Company’s Chief Executive Officer or by the Board pursuant to a resolution adopted by a majority of the total number of authorized directors;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10"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10" w:type="dxa"/>
            <w:tcBorders/>
            <w:vAlign w:val="center"/>
          </w:tcPr>
          <w:p>
            <w:pPr>
              <w:pStyle w:val="TableContents"/>
              <w:bidi w:val="0"/>
              <w:spacing w:before="0" w:after="283"/>
              <w:jc w:val="both"/>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 not provide for cumulative voting rights, therefore allowing the holders of a majority of the voting power of the stock of the Company entitled to vote in any election of directors to elect all of the directors standing for election, if they should so choose.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amendment of any of these provisions would require approval by the holders of at least 66 2/3% of the voting power of all of the Company’s then-outstanding capital stock entitled to vote generally in the election of directors, voting together as a single class.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combination of these provisions makes it more difficult for the Company’s existing stockholders to replace the Board as well as for another party to obtain control of us by replacing the Board. Since the Board has the power to retain and discharge the Company’s officers, these provisions could also make it more difficult for existing stockholders or another party to effect a change in management. In addition, the authorization of undesignated preferred stock makes it possible for the Board to issue Preferred Stock with voting or other rights or preferences that could impede the success of any attempt to change the Company’s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provisions are intended to enhance the likelihood of continued stability in the composition of the Board and its policies and to discourage coercive takeover practices and inadequate takeover bids. These provisions are also designed to reduce the Company’s vulnerability to hostile takeovers and to discourage certain tactics that may be used in proxy fights. However, such provisions could have the effect of discouraging others from making tender offers for the Company’s shares and may have the effect of delaying changes in the Company’s control or management. As a consequence, these provisions may also inhibit fluctuations in the market price of the Company’s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Anti-Takeover Provisions of Delaware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Special Meetings of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Charter and the Bylaws provide that special meetings of our stockholders may be called only by the Chairman of the Board, the Chief Executive Officer of the Company, or the Board pursuant to a resolution adopted by a majority of the total number of authorized directors (whether or not there exist any vacancies in previously authorized directorships at the time any such resolution is presented to the Board for adoption).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Advance Notice Requirements for Stockholder Proposals and Director Nominations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Bylaws provide that stockholders seeking to nominate candidates for election to the Board or to bring business before our annual meeting of stockholders, must provide timely notice of their intent in writing. To be timely under our the Bylaws, a stockholder’s notice needs to be received by the Secretary of the Company at our principal executive offices not later than the close of business on the 90th day nor earlier than the close of business on the 120th day prior to the first anniversary of the preceding year’s annual meeting provided, however, that in the event that no annual meeting was held during the preceding year or the date of the annual meeting is advanced more than 30 days prior to or delayed by more than 30 days after the anniversary of the date of the preceding year’s annual meeting, notice by the stockholder to be timely must be so received not earlier than the close of business on the 120th day prior to such annual meeting and no later than the close of business on the later of the 90th day prior to such annual meeting or the tenth day following the day on which public announcement of the date of such meeting is first made by the Company. The Bylaws also specify certain requirements as to the form and content of a stockholders’ meeting. These provisions may preclude our stockholders from bringing matters before our annual meeting of stockholders or from making nominations for directors at our annual meeting of stockholders.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Authorized but Unissued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at all times reserve and keep available out of its authorized but unissued shares of Class A Common Stock, solely for the purpose of effecting the conversion of shares of Class B Common Stock, such number of shares of Class A Common Stock as will from time to time be sufficient to effect the conversion of all outstanding shares of Class B Common Stock into shares of Class A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Exclusive Forum Selection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Charter provides that unless we consent in writing to the selection of an alternative forum to the fullest extent permitted by the applicable law, the Court of Chancery of the State of Delaware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and any appellate court therefrom shall be the sole and exclusive forum for the following claims or causes of action under Delaware statutory or common law: (a) any derivative claim or cause of action brought on behalf of the Company; (b) any claim or cause of action for breach of a fiduciary duty owed by any current or former director, officer or other employee of the Company, to the Company or its stockholders; (c) any claim or cause of action against the Company or any current or former director, officer or other employee of the Company, arising out of or pursuant to any provision of the DGCL, the Charter or the Bylaws; (d) any claim or cause of action seeking to interpret, apply, enforce or determine the validity of the Charter or the Bylaws; (e) any claim or cause of action as to which the DGCL confers jurisdiction on the Court of Chancery of the State of Delaware; and (f) any claim or cause of action against the Company or any current or former director, officer or other employee of the Company, governed by the internal-affairs doctrine or otherwise related to the Company’s internal affairs, in all cases to the fullest extent permitted by law and subject to the court having personal jurisdiction over the indispensable parties named as defendants. The Charter also requires that unless the Company consents in writing to the selection of an alternative forum, to the fullest extent permitted by law, the federal district courts of the United States shall be the exclusive forum for the resolution of any complaint asserting a cause of action under the Securities Act. The above shall not apply to claims or causes of action brought to enforce a duty or liability created by the Securities Act or the Exchange Act or any other claim for which the federal courts have exclusive jurisdiction. Although the Company believes these provisions benefit us by providing increased consistency in the application of the DGCL in the types of lawsuits to which it applies, a court may determine that these provisions are unenforceable, and to the extent they are enforceable, the provisions may have the effect of discouraging lawsuits against our directors and officers, although our stockholders will not be deemed to have waived our compliance with federal securities laws and the rules and regulations thereunder.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Section 203 of the Delaware General Corporation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opted out of the provisions of Section 203 of the DGCL regulating corporate takeovers under the Charter. This statute prevents certain Delaware corporations, under certain circumstances, from engaging in a “business combination” with:</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10" w:type="dxa"/>
            <w:tcBorders/>
            <w:vAlign w:val="center"/>
          </w:tcPr>
          <w:p>
            <w:pPr>
              <w:pStyle w:val="TableContents"/>
              <w:bidi w:val="0"/>
              <w:spacing w:before="0" w:after="283"/>
              <w:jc w:val="both"/>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stockholder who owns 15% or more of our outstanding voting stock (otherwise known as an “interested stockholder”);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10"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10" w:type="dxa"/>
            <w:tcBorders/>
            <w:vAlign w:val="center"/>
          </w:tcPr>
          <w:p>
            <w:pPr>
              <w:pStyle w:val="TableContents"/>
              <w:bidi w:val="0"/>
              <w:spacing w:before="0" w:after="283"/>
              <w:jc w:val="both"/>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affiliate of an interested stockholder; or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10"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10" w:type="dxa"/>
            <w:tcBorders/>
            <w:vAlign w:val="center"/>
          </w:tcPr>
          <w:p>
            <w:pPr>
              <w:pStyle w:val="TableContents"/>
              <w:bidi w:val="0"/>
              <w:spacing w:before="0" w:after="283"/>
              <w:jc w:val="both"/>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associate of an interested stockholder, for three years following the date that the stockholder became an interested stockholder.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“business combination” includes a merger or sale of more than 10% of our assets. However, the above provisions of Section 203 do not apply if:</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10" w:type="dxa"/>
            <w:tcBorders/>
            <w:vAlign w:val="center"/>
          </w:tcPr>
          <w:p>
            <w:pPr>
              <w:pStyle w:val="TableContents"/>
              <w:bidi w:val="0"/>
              <w:spacing w:before="0" w:after="283"/>
              <w:jc w:val="both"/>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approves the transaction that made the stockholder an “interested stockholder,” prior to the date of the transaction;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10"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10" w:type="dxa"/>
            <w:tcBorders/>
            <w:vAlign w:val="center"/>
          </w:tcPr>
          <w:p>
            <w:pPr>
              <w:pStyle w:val="TableContents"/>
              <w:bidi w:val="0"/>
              <w:spacing w:before="0" w:after="283"/>
              <w:jc w:val="both"/>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the completion of the transaction that resulted in the stockholder becoming an interested stockholder, that stockholder owned at least 85% of our voting stock outstanding at the time the transaction commenced, other than statutorily excluded shares of common stock; or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10"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10" w:type="dxa"/>
            <w:tcBorders/>
            <w:vAlign w:val="center"/>
          </w:tcPr>
          <w:p>
            <w:pPr>
              <w:pStyle w:val="TableContents"/>
              <w:bidi w:val="0"/>
              <w:spacing w:before="0" w:after="283"/>
              <w:jc w:val="both"/>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or subsequent to the date of the transaction, the initial business combination is approved by our Board and authorized at a meeting of our stockholders, and not by written consent, by an affirmative vote of at least two-thirds of the outstanding voting stock not owned by the interested stockholder.</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certain circumstances, this provision makes it more difficult for a person who would be an “interested stockholder” to effect various business combinations with the Company for a three-year period. This provision may encourage companies interested in acquiring us to negotiate in advance with our Board because the stockholder approval requirement would be avoided if our Board approves either the business combination or the transaction which results in the stockholder becoming an interested stockholder. These provisions also may have the effect of preventing changes in our Board and may make it more difficult to accomplish transactions which stockholders may otherwise deem to be in their best interests.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Business Corporation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laws of the State of Washington, where the Company’s principal executive offices are located, impose restrictions on certain transactions between certain foreign corporations and significant stockholders. In particular, the WBCA prohibits a “target corporation,” subject to certain exceptions, from engaging in certain “significant business transactions” with a “person” or group of persons which beneficially own 10% or more of the voting securities of the target corporation, or an “acquiring person,” for a period of five years after such acquisition, unless (1) the transaction or acquisition of shares is approved by a majority of the members of the target corporation’s board of directors prior to the time of acquisition or (2) the transaction or acquisition was approved by a majority of the members of the target corporation’s board of directors and approved at a securityholder meeting by at least two-thirds of the outstanding voting shares of the target corporation (excluding the acquiring person’s shares or shares over which the acquiring person has voting control) at or subsequent to the acquiring person’s share acquisition, subject to certain exceptions. Such prohibited transactions may include, among other things: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10" w:type="dxa"/>
            <w:tcBorders/>
            <w:vAlign w:val="center"/>
          </w:tcPr>
          <w:p>
            <w:pPr>
              <w:pStyle w:val="TableContents"/>
              <w:bidi w:val="0"/>
              <w:spacing w:before="0" w:after="283"/>
              <w:jc w:val="both"/>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merger or consolidation with disposition of assets to, or issuance or redemption of stock to or from, the acquiring person;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10"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10" w:type="dxa"/>
            <w:tcBorders/>
            <w:vAlign w:val="center"/>
          </w:tcPr>
          <w:p>
            <w:pPr>
              <w:pStyle w:val="TableContents"/>
              <w:bidi w:val="0"/>
              <w:spacing w:before="0" w:after="283"/>
              <w:jc w:val="both"/>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termination of 5% or more of the employees of the target corporation or its subsidiaries employed in Washington as a result of the acquiring person’s acquisition of 10% or more of the shares;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10"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10" w:type="dxa"/>
            <w:tcBorders/>
            <w:vAlign w:val="center"/>
          </w:tcPr>
          <w:p>
            <w:pPr>
              <w:pStyle w:val="TableContents"/>
              <w:bidi w:val="0"/>
              <w:spacing w:before="0" w:after="283"/>
              <w:jc w:val="both"/>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allowing the acquiring person to receive any disproportionate benefit as a stockholder.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some circumstances, such a business transaction may need to comply with “fair price” provisions specified in the statute. After the five-year period, a significant business transaction may take place as long as it complies with certain fair price provisions of the WBCA or is approved at an annual or special meeting of stockholders.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be considered a “target corporation” so long as its principal executive office is located in Washington, and: (i) a majority of its employees are residents of the state of Washington or it employs more than one thousand residents of the state of Washington; (ii) a majority of the Company’s tangible assets, measured by market value, are located in the state of Washington or it has more than $50.0 million worth of tangible assets located in the state of Washington; and (iii) any one of the following: (a) more than 10% of the Company’s stockholders of record are resident in the state of Washington; (b) more than 10% of the Company’s shares are owned of record by state residents; or (c) 1,000 or more of the Company’s stockholders of record are resident in the state of Washington.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meets the definition of a target corporation, the WBCA may have the effect of delaying, deferring, or preventing a future change of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Limitations on Liability and Indemnification of Officers and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Charter eliminates the Company’s directors’ liability for monetary damages to the fullest extent permitted by applicable law. The DGCL provides that directors of a corporation will not be personally liable for monetary damages for breach of their fiduciary duties as directors, except for liability:</w:t>
      </w:r>
    </w:p>
    <w:p>
      <w:pPr>
        <w:pStyle w:val="TextBody"/>
        <w:bidi w:val="0"/>
        <w:spacing w:before="0" w:after="0"/>
        <w:ind w:left="0" w:right="0" w:hanging="0"/>
        <w:jc w:val="left"/>
        <w:rPr>
          <w:caps w:val="false"/>
          <w:smallCaps w:val="false"/>
        </w:rPr>
      </w:pPr>
      <w:r>
        <w:rPr>
          <w:caps w:val="false"/>
          <w:smallCaps w:val="false"/>
        </w:rPr>
        <w:t> </w:t>
      </w:r>
    </w:p>
    <w:tbl>
      <w:tblPr>
        <w:tblW w:w="9235" w:type="dxa"/>
        <w:jc w:val="left"/>
        <w:tblInd w:w="0" w:type="dxa"/>
        <w:tblLayout w:type="fixed"/>
        <w:tblCellMar>
          <w:top w:w="0" w:type="dxa"/>
          <w:left w:w="0" w:type="dxa"/>
          <w:bottom w:w="0" w:type="dxa"/>
          <w:right w:w="0" w:type="dxa"/>
        </w:tblCellMar>
      </w:tblPr>
      <w:tblGrid>
        <w:gridCol w:w="75"/>
        <w:gridCol w:w="110"/>
        <w:gridCol w:w="905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10" w:type="dxa"/>
            <w:tcBorders/>
            <w:vAlign w:val="center"/>
          </w:tcPr>
          <w:p>
            <w:pPr>
              <w:pStyle w:val="TableContents"/>
              <w:bidi w:val="0"/>
              <w:spacing w:before="0" w:after="283"/>
              <w:jc w:val="both"/>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9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any transaction from which the director derives an improper personal benefit;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10" w:type="dxa"/>
            <w:tcBorders/>
            <w:vAlign w:val="center"/>
          </w:tcPr>
          <w:p>
            <w:pPr>
              <w:pStyle w:val="TableContents"/>
              <w:bidi w:val="0"/>
              <w:spacing w:before="0" w:after="283"/>
              <w:jc w:val="both"/>
              <w:rPr>
                <w:caps w:val="false"/>
                <w:smallCaps w:val="false"/>
              </w:rPr>
            </w:pPr>
            <w:r>
              <w:rPr>
                <w:caps w:val="false"/>
                <w:smallCaps w:val="false"/>
              </w:rPr>
              <w:t> </w:t>
            </w:r>
          </w:p>
        </w:tc>
        <w:tc>
          <w:tcPr>
            <w:tcW w:w="90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10" w:type="dxa"/>
            <w:tcBorders/>
            <w:vAlign w:val="center"/>
          </w:tcPr>
          <w:p>
            <w:pPr>
              <w:pStyle w:val="TableContents"/>
              <w:bidi w:val="0"/>
              <w:spacing w:before="0" w:after="283"/>
              <w:jc w:val="both"/>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9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any act or omission not in good faith or that involves intentional misconduct or a knowing violation of law;</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10" w:type="dxa"/>
            <w:tcBorders/>
            <w:vAlign w:val="center"/>
          </w:tcPr>
          <w:p>
            <w:pPr>
              <w:pStyle w:val="TableContents"/>
              <w:bidi w:val="0"/>
              <w:spacing w:before="0" w:after="283"/>
              <w:jc w:val="both"/>
              <w:rPr>
                <w:caps w:val="false"/>
                <w:smallCaps w:val="false"/>
              </w:rPr>
            </w:pPr>
            <w:r>
              <w:rPr>
                <w:caps w:val="false"/>
                <w:smallCaps w:val="false"/>
              </w:rPr>
              <w:t> </w:t>
            </w:r>
          </w:p>
        </w:tc>
        <w:tc>
          <w:tcPr>
            <w:tcW w:w="90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10" w:type="dxa"/>
            <w:tcBorders/>
            <w:vAlign w:val="center"/>
          </w:tcPr>
          <w:p>
            <w:pPr>
              <w:pStyle w:val="TableContents"/>
              <w:bidi w:val="0"/>
              <w:spacing w:before="0" w:after="283"/>
              <w:jc w:val="both"/>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9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any unlawful payment of dividends or redemption of shares; or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10" w:type="dxa"/>
            <w:tcBorders/>
            <w:vAlign w:val="center"/>
          </w:tcPr>
          <w:p>
            <w:pPr>
              <w:pStyle w:val="TableContents"/>
              <w:bidi w:val="0"/>
              <w:spacing w:before="0" w:after="283"/>
              <w:jc w:val="both"/>
              <w:rPr>
                <w:caps w:val="false"/>
                <w:smallCaps w:val="false"/>
              </w:rPr>
            </w:pPr>
            <w:r>
              <w:rPr>
                <w:caps w:val="false"/>
                <w:smallCaps w:val="false"/>
              </w:rPr>
              <w:t> </w:t>
            </w:r>
          </w:p>
        </w:tc>
        <w:tc>
          <w:tcPr>
            <w:tcW w:w="90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10" w:type="dxa"/>
            <w:tcBorders/>
            <w:vAlign w:val="center"/>
          </w:tcPr>
          <w:p>
            <w:pPr>
              <w:pStyle w:val="TableContents"/>
              <w:bidi w:val="0"/>
              <w:spacing w:before="0" w:after="283"/>
              <w:jc w:val="both"/>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9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any breach of a director’s duty of loyalty to the corporation or its stockholders.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DGCL is amended to authorize corporate action further eliminating or limiting the personal liability of directors, then the liability of the Company’s directors will be eliminated or limited to the fullest extent permitted by the DGCL, as so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Charter requires the Company to indemnify and advance expenses, to the fullest extent permitted by applicable law, to its directors, officers, and agents. The Company maintains a directors’ and officers’ insurance policy pursuant to which the Company’s directors and officers are insured against liability for actions taken in their capacities as directors and officers. Finally, the Charter prohibits any retroactive changes to the rights or protections or increase the liability of any director in effect at the time of the alleged occurrence of any act or omission to act giving rise to liability or indemnification.</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Company has entered into separate indemnification agreements with the Company’s directors and officers. These agreements, among other things, require the Company to indemnify its directors and officers for certain expenses, including attorneys’ fees, judgments, fines, and settlement amounts incurred by a director or officer in any action or proceeding arising out of their services as one of the Company’s directors or officers or any other company or enterprise to which the person provides services at the Company’s request.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these provisions in the Charter are necessary to attract and retain qualified persons as directors and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Dissenters’ Rights of Appraisal and Payment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DGCL, with certain exceptions, the Company’s stockholders will have appraisal rights in connection with a merger or consolidation of the Company. Pursuant to the DGCL, stockholders who properly demand and perfect appraisal rights in connection with such merger or consolidation will have the right to receive payment of the fair value of their shares as determined by the Delaware Court of Chancery.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Stockholders’ Derivative 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DGCL, any of the Company’s stockholders may bring an action in the Company’s name to procure a judgment in the Company’s favor, also known as a derivative action, provided that the stockholder bringing the action is a holder of the Company’s shares at the time of the transaction to which the action relates or such stockholder’s stock thereafter devolved by operation of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Agent and Warrant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Continental Stock Transfer &amp; Trust Company is the transfer agent for Common Stock and the warrant agent for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Listing of Common Stock and Public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Class A Common Stock is listed on The Nasdaq Capital Market under the symbol “BNZI,” and the Company’s Public Warrants are listed on The Nasdaq Capital Market under the symbol “BNZIW.”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7" w:name="sd_010"/>
      <w:bookmarkEnd w:id="17"/>
      <w:r>
        <w:rPr>
          <w:rFonts w:ascii="Times New Roman;Times;Serif" w:hAnsi="Times New Roman;Times;Serif"/>
          <w:b/>
          <w:i w:val="false"/>
          <w:caps w:val="false"/>
          <w:smallCaps w:val="false"/>
          <w:sz w:val="20"/>
        </w:rPr>
        <w:t>MATERIAL UNITED STATES FEDERAL INCOME TAX CONSEQUENCES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discussion is a summary of the material U.S. federal income tax consequences of (i) the purchase, ownership and disposition of shares of our Class A Common Stock, (ii) the purchase, ownership and disposition of our Pre-Funded Warrants, and (iii) the purchase, ownership and disposition of our Common Warrants, which we refer to collectively as our securities. However, the following is for general information purposes only and does not purport to be a complete analysis of all potential tax effects related to our securities. This discussion does not address any tax consequences arising under the laws of any state, local or non-U.S. jurisdiction, or under any U.S. federal laws other than those pertaining to income taxation.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discussion is based upon the United States Internal Revenue Code of 1986, as amended (the “Code”), the regulations promulgated under the Code and court and administrative rulings and decisions, all as in effect on the date of this prospectus. These authorities may change, possibly retroactively, and any change could affect the accuracy of the statements and conclusions set forth in this discussion. No legal opinion from U.S. legal counsel or ruling from the Internal Revenue Service (the “IRS”) has been requested, or will be obtained, regarding the U.S. federal income tax consequences related to the purchase, ownership or disposition of our securities. This summary is not binding on the IRS, and the IRS is not precluded from taking a position that is different from, or contrary to, the positions taken in this summary.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discussion addresses only those beneficial owners of our securities that hold their securities as a “capital asset” within the meaning of Section 1221 of the Code (generally, property held for investment). This discussion does not address any tax considerations for holders of the GEM Warrants or Public Warrants, recipients of restricted shares of Class A Common Stock, or the tax considerations for any beneficial owners of founder shares. In addition, this summary does not discuss other U.S. federal tax consequences (</w:t>
      </w:r>
      <w:r>
        <w:rPr>
          <w:rFonts w:ascii="Times New Roman;Times;Serif" w:hAnsi="Times New Roman;Times;Serif"/>
          <w:b w:val="false"/>
          <w:i/>
          <w:caps w:val="false"/>
          <w:smallCaps w:val="false"/>
          <w:sz w:val="20"/>
        </w:rPr>
        <w:t>e.g.</w:t>
      </w:r>
      <w:r>
        <w:rPr>
          <w:rFonts w:ascii="Times New Roman;Times;Serif" w:hAnsi="Times New Roman;Times;Serif"/>
          <w:b w:val="false"/>
          <w:i w:val="false"/>
          <w:caps w:val="false"/>
          <w:smallCaps w:val="false"/>
          <w:sz w:val="20"/>
        </w:rPr>
        <w:t>, estate or gift tax), any state, local, or non-U.S. tax considerations or any tax consequences arising under the unearned income Medicare contribution tax pursuant to the Health Care and Education Reconciliation Act of 2010. Further, this discussion does not address all aspects of U.S. federal income taxation that may be relevant to you in light of your individual circumstances or that may be applicable to you if you are subject to special treatment under the U.S. federal income tax laws, including if you are:</w:t>
      </w:r>
    </w:p>
    <w:p>
      <w:pPr>
        <w:pStyle w:val="TextBody"/>
        <w:bidi w:val="0"/>
        <w:spacing w:before="0" w:after="0"/>
        <w:ind w:left="0" w:right="0" w:hanging="0"/>
        <w:jc w:val="left"/>
        <w:rPr>
          <w:caps w:val="false"/>
          <w:smallCaps w:val="false"/>
        </w:rPr>
      </w:pPr>
      <w:r>
        <w:rPr>
          <w:caps w:val="false"/>
          <w:smallCaps w:val="false"/>
        </w:rPr>
        <w:t> </w:t>
      </w:r>
    </w:p>
    <w:tbl>
      <w:tblPr>
        <w:tblW w:w="3220" w:type="dxa"/>
        <w:jc w:val="left"/>
        <w:tblInd w:w="0" w:type="dxa"/>
        <w:tblLayout w:type="fixed"/>
        <w:tblCellMar>
          <w:top w:w="0" w:type="dxa"/>
          <w:left w:w="0" w:type="dxa"/>
          <w:bottom w:w="0" w:type="dxa"/>
          <w:right w:w="0" w:type="dxa"/>
        </w:tblCellMar>
      </w:tblPr>
      <w:tblGrid>
        <w:gridCol w:w="75"/>
        <w:gridCol w:w="170"/>
        <w:gridCol w:w="2975"/>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bank or other financial institution;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29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tax-exempt organization;</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real estate investment trust;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S corporation or other pass-through entity (or an investor in an S corporation or other pass-through entity);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insurance company;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regulated investment company or a mutual fund;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pension plans;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“controlled foreign corporation” or a “passive foreign investment company;”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dealer or broker in stocks and securities, or currencies;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trader in securities that elects mark-to-market treatment;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holder that is liable for the alternative minimum tax;</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holder that received shares, through the exercise of an employee stock option, through a tax qualified retirement plan or otherwise as compensation;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U.S. Holder that has a functional currency other than the U.S. dollar;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holder that holds shares as part of a hedge, straddle, constructive sale, conversion or other integrated transaction;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person required to accelerate the recognition of any item of gross income with respect to its shares as a result of such income being recognized on an applicable financial statement;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U.S. expatriate.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discussion, the term “U.S. Holder” means a beneficial owner of our securities that is for U.S. federal income tax purposes (1) an individual citizen or resident of the United States, (2) a corporation (or any other entity treated as a corporation for U.S. federal income tax purposes) organized in or under the laws of the United States or any state thereof or the District of Columbia, (3) a trust if (a) a court within the United States is able to exercise primary supervision over the administration of the trust and one or more U.S. persons have the authority to control all substantial decisions of the trust or (b) such trust has made a valid election to be treated as a U.S. person for U.S. federal income tax purposes or (4) an estate, the income of which is includible in gross income for U.S. federal income tax purposes regardless of its source. A “Non-U.S. Holder” means a beneficial owner of our securities (other than a partnership or other entity or arrangement classified as a partnership for U.S. federal income tax purposes) that is not a U.S. 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entity or an arrangement treated as a partnership for U.S. federal income tax purposes holds our securities, the U.S. federal income tax consequences of the purchase, ownership and disposition of our securities to a partner in such partnership (or owner of such entity) generally will depend on the status of the partner and the activities of the partnership (or entity). Any entity or arrangement treated as a partnership for U.S. federal income tax purposes that holds our securities, and any partners in such partnership, are urged to consult their own tax advisors with respect to the applicable tax consequences in light of their specific circumstances.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tax consequences of the purchase, ownership and disposition of our securities will depend on your specific situation. You should consult with your own tax advisor as to the tax consequences of the purchase, ownership and disposition of our securities in your particular circumstances, including the applicability and effect of any applicable alternative minimum tax and any state, local, foreign, or other tax laws and of changes in those laws.</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DISCUSSION OF U.S. FEDERAL INCOME TAX CONSIDERATIONS IS FOR GENERAL INFORMATION PURPOSES ONLY AND IS NOT TAX ADVICE. PROSPECTIVE HOLDERS SHOULD CONSULT THEIR TAX ADVISORS CONCERNING THE U.S. FEDERAL INCOME TAX CONSEQUENCES TO THEM OF PURCHASING, OWNING AND DISPOSING OF OUR SECURITIES, AS WELL AS THE APPLICATION OF ANY, STATE, LOCAL AND NON-U.S. INCOME, ESTATE AND OTHER TAX CONSIDERATIONS. IN ADDITION, PROSPECTIVE HOLDERS SHOULD CONSULT WITH THEIR TAX ADVISORS WITH RESPECT TO POTENTIAL CHANGES IN UNITED STATES FEDERAL TAX LAW AS WELL AS POTENTIAL CHANGES IN STATE, LOCAL OR NON-U.S. TAX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Allocation of Purchase Price Between Shares of our Class A Common Stock or Pre-Funded Warrants, as Applicable, and Accompanying Common Warrants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our shares of Class A Common Stock and accompanying Common Warrants, or Pre-Funded Warrants and accompanying Common Warrants as applicable, will be purchased together in this offering, a holder of shares of our Class A Common Stock and accompanying Common Warrants, or Pre-Funded Warrants and accompanying Common Warrants, as applicable, must allocate such holder’s purchase price between each share of Class A Common Stock or Pre-Funded Warrant, as applicable, and the accompanying Common Warrant based on their respective relative fair market values at the time of issuance. This allocation of the purchase price will establish the holder’s initial tax basis for U.S. federal income tax purposes for each share of Class A Common Stock or Pre-Funded Warrant, as applicable, and accompanying Common Warrant. A holder’s allocation of the purchase price among the shares of Class A Common Stock or Pre-Funded Warrants, as applicable, and accompanying Common Warrants is not binding on the IRS or the courts, and no assurance can be given that the IRS or the courts will agree with a holder’s allocation. Each holder should consult such holder’s own tax advisor regarding the allocation of the purchase price among the shares of Class A Common Stock or Pre-Funded Warrants, as applicable, and accompanying Common Warrants.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Treatment of Pre-Funded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the matter is not entirely free from doubt, a Pre-Funded Warrant generally should be treated as a share of our Class A Common Stock for U.S. federal income tax purposes and a holder of Pre-Funded Warrants generally should be taxed in the same manner as a holder of Class A Common Stock, as described below. Accordingly, no gain or loss should be recognized upon the exercise of a Pre-Funded Warrant and, upon exercise, the holding period of the share of Class A Common Stock acquired upon exercise of a Pre-Funded Warrant should include the holding period of such Pre-Funded Warrant. Similarly, the tax basis of the share of Class A Common Stock acquired upon exercise of a Pre-Funded Warrant should equal the tax basis of such Pre-Funded Warrant, increased by the exercise price of $0.0001. Each holder should consult his, her or its own tax advisor regarding the U.S. federal, state and local, and non-U.S tax consequences arising from and relating to the purchase, ownership and disposition of Pre-Funded Warrants pursuant to this offering (including potential alternative characterizations). The balance of this summary generally assumes that the characterization described above is respected for U.S. federal income tax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Tax Consequences for U.S.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Taxation of Distributions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Banzai pays distributions to U.S. Holders of shares of Class A Common Stock, Pre-Funded Warrants or Common Warrants (subject to the remainder of the discussion under this section, “Tax Consequences for U.S. Holders-Taxation of Distributions”), such distributions will constitute dividends for U.S. federal income tax purposes to the extent paid from Banzai’s current or accumulated earnings and profits, as determined under U.S. federal income tax principles. Distributions in excess of current and accumulated earnings and profits will constitute a return of capital that will be applied against and reduce (but not below zero) the U.S. Holder’s adjusted tax basis in such holder’s shares of Class A Common Stock, Pre-Funded Warrants or Common Warrants (subject to the remainder of the discussion under this section, “Tax Consequences for U.S. Holders-Taxation of Distributions”). Any remaining excess will be treated as gain realized on the sale or other disposition of Class A Common Stock, Pre-Funded Warrants or Common Warrants (subject to the remainder of the discussion under this section, “Tax Consequences for U.S. Holders-Taxation of Distributions”) and will be treated as described under the section of this prospectus titled “Tax Consequences for U.S. Holders-Gain or Loss on Sale, Taxable Exchange or Other Taxable Disposition of Class A Common Stock or Pre-Funded Warrants” or “Tax Consequences for U.S. Holders-Sale, Exchange, Redemption or Expiration of a Common Warrant,” as the case may be,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that Banzai pays to a U.S. Holder that is a taxable corporation generally will qualify for the dividends received deduction if the requisite holding period is satisfied. With certain exceptions (including dividends treated as investment income for purposes of investment interest deduction limitations), and provided certain holding period requirements are met, dividends that Banzai pays to a non-corporate U.S. Holder will generally constitute “qualified dividends” that will be subject to tax at the maximum tax rate accorded to long-term capital gains.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taxation of a distribution (if any) received with respect to a Common Warrant is unclear. Although the matter is not free from doubt, we intend to treat any distribution (excluding constructive distribution as discussed under the heading “Tax Consequences for U.S. Holders-Possible Constructive Distributions”) to a holder of Common Warrants as a distribution with respect to our stock for U.S. federal income tax purposes, in which case, such a distribution would be treated as a distribution subject to the immediately preceding paragraphs. However, the matter is not entirely free from doubt, and U.S. Holders should consult their own tax advisors regarding the U.S. federal income consequences of distributions received with respect to Common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Gain or Loss on Sale, Taxable Exchange or Other Taxable Disposition of Class A Common Stock or Pre-Funded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U.S. Holder will recognize gain or loss on the sale, taxable exchange or other taxable disposition of Class A Common Stock or Pre-Funded Warrants. Any such gain or loss will be capital gain or loss and will be long-term capital gain or loss if the U.S. Holder’s holding period for Class A Common Stock or Pre-Funded Warrants so disposed of exceeds one year. Long-term capital gains recognized by non-corporate U.S. Holders generally will be eligible for taxation at reduced rates. The amount of capital gain or loss recognized will generally be equal to the difference between (1) the sum of the amount of cash and the fair market value of any property received in such disposition and (2) the U.S. Holder’s adjusted tax basis in its Class A Common Stock or Pre-Funded Warrants so disposed of. A U.S. Holder’s adjusted tax basis in its Class A Common Stock or Pre-Funded Warrants will generally equal the U.S. Holder’s acquisition cost less any prior distributions treated as a return of capital. The deductibility of capital losses is subject to limitations.</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Exercise of a Common Warrant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discussed below with respect to the cashless exercise of a Common Warrant, a U.S. Holder will not recognize gain or loss upon the exercise of a Common Warrant. The U.S. Holder’s tax basis in the shares of our Class A Common Stock received upon exercise of the Common Warrant will generally be an amount equal to the sum of the U.S. Holder’s initial investment in the Common Warrant and the exercise price of such Common Warrant. A U.S. Holder’s holding period for Class A Common Stock received upon exercise of the Common Warrants will commence on the date of exercise of the Common Warrants and will not include the period during which the U.S. Holder held the Common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tax consequences of a cashless exercise of a Common Warrant are not clear under current tax law. A cashless exercise may be nontaxable, either because the exercise is not a realization event or because the exercise is treated as a “recapitalization” for U.S. federal income tax purposes. In either situation, a U.S. Holder’s tax basis in Class A Common Stock received would generally equal the holder’s tax basis in the Common Warrant exercised therefor. If the cashless exercise were treated as not being a realization event, a U.S. Holder’s holding period for Class A Common Stock would generally commence on the date of exercise of the Common Warrant or the day following the date of exercise of the Common Warrant. If, however, the cashless exercise were treated as a recapitalization, the holding period of Class A Common Stock would include the holding period of the Common Warrant.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also possible that a cashless exercise could be treated as a taxable exchange in which gain or loss is recognized. In such event, a U.S. Holder would be deemed to have surrendered a number of Common Warrants having a fair market value equal to the exercise price paid for the total number of Common Warrants to be exercised. The U.S. Holder would recognize capital gain or loss in an amount equal to the difference between the fair market value of Class A Common Stock represented by the Common Warrants deemed surrendered and the U.S. Holder’s tax basis in the Common Warrants deemed surrendered. In this case, a U.S. Holder’s tax basis in Class A Common Stock received would equal the sum of the U.S. Holder’s initial investment in the Common Warrants exercised and the exercise price of such Common Warrants. A U.S. Holder’s holding period for Class A Common Stock received upon exercise of the Common Warrants will commence on the date of exercise of the Common Warrants and will not include the period during which the U.S. Holder held the Common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Alternative characterizations are also possible. Due to the absence of authority on the U.S. federal income tax treatment of a cashless exercise, there can be no assurance which, if any, of the alternative tax consequences and holding periods described above would be adopted by the IRS or a court of law. Accordingly, U.S. Holders are urged to consult their tax advisors regarding the tax consequences of a cashless exercise.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Sale, Exchange, Redemption or Expiration of a Common Warrant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 sale, exchange (other than by exercise), redemption, or expiration of a Common Warrant, a U.S. Holder will recognize taxable gain or loss in an amount equal to the difference between (1) the amount realized upon such disposition or expiration and (2) the U.S. Holder’s tax basis in the Common Warrant. Such gain or loss will generally be treated as long-term capital gain or loss if the Common Warrant is held by the U.S. Holder for more than one year at the time of such disposition or expiration. Long-term capital gains recognized by non-corporate U.S. Holders generally will be eligible for taxation at reduced rates. If a Common Warrant is allowed to lapse unexercised, a U.S. Holder generally will recognize a capital loss equal to such holder’s tax basis in the Common Warrant. The deductibility of capital losses is subject to certain limitations.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Possible Constructive Distributions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each Common Warrant provide for an adjustment to the number of shares of Class A Common Stock for which the Common Warrant may be exercised or to the exercise price of the Common Warrant in certain events, as discussed in the section of this prospectus entitled “</w:t>
      </w:r>
      <w:r>
        <w:rPr>
          <w:rFonts w:ascii="Times New Roman;Times;Serif" w:hAnsi="Times New Roman;Times;Serif"/>
          <w:b w:val="false"/>
          <w:i/>
          <w:caps w:val="false"/>
          <w:smallCaps w:val="false"/>
          <w:sz w:val="20"/>
        </w:rPr>
        <w:t>Description of Securities-Common Warrants to be issued in this offering</w:t>
      </w:r>
      <w:r>
        <w:rPr>
          <w:rFonts w:ascii="Times New Roman;Times;Serif" w:hAnsi="Times New Roman;Times;Serif"/>
          <w:b w:val="false"/>
          <w:i w:val="false"/>
          <w:caps w:val="false"/>
          <w:smallCaps w:val="false"/>
          <w:sz w:val="20"/>
        </w:rPr>
        <w:t>.” An adjustment which has the effect of preventing dilution in the event of a stock dividend is generally not a taxable event. Nevertheless, a U.S. Holder of Common Warrants would be treated as receiving a constructive distribution from us if, for example, the adjustment increases the holder’s proportionate interest in our assets or earnings and profits (e.g., through an increase in the number of shares of Class A Common Stock that would be obtained upon exercise or through a decrease to the exercise price) as a result of a distribution of cash to the holders of shares of our Class Common Stock which is taxable to such holders as a distribution as described under the section of this prospectus entitled “Tax Consequences for U.S. Holders-Taxation of Distributions” above. Such constructive distribution would be subject to tax as described under that section in the same manner as if such U.S. Holder received a cash distribution from us equal to the fair market value of such increased interest.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Tax Consequences for Non-U.S.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Taxation of Distributions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discussions below regarding the Foreign Account Tax Compliance Act and backup withholding, in general, any distributions that Banzai makes to a Non-U.S. Holder of shares of Class A Common Stock, Pre-Funded Warrants or Common Warrants (subject to the remainder of the discussion under this section “Tax Consequences for Non-U.S. Holders-Taxation of Distributions”), to the extent paid out of Banzai’s current or accumulated earnings and profits (as determined under U.S. federal income tax principles), will constitute dividends for U.S. federal income tax purposes and, provided such dividends are not effectively connected with the Non-U.S. Holder’s conduct of a trade or business within the United States (or, if a tax treaty applies, are attributable to a U.S. permanent establishment or fixed base maintained by the Non-U.S. Holder), Banzai will be required to withhold tax from the gross amount of the dividend at a rate of 30%, unless such Non-U.S. Holder is eligible for a reduced rate of withholding tax under an applicable income tax treaty and provides proper certification of its eligibility for such reduced rate (usually on an IRS Form W-8BEN or W-8BEN-E, as applicable). Any distribution not constituting a dividend paid to Non-U.S. Holders of Class A Common Stock, Pre-Funded Warrants or Common Warrants will be treated first as reducing (but not below zero) the Non-U.S. Holder’s adjusted tax basis in its shares of Class A Common Stock, Pre-Funded Warrants or Common Warrants (subject to the remainder of the discussion under this section “Tax Consequences for Non-U.S. Holders-Taxation of Distributions”) and, to the extent such distribution exceeds the Non-U.S. Holder’s adjusted tax basis, as gain realized from the sale or other disposition of Class A Common Stock, Pre-Funded Warrants or Common Warrants (subject to the remainder of the discussion under this section “Tax Consequences for Non-U.S. Holders-Taxation of Distributions”), which will be treated as described under the section of this prospectus titled “Tax Consequences for Non-U.S. Holders-Gain on Sale, Taxable Exchange or Other Taxable Disposition of Class A Common Stock, Pre-Funded Warrants or Common Warrants”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that Banzai pays to a Non-U.S. Holder that are effectively connected with such Non-U.S. Holder’s conduct of a trade or business within the United States (or, if a tax treaty applies, are attributable to a U.S. permanent establishment or fixed base maintained by the Non-U.S. Holder) will generally not be subject to U.S. withholding tax, provided such Non-U.S. Holder complies with certain certification and disclosure requirements (usually by providing an IRS Form W-8ECI). Instead, such dividends will generally be subject to U.S. federal income tax, net of certain deductions, at the same graduated individual or corporate rates applicable to U.S. Holders. If the Non-U.S. Holder is a corporation, dividends that are effectively connected income may also be subject to a “branch profits tax” at a rate of 30% (or such lower rate as may be specified by an applicable income tax treaty).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described above under the heading “Tax Consequences for U.S. Holders-Taxation of Distributions,” the taxation of a distribution received with respect to a Common Warrant is unclear. Although the matter is not free from doubt, we intend to treat any distribution (excluding constructive distribution as discussed under the heading “Tax Consequences for Non-U.S. Holders-Possible Constructive Distributions”) to a holder of Common Warrants as a distribution with respect to our stock for U.S. federal income tax purposes, in which case, such a distribution would be treated as a distribution subject to the remainder of the discussion under this heading. However, the matter is not entirely free from doubt, and Non-U.S. Holders should consult their own tax advisors regarding the U.S. federal income consequences of distributions received with respect to Common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Exercise of a Common Warrant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 federal income tax treatment of a Non-U.S. Holder’s exercise of a Common Warrant generally will correspond to the U.S. federal income tax treatment of the exercise of a Common Warrant by a U.S. Holder, as described under the section of this prospectus entitled “Tax Consequences for U.S. Holders-Exercise of a Common Warrant” above, although to the extent a cashless exercise results in a taxable exchange, the tax consequences to the Non-U.S. Holder would be the same as those described below in the section of this prospectus entitled “Tax Consequences for Non-U.S. Holders-Gain on Sale, Exchange or Other Taxable Disposition of Class A Common Stock, Pre-Funded Warrants or Common Warrants.”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Possible Constructive Distributions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each Common Warrant provide for an adjustment to the number of shares of Class A Common Stock for which the Common Warrant may be exercised or to the exercise price of the Common Warrant in certain events, as discussed in the section of this prospectus entitled “Description of Securities-Common Warrants to be issued in this offering.” An adjustment which has the effect of preventing dilution in the event of a stock dividend is generally not a taxable event. Nevertheless, a Non-U.S. Holder of Common Warrants would be treated as receiving a constructive distribution from us if, for example, the adjustment increases the holder’s proportionate interest in our assets or earnings and profits (e.g., through an increase in the number of shares of Class A Common Stock that would be obtained upon exercise or through a decrease to the exercise price) as a result of a distribution of cash to the holders of shares of our Class Common Stock which is taxable to such holders as a distribution as described under the section of this prospectus entitled “Tax Consequences for Non-U.S. Holders-Taxation of Distributions” above. Such constructive distribution would be subject to tax as described under that section in the same manner as if such Non-U.S. Holder received a cash distribution from us equal to the fair market value of such increased interest.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Gain on Sale, Exchange, or Other Taxable Disposition of Class A Common Stock, Pre-Funded Warrants or Common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discussions below regarding the Foreign Account Tax Compliance Act and backup withholding, a Non-U.S. Holder will generally not be subject to U.S. federal income or withholding tax in respect of gain recognized on a sale, taxable exchange or other taxable disposition of Class A Common Stock or a sale, taxable exchange, expiration, redemption or other taxable disposition of our Pre-Funded Warrants or Common Warrants unless: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gain is effectively connected with the conduct of a trade or business by the Non-U.S. Holder within the United States (and, if an applicable tax treaty so requires, is attributable to a U.S. permanent establishment or fixed base maintained by the Non-U.S. Holder);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Non-U.S. Holder is an individual who is present in the United States for 183 days or more in the taxable year of disposition and certain other conditions are met;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Banzai is or has been a “United States real property holding corporation” for U.S. federal income tax purposes and, in the case where Class A Common Stock is traded on an established securities market, such Non-U.S. Holder has owned, directly or constructively, more than 5% of Class A Common Stock at any time within the shorter of the five-year period or such Non-U.S. Holder’s holding period for its Class A Common Stock.</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described in the first bullet point above will be subject to tax at generally applicable U.S. federal income tax rates. Any gains described in the first bullet point above of a Non-U.S. Holder that is a foreign corporation may also be subject to an additional “branch profits tax” at a 30% rate (or lower applicable treaty rate). Gain described in the second bullet point above will generally be subject to a flat 30% U.S. federal income tax. Non-U.S. Holders are urged to consult their tax advisors regarding possible eligibility for benefits under income tax treaties.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Banzai will be classified as a United States real property holding corporation if the fair market value of Banzai’s “United States real property interests” equals or exceeds 50% of the sum of the fair market value of Banzai’s worldwide real property interests plus Banzai’s other assets used or held for use in a trade or business, as determined for U.S. federal income tax purposes. Banzai does not believe it currently is or will become a United States real property holding corporation, however there can be no assurance in this regard. Non-U.S. Holders are urged to consult their tax advisors regarding the application of these rules.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Foreign Account Tax Compliance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Sections 1471 through 1474 of the Code and the Treasury Regulations and administrative guidance promulgated thereunder (commonly referred as the “Foreign Account Tax Compliance Act” or “FATCA”) generally impose withholding at a rate of 30% in certain circumstances on dividends in respect of, and, subject to the below discussion of proposed Treasury Regulations, the gross proceeds of dispositions of, our securities which are held by or through certain foreign financial institutions (including investment funds), unless any such institution (1) enters into, and complies with, an agreement with the IRS to report, on an annual basis, information with respect to interests in, and accounts maintained by, the institution that are owned by certain U.S. persons and by certain non-U.S. entities that are wholly or partially owned by U.S. persons and to withhold on certain payments, or (2) if required under an intergovernmental agreement between the United States and an applicable foreign country, reports such information to its local tax authority, which will exchange such information with the U.S. authorities. Under proposed Treasury Regulations promulgated by the Treasury Department on December 13, 2018, which state that taxpayers may rely on the proposed Treasury Regulations until final Treasury Regulations are issued, this withholding tax will not apply to the gross proceeds from the sale or disposition of our securities. An intergovernmental agreement between the United States and an applicable foreign country may modify these requirements. Accordingly, the entity through which our securities is held will affect the determination of whether such withholding is required. Similarly, dividends in respect of Class A Common Stock or Pre-Funded Warrants held by an investor that is a non-financial non-U.S. entity that does not qualify under certain exceptions will generally be subject to withholding at a rate of 30%, unless such entity either (1) certifies to us or the applicable withholding agent that such entity does not have any “substantial United States owners” or (2) provides certain information regarding the entity’s “substantial United States owners,” which will in turn be provided to the U.S. Department of Treasury. Prospective Non-U.S. Holders should consult their tax advisors regarding the possible implications of FATCA on their investment in our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Information Reporting and Backup Withholding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Payments of dividends on our securities or proceeds received in connection with the sale, exchange or other taxable disposition of our securities may be subject to information reporting to the IRS and U.S. backup withholding. Backup withholding generally will not apply, however, to a U.S. Holder who furnishes a correct taxpayer identification number and makes other required certifications, or who is otherwise exempt from backup withholding and establishes such exempt status. A Non-U.S. Holder generally will eliminate the requirement for information reporting and backup withholding by providing certification of its foreign status, under penalties of perjury, on a duly executed applicable IRS Form W-8 or by otherwise establishing an exemption.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Backup withholding is not an additional tax. Amounts withheld as backup withholding may be credited against a holder’s U.S. federal income tax liability, and a holder generally may claim a refund of any excess amounts withheld under the backup withholding rules by timely filing the appropriate claim for refund with the IRS and furnishing any required information.</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8" w:name="sd_011"/>
      <w:bookmarkEnd w:id="18"/>
      <w:r>
        <w:rPr>
          <w:rFonts w:ascii="Times New Roman;Times;Serif" w:hAnsi="Times New Roman;Times;Serif"/>
          <w:b/>
          <w:i w:val="false"/>
          <w:caps w:val="false"/>
          <w:smallCaps w:val="false"/>
          <w:sz w:val="20"/>
        </w:rPr>
        <w:t>LEGAL MATTERS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validity of any securities offered by this prospectus will be passed upon for us by Hunter Taubman Fischer &amp; Li LLC.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9" w:name="sd_012"/>
      <w:bookmarkEnd w:id="19"/>
      <w:r>
        <w:rPr>
          <w:rFonts w:ascii="Times New Roman;Times;Serif" w:hAnsi="Times New Roman;Times;Serif"/>
          <w:b/>
          <w:i w:val="false"/>
          <w:caps w:val="false"/>
          <w:smallCaps w:val="false"/>
          <w:sz w:val="20"/>
        </w:rPr>
        <w:t>EXPERTS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of Banzai International, Inc. as of December 31, 2024 and for the year ended December 31, 2024 included in this prospectus and in the registration statement have been audited by Marcum, LLP, independent registered public accounting firm, as set forth in their report which report includes an explanatory paragraph related to the substantial doubt about the Company’s ability to continue as a going concern, appearing elsewhere herein, and are included in reliance on such report given on the authority of such firm as experts in auditing and accounting.</w:t>
      </w:r>
    </w:p>
    <w:p>
      <w:pPr>
        <w:pStyle w:val="TextBody"/>
        <w:bidi w:val="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of Banzai International, Inc. as of December 31, 2025 and for the year ended December 31, 2025 included in this prospectus and in the registration statement have been audited by Bush &amp; Associates CPA LLC, independent registered public accounting firm, as set forth in their report which report includes an explanatory paragraph related to the substantial doubt about the Company’s ability to continue as a going concern, appearing elsewhere herein, and are included in reliance on such report given on the authority of such firm as experts in auditing and accounting.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0" w:name="sd_013"/>
      <w:bookmarkEnd w:id="20"/>
      <w:r>
        <w:rPr>
          <w:rFonts w:ascii="Times New Roman;Times;Serif" w:hAnsi="Times New Roman;Times;Serif"/>
          <w:b/>
          <w:i w:val="false"/>
          <w:caps w:val="false"/>
          <w:smallCaps w:val="false"/>
          <w:sz w:val="20"/>
        </w:rPr>
        <w:t>WHERE YOU CAN FIND MORE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are required to file annual, quarterly and current reports, proxy statements and other information with the SEC as required by the Exchange Act. You can read our SEC filings, including this prospectus, over the Internet at the SEC’s website at </w:t>
      </w:r>
      <w:r>
        <w:rPr>
          <w:rFonts w:ascii="Times New Roman;Times;Serif" w:hAnsi="Times New Roman;Times;Serif"/>
          <w:b w:val="false"/>
          <w:i/>
          <w:caps w:val="false"/>
          <w:smallCaps w:val="false"/>
          <w:sz w:val="20"/>
        </w:rPr>
        <w:t>http://www.sec.gov</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website address is www.banzai.io. Through our website, we make available, free of charge, certain documents as soon as reasonably practicable after they are electronically filed with, or furnished to, the SEC, including our Annual Reports on Form 10-K; our proxy statements for our annual and special stockholder meetings; our Quarterly Reports on Form 10-Q; our Current Reports on Form 8-K; Forms 3, 4, and 5 and Schedules 13D with respect to our securities filed on behalf of our directors and our executive officers; and amendments to those documents. The information contained on, or that may be accessed through, our website is not a part of, and is not incorporated into, this prospectus.</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83</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1" w:name="jw_001"/>
      <w:bookmarkEnd w:id="21"/>
      <w:r>
        <w:rPr>
          <w:rFonts w:ascii="Times New Roman;Times;Serif" w:hAnsi="Times New Roman;Times;Serif"/>
          <w:b/>
          <w:i w:val="false"/>
          <w:caps w:val="false"/>
          <w:smallCaps w:val="false"/>
          <w:sz w:val="20"/>
        </w:rPr>
        <w:t>INDEX TO FINANCIAL STATEMENTS</w:t>
      </w:r>
    </w:p>
    <w:p>
      <w:pPr>
        <w:pStyle w:val="TextBody"/>
        <w:bidi w:val="0"/>
        <w:spacing w:before="0" w:after="0"/>
        <w:ind w:left="0" w:right="0" w:hanging="0"/>
        <w:jc w:val="center"/>
        <w:rPr>
          <w:caps w:val="false"/>
          <w:smallCaps w:val="false"/>
        </w:rPr>
      </w:pPr>
      <w:r>
        <w:rPr>
          <w:caps w:val="false"/>
          <w:smallCaps w:val="false"/>
        </w:rPr>
        <w:t> </w:t>
      </w:r>
    </w:p>
    <w:tbl>
      <w:tblPr>
        <w:tblW w:w="9205" w:type="dxa"/>
        <w:jc w:val="left"/>
        <w:tblInd w:w="0" w:type="dxa"/>
        <w:tblLayout w:type="fixed"/>
        <w:tblCellMar>
          <w:top w:w="0" w:type="dxa"/>
          <w:left w:w="0" w:type="dxa"/>
          <w:bottom w:w="0" w:type="dxa"/>
          <w:right w:w="0" w:type="dxa"/>
        </w:tblCellMar>
      </w:tblPr>
      <w:tblGrid>
        <w:gridCol w:w="8795"/>
        <w:gridCol w:w="410"/>
      </w:tblGrid>
      <w:tr>
        <w:trPr/>
        <w:tc>
          <w:tcPr>
            <w:tcW w:w="8795" w:type="dxa"/>
            <w:tcBorders/>
            <w:shd w:fill="CCEEFF" w:val="clear"/>
            <w:vAlign w:val="center"/>
          </w:tcPr>
          <w:p>
            <w:pPr>
              <w:pStyle w:val="TableContents"/>
              <w:bidi w:val="0"/>
              <w:spacing w:before="0" w:after="283"/>
              <w:jc w:val="left"/>
              <w:rPr/>
            </w:pPr>
            <w:hyperlink w:anchor="sp_001">
              <w:r>
                <w:rPr>
                  <w:rStyle w:val="InternetLink"/>
                  <w:rFonts w:ascii="Times New Roman;Times;Serif" w:hAnsi="Times New Roman;Times;Serif"/>
                  <w:b w:val="false"/>
                  <w:i w:val="false"/>
                  <w:caps w:val="false"/>
                  <w:smallCaps w:val="false"/>
                  <w:sz w:val="20"/>
                </w:rPr>
                <w:t>Report of Independent Registered Public Accounting Firm</w:t>
              </w:r>
            </w:hyperlink>
            <w:r>
              <w:rPr>
                <w:rFonts w:ascii="Times New Roman;Times;Serif" w:hAnsi="Times New Roman;Times;Serif"/>
                <w:b w:val="false"/>
                <w:i w:val="false"/>
                <w:caps w:val="false"/>
                <w:smallCaps w:val="false"/>
                <w:sz w:val="20"/>
              </w:rPr>
              <w:t xml:space="preserve"> (PCAOB ID: 6797)</w:t>
            </w:r>
          </w:p>
        </w:tc>
        <w:tc>
          <w:tcPr>
            <w:tcW w:w="41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F-2</w:t>
            </w:r>
          </w:p>
        </w:tc>
      </w:tr>
      <w:tr>
        <w:trPr/>
        <w:tc>
          <w:tcPr>
            <w:tcW w:w="8795" w:type="dxa"/>
            <w:tcBorders/>
            <w:shd w:fill="FFFFFF" w:val="clear"/>
            <w:vAlign w:val="center"/>
          </w:tcPr>
          <w:p>
            <w:pPr>
              <w:pStyle w:val="TableContents"/>
              <w:bidi w:val="0"/>
              <w:spacing w:before="0" w:after="283"/>
              <w:jc w:val="left"/>
              <w:rPr/>
            </w:pPr>
            <w:hyperlink w:anchor="sp_002">
              <w:r>
                <w:rPr>
                  <w:rStyle w:val="InternetLink"/>
                  <w:rFonts w:ascii="Times New Roman;Times;Serif" w:hAnsi="Times New Roman;Times;Serif"/>
                  <w:b w:val="false"/>
                  <w:i w:val="false"/>
                  <w:caps w:val="false"/>
                  <w:smallCaps w:val="false"/>
                  <w:sz w:val="20"/>
                </w:rPr>
                <w:t>Report of Independent Registered Public Accounting Firm</w:t>
              </w:r>
            </w:hyperlink>
            <w:r>
              <w:rPr>
                <w:rFonts w:ascii="Times New Roman;Times;Serif" w:hAnsi="Times New Roman;Times;Serif"/>
                <w:b w:val="false"/>
                <w:i w:val="false"/>
                <w:caps w:val="false"/>
                <w:smallCaps w:val="false"/>
                <w:sz w:val="20"/>
              </w:rPr>
              <w:t xml:space="preserve"> (PCAOB ID: 688)</w:t>
            </w:r>
          </w:p>
        </w:tc>
        <w:tc>
          <w:tcPr>
            <w:tcW w:w="41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F-3</w:t>
            </w:r>
          </w:p>
        </w:tc>
      </w:tr>
      <w:tr>
        <w:trPr/>
        <w:tc>
          <w:tcPr>
            <w:tcW w:w="8795" w:type="dxa"/>
            <w:tcBorders/>
            <w:shd w:fill="CCEEFF" w:val="clear"/>
            <w:vAlign w:val="center"/>
          </w:tcPr>
          <w:p>
            <w:pPr>
              <w:pStyle w:val="TableContents"/>
              <w:bidi w:val="0"/>
              <w:spacing w:before="0" w:after="283"/>
              <w:jc w:val="left"/>
              <w:rPr/>
            </w:pPr>
            <w:hyperlink w:anchor="sp_003">
              <w:r>
                <w:rPr>
                  <w:rStyle w:val="InternetLink"/>
                  <w:rFonts w:ascii="Times New Roman;Times;Serif" w:hAnsi="Times New Roman;Times;Serif"/>
                  <w:b w:val="false"/>
                  <w:i w:val="false"/>
                  <w:caps w:val="false"/>
                  <w:smallCaps w:val="false"/>
                  <w:sz w:val="20"/>
                </w:rPr>
                <w:t>Consolidated Balance Sheets as of December 31, 2025 and 2024</w:t>
              </w:r>
            </w:hyperlink>
          </w:p>
        </w:tc>
        <w:tc>
          <w:tcPr>
            <w:tcW w:w="41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F-4</w:t>
            </w:r>
          </w:p>
        </w:tc>
      </w:tr>
      <w:tr>
        <w:trPr/>
        <w:tc>
          <w:tcPr>
            <w:tcW w:w="8795" w:type="dxa"/>
            <w:tcBorders/>
            <w:shd w:fill="FFFFFF" w:val="clear"/>
            <w:vAlign w:val="center"/>
          </w:tcPr>
          <w:p>
            <w:pPr>
              <w:pStyle w:val="TableContents"/>
              <w:bidi w:val="0"/>
              <w:spacing w:before="0" w:after="283"/>
              <w:jc w:val="left"/>
              <w:rPr/>
            </w:pPr>
            <w:hyperlink w:anchor="sp_004">
              <w:r>
                <w:rPr>
                  <w:rStyle w:val="InternetLink"/>
                  <w:rFonts w:ascii="Times New Roman;Times;Serif" w:hAnsi="Times New Roman;Times;Serif"/>
                  <w:b w:val="false"/>
                  <w:i w:val="false"/>
                  <w:caps w:val="false"/>
                  <w:smallCaps w:val="false"/>
                  <w:sz w:val="20"/>
                </w:rPr>
                <w:t>Consolidated Statements of Operations for the Years ended December 31, 2025 and 2024</w:t>
              </w:r>
            </w:hyperlink>
          </w:p>
        </w:tc>
        <w:tc>
          <w:tcPr>
            <w:tcW w:w="41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F-5</w:t>
            </w:r>
          </w:p>
        </w:tc>
      </w:tr>
      <w:tr>
        <w:trPr/>
        <w:tc>
          <w:tcPr>
            <w:tcW w:w="8795" w:type="dxa"/>
            <w:tcBorders/>
            <w:shd w:fill="CCEEFF" w:val="clear"/>
            <w:vAlign w:val="center"/>
          </w:tcPr>
          <w:p>
            <w:pPr>
              <w:pStyle w:val="TableContents"/>
              <w:bidi w:val="0"/>
              <w:spacing w:before="0" w:after="283"/>
              <w:jc w:val="left"/>
              <w:rPr/>
            </w:pPr>
            <w:hyperlink w:anchor="sp_005">
              <w:r>
                <w:rPr>
                  <w:rStyle w:val="InternetLink"/>
                  <w:rFonts w:ascii="Times New Roman;Times;Serif" w:hAnsi="Times New Roman;Times;Serif"/>
                  <w:b w:val="false"/>
                  <w:i w:val="false"/>
                  <w:caps w:val="false"/>
                  <w:smallCaps w:val="false"/>
                  <w:sz w:val="20"/>
                </w:rPr>
                <w:t>Consolidated Statements of Stockholders’ Equity (Deficit) for the Years ended December 31, 2025 and 2024</w:t>
              </w:r>
            </w:hyperlink>
          </w:p>
        </w:tc>
        <w:tc>
          <w:tcPr>
            <w:tcW w:w="41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F-6</w:t>
            </w:r>
          </w:p>
        </w:tc>
      </w:tr>
      <w:tr>
        <w:trPr/>
        <w:tc>
          <w:tcPr>
            <w:tcW w:w="8795" w:type="dxa"/>
            <w:tcBorders/>
            <w:shd w:fill="FFFFFF" w:val="clear"/>
            <w:vAlign w:val="center"/>
          </w:tcPr>
          <w:p>
            <w:pPr>
              <w:pStyle w:val="TableContents"/>
              <w:bidi w:val="0"/>
              <w:spacing w:before="0" w:after="283"/>
              <w:jc w:val="left"/>
              <w:rPr/>
            </w:pPr>
            <w:hyperlink w:anchor="sp_006">
              <w:r>
                <w:rPr>
                  <w:rStyle w:val="InternetLink"/>
                  <w:rFonts w:ascii="Times New Roman;Times;Serif" w:hAnsi="Times New Roman;Times;Serif"/>
                  <w:b w:val="false"/>
                  <w:i w:val="false"/>
                  <w:caps w:val="false"/>
                  <w:smallCaps w:val="false"/>
                  <w:sz w:val="20"/>
                </w:rPr>
                <w:t>Consolidated Statements of Cash Flows for the Years ended December 31, 2025 and 2024</w:t>
              </w:r>
            </w:hyperlink>
          </w:p>
        </w:tc>
        <w:tc>
          <w:tcPr>
            <w:tcW w:w="41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F-8</w:t>
            </w:r>
          </w:p>
        </w:tc>
      </w:tr>
      <w:tr>
        <w:trPr/>
        <w:tc>
          <w:tcPr>
            <w:tcW w:w="8795" w:type="dxa"/>
            <w:tcBorders/>
            <w:shd w:fill="CCEEFF" w:val="clear"/>
            <w:vAlign w:val="center"/>
          </w:tcPr>
          <w:p>
            <w:pPr>
              <w:pStyle w:val="TableContents"/>
              <w:bidi w:val="0"/>
              <w:spacing w:before="0" w:after="283"/>
              <w:jc w:val="left"/>
              <w:rPr/>
            </w:pPr>
            <w:hyperlink w:anchor="sp_007">
              <w:r>
                <w:rPr>
                  <w:rStyle w:val="InternetLink"/>
                  <w:rFonts w:ascii="Times New Roman;Times;Serif" w:hAnsi="Times New Roman;Times;Serif"/>
                  <w:b w:val="false"/>
                  <w:i w:val="false"/>
                  <w:caps w:val="false"/>
                  <w:smallCaps w:val="false"/>
                  <w:sz w:val="20"/>
                </w:rPr>
                <w:t>Notes to the Consolidated Financial Statements</w:t>
              </w:r>
            </w:hyperlink>
          </w:p>
        </w:tc>
        <w:tc>
          <w:tcPr>
            <w:tcW w:w="41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F-10</w:t>
            </w:r>
          </w:p>
        </w:tc>
      </w:tr>
    </w:tbl>
    <w:p>
      <w:pPr>
        <w:pStyle w:val="TextBody"/>
        <w:bidi w:val="0"/>
        <w:spacing w:before="0" w:after="0"/>
        <w:ind w:left="0" w:right="0" w:hanging="0"/>
        <w:jc w:val="left"/>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2" w:name="sp_001"/>
      <w:bookmarkEnd w:id="22"/>
      <w:r>
        <w:rPr>
          <w:rFonts w:ascii="Times New Roman;Times;Serif" w:hAnsi="Times New Roman;Times;Serif"/>
          <w:b/>
          <w:i w:val="false"/>
          <w:caps w:val="false"/>
          <w:smallCaps w:val="false"/>
          <w:sz w:val="20"/>
        </w:rPr>
        <w:t>REPORT OF INDEPENDENT REGISTERED PUBLIC ACCOUNTING FIRM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Board of Directors and Stockholders,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Banzai International,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OPINION ON THE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the accompanying consolidated balance sheets of Banzai International, Inc. (the “Company”) as of December 31, 2025, and the related statements of operations, change in stockholders’ deficit, and cash flows for the year then ended December 31, 2025, and the related notes (collectively referred to as the “consolidated financial statements”). In our opinion, the consolidated financial statements present fairly, in all material respects, the financial position of the Company as of December 31, 2025, and the results of its operations and its cash flows for the year then ended December 31, 2025, in conformity with accounting principles generally accepted in the United States of America.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FOR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consolidated financial statements are the responsibility of the Company’s management. Our responsibility is to express an opinion on these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 provides a reasonable basis for our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Substantial Doubt about the Company’s Ability to Continue as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have been prepared assuming that the Company will continue as a going concern. As discussed in Note 2 to the consolidated financial statements, the entity has suffered recurring losses from operations and has a net capital deficiency that raise substantial doubt about its ability to continue as a going concern. Management’s plans in regard to these matters are also described in Note 2. The consolidated financial statements do not include any adjustments that might result from the outcome of this uncertainty.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Audit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Critical audit matters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judgements. We determined that the following is a critical audit matter:</w:t>
      </w:r>
    </w:p>
    <w:p>
      <w:pPr>
        <w:pStyle w:val="TextBody"/>
        <w:bidi w:val="0"/>
        <w:spacing w:before="0" w:after="0"/>
        <w:ind w:left="0" w:right="0" w:hanging="0"/>
        <w:jc w:val="both"/>
        <w:rPr>
          <w:caps w:val="false"/>
          <w:smallCaps w:val="false"/>
        </w:rPr>
      </w:pPr>
      <w:r>
        <w:rPr>
          <w:caps w:val="false"/>
          <w:smallCaps w:val="false"/>
        </w:rPr>
        <w:t> </w:t>
      </w:r>
    </w:p>
    <w:tbl>
      <w:tblPr>
        <w:tblW w:w="2763" w:type="dxa"/>
        <w:jc w:val="left"/>
        <w:tblInd w:w="0" w:type="dxa"/>
        <w:tblLayout w:type="fixed"/>
        <w:tblCellMar>
          <w:top w:w="0" w:type="dxa"/>
          <w:left w:w="0" w:type="dxa"/>
          <w:bottom w:w="0" w:type="dxa"/>
          <w:right w:w="0" w:type="dxa"/>
        </w:tblCellMar>
      </w:tblPr>
      <w:tblGrid>
        <w:gridCol w:w="38"/>
        <w:gridCol w:w="170"/>
        <w:gridCol w:w="25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25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Acquisition of Vidello Limited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described in Note 4 to the consolidated financial statements, the acquisition of Vidello Limited completed on January 31, 2025, whereby the Company paid to the Vidello Shareholders, $2,745,031 in cash, whereby $2,500,000 are withheld for indemnification expenses and other holdback provisions in accordance with the Vidello Merger Agreement, and issued 89,820 shares of Class A Common Stock together with the Cash Consideration, with allocation to identifiable assets, liabilities, and goodwill material to the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identified the accounting for this acquisition as a critical audit matter because of the significant judgment required by management in determining (1) valuing equity consideration; (2) Level 3 fair values for Vidello intangibles using unobservable inputs (discount rates, growth rates from preliminary data, comparables); (3) goodwill calculation as residual; (4) Contingent earn-outs/holdbacks scrutiny. Auditing these valuations required a high degree of auditor judgment as well as the involvement of our valuation specialists.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procedures related to the Company’s accounting for the acquisition included the following, among others: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Understand the transaction structure, acquisition date, and identify the acquirer.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Agree the total consideration (cash, shares, warrants, contingent/earn-out) to transaction documents and records.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Test the accounting and fair-value measurement of contingent/earn-out consideration,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Verify identification and fair-value allocation of identifiable assets (PP&amp;E, intangibles) and liabilities assumed.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Engaging our valuation specialists to assist in evaluating the appropriateness of the valuation methodologies and key assumptions (growth rates, discount rates, multiples, terminal value) in the client’s valuation report.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Test the underlying financial data (revenue, EBITDA, working capital) used in the valuation against Vidello’s financials.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Obtaining and reviewing the Stock Purchase Agreement and related documents to understand the terms and conditions of the transaction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Testing the mathematical accuracy of management’s calculations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Evaluating the adequacy of the Company’s disclosures related to the acquisition</w:t>
            </w:r>
          </w:p>
        </w:tc>
      </w:tr>
    </w:tbl>
    <w:p>
      <w:pPr>
        <w:pStyle w:val="TextBody"/>
        <w:bidi w:val="0"/>
        <w:spacing w:before="0" w:after="0"/>
        <w:ind w:left="0" w:right="0" w:hanging="0"/>
        <w:jc w:val="both"/>
        <w:rPr>
          <w:caps w:val="false"/>
          <w:smallCaps w:val="false"/>
        </w:rPr>
      </w:pPr>
      <w:r>
        <w:rPr>
          <w:caps w:val="false"/>
          <w:smallCaps w:val="false"/>
        </w:rPr>
        <w:t> </w:t>
      </w:r>
    </w:p>
    <w:tbl>
      <w:tblPr>
        <w:tblW w:w="7773" w:type="dxa"/>
        <w:jc w:val="left"/>
        <w:tblInd w:w="0" w:type="dxa"/>
        <w:tblLayout w:type="fixed"/>
        <w:tblCellMar>
          <w:top w:w="0" w:type="dxa"/>
          <w:left w:w="0" w:type="dxa"/>
          <w:bottom w:w="0" w:type="dxa"/>
          <w:right w:w="0" w:type="dxa"/>
        </w:tblCellMar>
      </w:tblPr>
      <w:tblGrid>
        <w:gridCol w:w="38"/>
        <w:gridCol w:w="170"/>
        <w:gridCol w:w="75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756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Value Measurement of Level 3 Financial Instruments and Acquisition-Related Assets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described in Note 7 to the consolidated financial statements, the Company has issued multiple debt and financing instruments, including convertible notes, warrants, and acquisition-related goodwill and definite-lived intangible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valuation of these liabilities requires the use of complex models (e.g., Monte Carlo simulations, Black-Scholes option pricing models, discounted cash flow models) and involves significant management judgment regarding volatility, discount rates, expected terms, credit spreads, and probability-weighted conversion outcomes. These estimates are subjective, involve high measurement uncertainty, and are material to the financial statements. Therefore, this matter required especially challenging auditor judgment.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procedures included, among others: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Reading and assessing the terms of the relevant agreements to confirm terms driving valuation inputs.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Testing the reasonableness of key valuation inputs by comparing management’s assumptions to observable market data, including interest rates, volatility benchmarks, and credit-risk information.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Engaging our valuation specialists to assist in evaluating the appropriateness of the valuation methodologies and independently developing fair value estimates to compare with management’s recorded amounts.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Testing the completeness and accuracy of the underlying data used in the valuation models.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Assessing the adequacy of related disclosures in the financial statements.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/s/Bush &amp; Associates CPA LLC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served as the Company’s auditor since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Las Vegas, Nevada</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31, 2026</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PCAOB ID Number 6797</w:t>
      </w:r>
    </w:p>
    <w:p>
      <w:pPr>
        <w:pStyle w:val="TextBody"/>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3" w:name="sp_002"/>
      <w:bookmarkEnd w:id="23"/>
      <w:r>
        <w:rPr>
          <w:rFonts w:ascii="Times New Roman;Times;Serif" w:hAnsi="Times New Roman;Times;Serif"/>
          <w:b/>
          <w:i w:val="false"/>
          <w:caps w:val="false"/>
          <w:smallCaps w:val="false"/>
          <w:sz w:val="20"/>
        </w:rPr>
        <w:t>Report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Shareholders and Board of Directors of</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Banzai International,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Opinion on the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the accompanying consolidated balance sheet of Banzai International, Inc. (the “Company”) as of December 31, 2024, the related consolidated statements of operations, stockholders’ equity (deficit) and cash flows for the year ended December 31, 2024, and the related notes (collectively referred to as the “financial statements”). In our opinion, based on our audit, the financial statements present fairly, in all material respects, the financial position of the Company as of December 31, 2024, and the results of its operations and its cash flows for the year ended December 31, 2024, in conformity with accounting principles generally accepted in the United States of America.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Paragraph –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have been prepared assuming that the Company will continue as a going concern. As more fully described in Note 2, the Company has a significant working capital deficiency, has incurred significant losses and needs to raise additional funds to meet its obligations and sustain its operations. These conditions raise substantial doubt about the Company’s ability to continue as a going concern. Management’s plans in regard to these matters are also described in Note 2. The consolidated financial statements do not include any adjustments that might result from the outcome of this uncertainty.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for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Marcum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Marcum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served as the Company’s auditor from 2023 to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Marlton, NJ</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15, 2025, except for Note 1 as to which the date is September 12, 2025</w:t>
      </w:r>
    </w:p>
    <w:p>
      <w:pPr>
        <w:pStyle w:val="TextBody"/>
        <w:bidi w:val="0"/>
        <w:spacing w:before="0" w:after="0"/>
        <w:ind w:left="0" w:right="0" w:hanging="0"/>
        <w:jc w:val="left"/>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4" w:name="sp_003"/>
      <w:bookmarkEnd w:id="24"/>
      <w:r>
        <w:rPr>
          <w:rFonts w:ascii="Times New Roman;Times;Serif" w:hAnsi="Times New Roman;Times;Serif"/>
          <w:b/>
          <w:i w:val="false"/>
          <w:caps w:val="false"/>
          <w:smallCaps w:val="false"/>
          <w:sz w:val="20"/>
        </w:rPr>
        <w:t>PART I</w:t>
      </w:r>
      <w:r>
        <w:rPr>
          <w:rFonts w:ascii="Times New Roman;Times;Serif" w:hAnsi="Times New Roman;Times;Serif"/>
          <w:b/>
          <w:i w:val="false"/>
          <w:caps w:val="false"/>
          <w:smallCaps w:val="false"/>
          <w:sz w:val="20"/>
          <w:shd w:fill="FFFFFF" w:val="clear"/>
        </w:rPr>
        <w:t>—FINANCIAL INFORMATION</w:t>
      </w:r>
    </w:p>
    <w:p>
      <w:pPr>
        <w:pStyle w:val="TextBody"/>
        <w:bidi w:val="0"/>
        <w:spacing w:before="0" w:after="0"/>
        <w:ind w:left="0" w:right="0" w:hanging="0"/>
        <w:jc w:val="center"/>
        <w:rPr>
          <w:caps w:val="false"/>
          <w:smallCaps w:val="false"/>
          <w:shd w:fill="FFFFFF" w:val="clear"/>
        </w:rPr>
      </w:pPr>
      <w:r>
        <w:rPr>
          <w:caps w:val="false"/>
          <w:smallCaps w:val="false"/>
          <w:shd w:fill="FFFFFF" w:val="clea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Balance Sheets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130"/>
        <w:gridCol w:w="60"/>
        <w:gridCol w:w="140"/>
        <w:gridCol w:w="1295"/>
        <w:gridCol w:w="95"/>
        <w:gridCol w:w="60"/>
        <w:gridCol w:w="140"/>
        <w:gridCol w:w="1175"/>
        <w:gridCol w:w="110"/>
      </w:tblGrid>
      <w:tr>
        <w:trPr/>
        <w:tc>
          <w:tcPr>
            <w:tcW w:w="71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10" w:type="dxa"/>
            <w:tcBorders/>
            <w:vAlign w:val="center"/>
          </w:tcPr>
          <w:p>
            <w:pPr>
              <w:pStyle w:val="TableContents"/>
              <w:bidi w:val="0"/>
              <w:spacing w:before="0" w:after="283"/>
              <w:jc w:val="left"/>
              <w:rPr/>
            </w:pPr>
            <w:r>
              <w:rPr/>
              <w:t> </w:t>
            </w:r>
          </w:p>
        </w:tc>
      </w:tr>
      <w:tr>
        <w:trPr/>
        <w:tc>
          <w:tcPr>
            <w:tcW w:w="7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0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 of December 31,</w:t>
            </w:r>
          </w:p>
        </w:tc>
        <w:tc>
          <w:tcPr>
            <w:tcW w:w="110" w:type="dxa"/>
            <w:tcBorders/>
            <w:vAlign w:val="center"/>
          </w:tcPr>
          <w:p>
            <w:pPr>
              <w:pStyle w:val="TableContents"/>
              <w:bidi w:val="0"/>
              <w:spacing w:before="0" w:after="283"/>
              <w:jc w:val="left"/>
              <w:rPr/>
            </w:pPr>
            <w:r>
              <w:rPr/>
              <w:t> </w:t>
            </w:r>
          </w:p>
        </w:tc>
      </w:tr>
      <w:tr>
        <w:trPr/>
        <w:tc>
          <w:tcPr>
            <w:tcW w:w="71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10" w:type="dxa"/>
            <w:tcBorders/>
            <w:vAlign w:val="center"/>
          </w:tcPr>
          <w:p>
            <w:pPr>
              <w:pStyle w:val="TableContents"/>
              <w:bidi w:val="0"/>
              <w:spacing w:before="0" w:after="283"/>
              <w:jc w:val="left"/>
              <w:rPr/>
            </w:pPr>
            <w:r>
              <w:rPr/>
              <w:t> </w:t>
            </w:r>
          </w:p>
        </w:tc>
      </w:tr>
      <w:tr>
        <w:trPr/>
        <w:tc>
          <w:tcPr>
            <w:tcW w:w="713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1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1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259,205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1,087,497</w:t>
            </w:r>
          </w:p>
        </w:tc>
        <w:tc>
          <w:tcPr>
            <w:tcW w:w="110" w:type="dxa"/>
            <w:tcBorders/>
            <w:shd w:fill="CCEEFF" w:val="clear"/>
            <w:vAlign w:val="center"/>
          </w:tcPr>
          <w:p>
            <w:pPr>
              <w:pStyle w:val="TableContents"/>
              <w:bidi w:val="0"/>
              <w:spacing w:before="0" w:after="283"/>
              <w:jc w:val="left"/>
              <w:rPr/>
            </w:pPr>
            <w:r>
              <w:rPr/>
              <w:t> </w:t>
            </w:r>
          </w:p>
        </w:tc>
      </w:tr>
      <w:tr>
        <w:trPr/>
        <w:tc>
          <w:tcPr>
            <w:tcW w:w="71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receivable, net of allowance for credit losses of $41,341 and $24,210, respectively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709,203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936,321</w:t>
            </w:r>
          </w:p>
        </w:tc>
        <w:tc>
          <w:tcPr>
            <w:tcW w:w="110" w:type="dxa"/>
            <w:tcBorders/>
            <w:shd w:fill="FFFFFF" w:val="clear"/>
            <w:vAlign w:val="center"/>
          </w:tcPr>
          <w:p>
            <w:pPr>
              <w:pStyle w:val="TableContents"/>
              <w:bidi w:val="0"/>
              <w:spacing w:before="0" w:after="283"/>
              <w:jc w:val="left"/>
              <w:rPr/>
            </w:pPr>
            <w:r>
              <w:rPr/>
              <w:t> </w:t>
            </w:r>
          </w:p>
        </w:tc>
      </w:tr>
      <w:tr>
        <w:trPr/>
        <w:tc>
          <w:tcPr>
            <w:tcW w:w="71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445,089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643,674</w:t>
            </w:r>
          </w:p>
        </w:tc>
        <w:tc>
          <w:tcPr>
            <w:tcW w:w="110" w:type="dxa"/>
            <w:tcBorders/>
            <w:shd w:fill="CCEEFF" w:val="clear"/>
            <w:vAlign w:val="center"/>
          </w:tcPr>
          <w:p>
            <w:pPr>
              <w:pStyle w:val="TableContents"/>
              <w:bidi w:val="0"/>
              <w:spacing w:before="0" w:after="283"/>
              <w:jc w:val="left"/>
              <w:rPr/>
            </w:pPr>
            <w:r>
              <w:rPr/>
              <w:t> </w:t>
            </w:r>
          </w:p>
        </w:tc>
      </w:tr>
      <w:tr>
        <w:trPr/>
        <w:tc>
          <w:tcPr>
            <w:tcW w:w="71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1,413,497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2,667,492</w:t>
            </w:r>
          </w:p>
        </w:tc>
        <w:tc>
          <w:tcPr>
            <w:tcW w:w="110" w:type="dxa"/>
            <w:tcBorders/>
            <w:shd w:fill="FFFFFF" w:val="clear"/>
            <w:vAlign w:val="center"/>
          </w:tcPr>
          <w:p>
            <w:pPr>
              <w:pStyle w:val="TableContents"/>
              <w:bidi w:val="0"/>
              <w:spacing w:before="0" w:after="283"/>
              <w:jc w:val="left"/>
              <w:rPr/>
            </w:pPr>
            <w:r>
              <w:rPr/>
              <w:t> </w:t>
            </w:r>
          </w:p>
        </w:tc>
      </w:tr>
      <w:tr>
        <w:trPr/>
        <w:tc>
          <w:tcPr>
            <w:tcW w:w="71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1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Property and equipment,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3,539</w:t>
            </w:r>
          </w:p>
        </w:tc>
        <w:tc>
          <w:tcPr>
            <w:tcW w:w="110" w:type="dxa"/>
            <w:tcBorders/>
            <w:shd w:fill="FFFFFF" w:val="clear"/>
            <w:vAlign w:val="center"/>
          </w:tcPr>
          <w:p>
            <w:pPr>
              <w:pStyle w:val="TableContents"/>
              <w:bidi w:val="0"/>
              <w:spacing w:before="0" w:after="283"/>
              <w:jc w:val="left"/>
              <w:rPr/>
            </w:pPr>
            <w:r>
              <w:rPr/>
              <w:t> </w:t>
            </w:r>
          </w:p>
        </w:tc>
      </w:tr>
      <w:tr>
        <w:trPr/>
        <w:tc>
          <w:tcPr>
            <w:tcW w:w="71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Intangible assets,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8,027,391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3,883,853</w:t>
            </w:r>
          </w:p>
        </w:tc>
        <w:tc>
          <w:tcPr>
            <w:tcW w:w="110" w:type="dxa"/>
            <w:tcBorders/>
            <w:shd w:fill="CCEEFF" w:val="clear"/>
            <w:vAlign w:val="center"/>
          </w:tcPr>
          <w:p>
            <w:pPr>
              <w:pStyle w:val="TableContents"/>
              <w:bidi w:val="0"/>
              <w:spacing w:before="0" w:after="283"/>
              <w:jc w:val="left"/>
              <w:rPr/>
            </w:pPr>
            <w:r>
              <w:rPr/>
              <w:t> </w:t>
            </w:r>
          </w:p>
        </w:tc>
      </w:tr>
      <w:tr>
        <w:trPr/>
        <w:tc>
          <w:tcPr>
            <w:tcW w:w="71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Goodwill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21,991,721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18,972,475</w:t>
            </w:r>
          </w:p>
        </w:tc>
        <w:tc>
          <w:tcPr>
            <w:tcW w:w="110" w:type="dxa"/>
            <w:tcBorders/>
            <w:shd w:fill="FFFFFF" w:val="clear"/>
            <w:vAlign w:val="center"/>
          </w:tcPr>
          <w:p>
            <w:pPr>
              <w:pStyle w:val="TableContents"/>
              <w:bidi w:val="0"/>
              <w:spacing w:before="0" w:after="283"/>
              <w:jc w:val="left"/>
              <w:rPr/>
            </w:pPr>
            <w:r>
              <w:rPr/>
              <w:t> </w:t>
            </w:r>
          </w:p>
        </w:tc>
      </w:tr>
      <w:tr>
        <w:trPr/>
        <w:tc>
          <w:tcPr>
            <w:tcW w:w="71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 right-of-use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55,871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72,565</w:t>
            </w:r>
          </w:p>
        </w:tc>
        <w:tc>
          <w:tcPr>
            <w:tcW w:w="110" w:type="dxa"/>
            <w:tcBorders/>
            <w:shd w:fill="CCEEFF" w:val="clear"/>
            <w:vAlign w:val="center"/>
          </w:tcPr>
          <w:p>
            <w:pPr>
              <w:pStyle w:val="TableContents"/>
              <w:bidi w:val="0"/>
              <w:spacing w:before="0" w:after="283"/>
              <w:jc w:val="left"/>
              <w:rPr/>
            </w:pPr>
            <w:r>
              <w:rPr/>
              <w:t> </w:t>
            </w:r>
          </w:p>
        </w:tc>
      </w:tr>
      <w:tr>
        <w:trPr/>
        <w:tc>
          <w:tcPr>
            <w:tcW w:w="71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Bifurcated embedded derivative asset – related party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63,000</w:t>
            </w:r>
          </w:p>
        </w:tc>
        <w:tc>
          <w:tcPr>
            <w:tcW w:w="110" w:type="dxa"/>
            <w:tcBorders/>
            <w:shd w:fill="FFFFFF" w:val="clear"/>
            <w:vAlign w:val="center"/>
          </w:tcPr>
          <w:p>
            <w:pPr>
              <w:pStyle w:val="TableContents"/>
              <w:bidi w:val="0"/>
              <w:spacing w:before="0" w:after="283"/>
              <w:jc w:val="left"/>
              <w:rPr/>
            </w:pPr>
            <w:r>
              <w:rPr/>
              <w:t> </w:t>
            </w:r>
          </w:p>
        </w:tc>
      </w:tr>
      <w:tr>
        <w:trPr/>
        <w:tc>
          <w:tcPr>
            <w:tcW w:w="71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offering costs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121,788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71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11,154</w:t>
            </w:r>
          </w:p>
        </w:tc>
        <w:tc>
          <w:tcPr>
            <w:tcW w:w="110" w:type="dxa"/>
            <w:tcBorders/>
            <w:shd w:fill="FFFFFF" w:val="clear"/>
            <w:vAlign w:val="center"/>
          </w:tcPr>
          <w:p>
            <w:pPr>
              <w:pStyle w:val="TableContents"/>
              <w:bidi w:val="0"/>
              <w:spacing w:before="0" w:after="283"/>
              <w:jc w:val="left"/>
              <w:rPr/>
            </w:pPr>
            <w:r>
              <w:rPr/>
              <w:t> </w:t>
            </w:r>
          </w:p>
        </w:tc>
      </w:tr>
      <w:tr>
        <w:trPr/>
        <w:tc>
          <w:tcPr>
            <w:tcW w:w="71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31,631,514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25,674,078</w:t>
            </w:r>
          </w:p>
        </w:tc>
        <w:tc>
          <w:tcPr>
            <w:tcW w:w="110" w:type="dxa"/>
            <w:tcBorders/>
            <w:shd w:fill="CCEEFF" w:val="clear"/>
            <w:vAlign w:val="center"/>
          </w:tcPr>
          <w:p>
            <w:pPr>
              <w:pStyle w:val="TableContents"/>
              <w:bidi w:val="0"/>
              <w:spacing w:before="0" w:after="283"/>
              <w:jc w:val="left"/>
              <w:rPr/>
            </w:pPr>
            <w:r>
              <w:rPr/>
              <w:t> </w:t>
            </w:r>
          </w:p>
        </w:tc>
      </w:tr>
      <w:tr>
        <w:trPr/>
        <w:tc>
          <w:tcPr>
            <w:tcW w:w="71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13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LIABILITIES AND STOCKHOLDERS’ EQUITY (DEFICIT)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1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1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2,494,451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7,782,746</w:t>
            </w:r>
          </w:p>
        </w:tc>
        <w:tc>
          <w:tcPr>
            <w:tcW w:w="110" w:type="dxa"/>
            <w:tcBorders/>
            <w:shd w:fill="CCEEFF" w:val="clear"/>
            <w:vAlign w:val="center"/>
          </w:tcPr>
          <w:p>
            <w:pPr>
              <w:pStyle w:val="TableContents"/>
              <w:bidi w:val="0"/>
              <w:spacing w:before="0" w:after="283"/>
              <w:jc w:val="left"/>
              <w:rPr/>
            </w:pPr>
            <w:r>
              <w:rPr/>
              <w:t> </w:t>
            </w:r>
          </w:p>
        </w:tc>
      </w:tr>
      <w:tr>
        <w:trPr/>
        <w:tc>
          <w:tcPr>
            <w:tcW w:w="71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expenses and other 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4,353,943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3,891,018</w:t>
            </w:r>
          </w:p>
        </w:tc>
        <w:tc>
          <w:tcPr>
            <w:tcW w:w="110" w:type="dxa"/>
            <w:tcBorders/>
            <w:shd w:fill="FFFFFF" w:val="clear"/>
            <w:vAlign w:val="center"/>
          </w:tcPr>
          <w:p>
            <w:pPr>
              <w:pStyle w:val="TableContents"/>
              <w:bidi w:val="0"/>
              <w:spacing w:before="0" w:after="283"/>
              <w:jc w:val="left"/>
              <w:rPr/>
            </w:pPr>
            <w:r>
              <w:rPr/>
              <w:t> </w:t>
            </w:r>
          </w:p>
        </w:tc>
      </w:tr>
      <w:tr>
        <w:trPr/>
        <w:tc>
          <w:tcPr>
            <w:tcW w:w="71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Convertible notes – related party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4,922,601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8,639,701</w:t>
            </w:r>
          </w:p>
        </w:tc>
        <w:tc>
          <w:tcPr>
            <w:tcW w:w="110" w:type="dxa"/>
            <w:tcBorders/>
            <w:shd w:fill="CCEEFF" w:val="clear"/>
            <w:vAlign w:val="center"/>
          </w:tcPr>
          <w:p>
            <w:pPr>
              <w:pStyle w:val="TableContents"/>
              <w:bidi w:val="0"/>
              <w:spacing w:before="0" w:after="283"/>
              <w:jc w:val="left"/>
              <w:rPr/>
            </w:pPr>
            <w:r>
              <w:rPr/>
              <w:t> </w:t>
            </w:r>
          </w:p>
        </w:tc>
      </w:tr>
      <w:tr>
        <w:trPr/>
        <w:tc>
          <w:tcPr>
            <w:tcW w:w="71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Convertible notes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215,057</w:t>
            </w:r>
          </w:p>
        </w:tc>
        <w:tc>
          <w:tcPr>
            <w:tcW w:w="110" w:type="dxa"/>
            <w:tcBorders/>
            <w:shd w:fill="FFFFFF" w:val="clear"/>
            <w:vAlign w:val="center"/>
          </w:tcPr>
          <w:p>
            <w:pPr>
              <w:pStyle w:val="TableContents"/>
              <w:bidi w:val="0"/>
              <w:spacing w:before="0" w:after="283"/>
              <w:jc w:val="left"/>
              <w:rPr/>
            </w:pPr>
            <w:r>
              <w:rPr/>
              <w:t> </w:t>
            </w:r>
          </w:p>
        </w:tc>
      </w:tr>
      <w:tr>
        <w:trPr/>
        <w:tc>
          <w:tcPr>
            <w:tcW w:w="71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Convertible notes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215,057</w:t>
            </w:r>
          </w:p>
        </w:tc>
        <w:tc>
          <w:tcPr>
            <w:tcW w:w="110" w:type="dxa"/>
            <w:tcBorders/>
            <w:shd w:fill="FFFFFF" w:val="clear"/>
            <w:vAlign w:val="center"/>
          </w:tcPr>
          <w:p>
            <w:pPr>
              <w:pStyle w:val="TableContents"/>
              <w:bidi w:val="0"/>
              <w:spacing w:before="0" w:after="283"/>
              <w:jc w:val="left"/>
              <w:rPr/>
            </w:pPr>
            <w:r>
              <w:rPr/>
              <w:t> </w:t>
            </w:r>
          </w:p>
        </w:tc>
      </w:tr>
      <w:tr>
        <w:trPr/>
        <w:tc>
          <w:tcPr>
            <w:tcW w:w="71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Convertible notes, carried at fair value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1,856,000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71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Convertible notes (Yorkville)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1,200,501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71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Notes payable, carried at fair value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2,591,310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3,575,000</w:t>
            </w:r>
          </w:p>
        </w:tc>
        <w:tc>
          <w:tcPr>
            <w:tcW w:w="110" w:type="dxa"/>
            <w:tcBorders/>
            <w:shd w:fill="CCEEFF" w:val="clear"/>
            <w:vAlign w:val="center"/>
          </w:tcPr>
          <w:p>
            <w:pPr>
              <w:pStyle w:val="TableContents"/>
              <w:bidi w:val="0"/>
              <w:spacing w:before="0" w:after="283"/>
              <w:jc w:val="left"/>
              <w:rPr/>
            </w:pPr>
            <w:r>
              <w:rPr/>
              <w:t> </w:t>
            </w:r>
          </w:p>
        </w:tc>
      </w:tr>
      <w:tr>
        <w:trPr/>
        <w:tc>
          <w:tcPr>
            <w:tcW w:w="71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Warrant liability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15,000</w:t>
            </w:r>
          </w:p>
        </w:tc>
        <w:tc>
          <w:tcPr>
            <w:tcW w:w="110" w:type="dxa"/>
            <w:tcBorders/>
            <w:shd w:fill="FFFFFF" w:val="clear"/>
            <w:vAlign w:val="center"/>
          </w:tcPr>
          <w:p>
            <w:pPr>
              <w:pStyle w:val="TableContents"/>
              <w:bidi w:val="0"/>
              <w:spacing w:before="0" w:after="283"/>
              <w:jc w:val="left"/>
              <w:rPr/>
            </w:pPr>
            <w:r>
              <w:rPr/>
              <w:t> </w:t>
            </w:r>
          </w:p>
        </w:tc>
      </w:tr>
      <w:tr>
        <w:trPr/>
        <w:tc>
          <w:tcPr>
            <w:tcW w:w="71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Warrant liability – related party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2,300</w:t>
            </w:r>
          </w:p>
        </w:tc>
        <w:tc>
          <w:tcPr>
            <w:tcW w:w="110" w:type="dxa"/>
            <w:tcBorders/>
            <w:shd w:fill="CCEEFF" w:val="clear"/>
            <w:vAlign w:val="center"/>
          </w:tcPr>
          <w:p>
            <w:pPr>
              <w:pStyle w:val="TableContents"/>
              <w:bidi w:val="0"/>
              <w:spacing w:before="0" w:after="283"/>
              <w:jc w:val="left"/>
              <w:rPr/>
            </w:pPr>
            <w:r>
              <w:rPr/>
              <w:t> </w:t>
            </w:r>
          </w:p>
        </w:tc>
      </w:tr>
      <w:tr>
        <w:trPr/>
        <w:tc>
          <w:tcPr>
            <w:tcW w:w="71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Warrant liability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2,300</w:t>
            </w:r>
          </w:p>
        </w:tc>
        <w:tc>
          <w:tcPr>
            <w:tcW w:w="110" w:type="dxa"/>
            <w:tcBorders/>
            <w:shd w:fill="CCEEFF" w:val="clear"/>
            <w:vAlign w:val="center"/>
          </w:tcPr>
          <w:p>
            <w:pPr>
              <w:pStyle w:val="TableContents"/>
              <w:bidi w:val="0"/>
              <w:spacing w:before="0" w:after="283"/>
              <w:jc w:val="left"/>
              <w:rPr/>
            </w:pPr>
            <w:r>
              <w:rPr/>
              <w:t> </w:t>
            </w:r>
          </w:p>
        </w:tc>
      </w:tr>
      <w:tr>
        <w:trPr/>
        <w:tc>
          <w:tcPr>
            <w:tcW w:w="71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Private placement warrant liability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295,603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71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Earnout liability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990,673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14,850</w:t>
            </w:r>
          </w:p>
        </w:tc>
        <w:tc>
          <w:tcPr>
            <w:tcW w:w="110" w:type="dxa"/>
            <w:tcBorders/>
            <w:shd w:fill="CCEEFF" w:val="clear"/>
            <w:vAlign w:val="center"/>
          </w:tcPr>
          <w:p>
            <w:pPr>
              <w:pStyle w:val="TableContents"/>
              <w:bidi w:val="0"/>
              <w:spacing w:before="0" w:after="283"/>
              <w:jc w:val="left"/>
              <w:rPr/>
            </w:pPr>
            <w:r>
              <w:rPr/>
              <w:t> </w:t>
            </w:r>
          </w:p>
        </w:tc>
      </w:tr>
      <w:tr>
        <w:trPr/>
        <w:tc>
          <w:tcPr>
            <w:tcW w:w="71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Due to related party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167,118</w:t>
            </w:r>
          </w:p>
        </w:tc>
        <w:tc>
          <w:tcPr>
            <w:tcW w:w="110" w:type="dxa"/>
            <w:tcBorders/>
            <w:shd w:fill="FFFFFF" w:val="clear"/>
            <w:vAlign w:val="center"/>
          </w:tcPr>
          <w:p>
            <w:pPr>
              <w:pStyle w:val="TableContents"/>
              <w:bidi w:val="0"/>
              <w:spacing w:before="0" w:after="283"/>
              <w:jc w:val="left"/>
              <w:rPr/>
            </w:pPr>
            <w:r>
              <w:rPr/>
              <w:t> </w:t>
            </w:r>
          </w:p>
        </w:tc>
      </w:tr>
      <w:tr>
        <w:trPr/>
        <w:tc>
          <w:tcPr>
            <w:tcW w:w="71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revenue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3,642,527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3,934,627</w:t>
            </w:r>
          </w:p>
        </w:tc>
        <w:tc>
          <w:tcPr>
            <w:tcW w:w="110" w:type="dxa"/>
            <w:tcBorders/>
            <w:shd w:fill="CCEEFF" w:val="clear"/>
            <w:vAlign w:val="center"/>
          </w:tcPr>
          <w:p>
            <w:pPr>
              <w:pStyle w:val="TableContents"/>
              <w:bidi w:val="0"/>
              <w:spacing w:before="0" w:after="283"/>
              <w:jc w:val="left"/>
              <w:rPr/>
            </w:pPr>
            <w:r>
              <w:rPr/>
              <w:t> </w:t>
            </w:r>
          </w:p>
        </w:tc>
      </w:tr>
      <w:tr>
        <w:trPr/>
        <w:tc>
          <w:tcPr>
            <w:tcW w:w="71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 liabilities, current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22,823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22,731</w:t>
            </w:r>
          </w:p>
        </w:tc>
        <w:tc>
          <w:tcPr>
            <w:tcW w:w="110" w:type="dxa"/>
            <w:tcBorders/>
            <w:shd w:fill="FFFFFF" w:val="clear"/>
            <w:vAlign w:val="center"/>
          </w:tcPr>
          <w:p>
            <w:pPr>
              <w:pStyle w:val="TableContents"/>
              <w:bidi w:val="0"/>
              <w:spacing w:before="0" w:after="283"/>
              <w:jc w:val="left"/>
              <w:rPr/>
            </w:pPr>
            <w:r>
              <w:rPr/>
              <w:t> </w:t>
            </w:r>
          </w:p>
        </w:tc>
      </w:tr>
      <w:tr>
        <w:trPr/>
        <w:tc>
          <w:tcPr>
            <w:tcW w:w="71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22,370,810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28,260,148</w:t>
            </w:r>
          </w:p>
        </w:tc>
        <w:tc>
          <w:tcPr>
            <w:tcW w:w="110" w:type="dxa"/>
            <w:tcBorders/>
            <w:shd w:fill="CCEEFF" w:val="clear"/>
            <w:vAlign w:val="center"/>
          </w:tcPr>
          <w:p>
            <w:pPr>
              <w:pStyle w:val="TableContents"/>
              <w:bidi w:val="0"/>
              <w:spacing w:before="0" w:after="283"/>
              <w:jc w:val="left"/>
              <w:rPr/>
            </w:pPr>
            <w:r>
              <w:rPr/>
              <w:t> </w:t>
            </w:r>
          </w:p>
        </w:tc>
      </w:tr>
      <w:tr>
        <w:trPr/>
        <w:tc>
          <w:tcPr>
            <w:tcW w:w="71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1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revenue, non-current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93,726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117,643</w:t>
            </w:r>
          </w:p>
        </w:tc>
        <w:tc>
          <w:tcPr>
            <w:tcW w:w="110" w:type="dxa"/>
            <w:tcBorders/>
            <w:shd w:fill="CCEEFF" w:val="clear"/>
            <w:vAlign w:val="center"/>
          </w:tcPr>
          <w:p>
            <w:pPr>
              <w:pStyle w:val="TableContents"/>
              <w:bidi w:val="0"/>
              <w:spacing w:before="0" w:after="283"/>
              <w:jc w:val="left"/>
              <w:rPr/>
            </w:pPr>
            <w:r>
              <w:rPr/>
              <w:t> </w:t>
            </w:r>
          </w:p>
        </w:tc>
      </w:tr>
      <w:tr>
        <w:trPr/>
        <w:tc>
          <w:tcPr>
            <w:tcW w:w="71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tax liability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1,078,055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10,115</w:t>
            </w:r>
          </w:p>
        </w:tc>
        <w:tc>
          <w:tcPr>
            <w:tcW w:w="110" w:type="dxa"/>
            <w:tcBorders/>
            <w:shd w:fill="FFFFFF" w:val="clear"/>
            <w:vAlign w:val="center"/>
          </w:tcPr>
          <w:p>
            <w:pPr>
              <w:pStyle w:val="TableContents"/>
              <w:bidi w:val="0"/>
              <w:spacing w:before="0" w:after="283"/>
              <w:jc w:val="left"/>
              <w:rPr/>
            </w:pPr>
            <w:r>
              <w:rPr/>
              <w:t> </w:t>
            </w:r>
          </w:p>
        </w:tc>
      </w:tr>
      <w:tr>
        <w:trPr/>
        <w:tc>
          <w:tcPr>
            <w:tcW w:w="71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 liabilities, non-current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33,922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49,974</w:t>
            </w:r>
          </w:p>
        </w:tc>
        <w:tc>
          <w:tcPr>
            <w:tcW w:w="110" w:type="dxa"/>
            <w:tcBorders/>
            <w:shd w:fill="CCEEFF" w:val="clear"/>
            <w:vAlign w:val="center"/>
          </w:tcPr>
          <w:p>
            <w:pPr>
              <w:pStyle w:val="TableContents"/>
              <w:bidi w:val="0"/>
              <w:spacing w:before="0" w:after="283"/>
              <w:jc w:val="left"/>
              <w:rPr/>
            </w:pPr>
            <w:r>
              <w:rPr/>
              <w:t> </w:t>
            </w:r>
          </w:p>
        </w:tc>
      </w:tr>
      <w:tr>
        <w:trPr/>
        <w:tc>
          <w:tcPr>
            <w:tcW w:w="71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23,576,513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28,437,880</w:t>
            </w:r>
          </w:p>
        </w:tc>
        <w:tc>
          <w:tcPr>
            <w:tcW w:w="110" w:type="dxa"/>
            <w:tcBorders/>
            <w:shd w:fill="FFFFFF" w:val="clear"/>
            <w:vAlign w:val="center"/>
          </w:tcPr>
          <w:p>
            <w:pPr>
              <w:pStyle w:val="TableContents"/>
              <w:bidi w:val="0"/>
              <w:spacing w:before="0" w:after="283"/>
              <w:jc w:val="left"/>
              <w:rPr/>
            </w:pPr>
            <w:r>
              <w:rPr/>
              <w:t> </w:t>
            </w:r>
          </w:p>
        </w:tc>
      </w:tr>
      <w:tr>
        <w:trPr/>
        <w:tc>
          <w:tcPr>
            <w:tcW w:w="71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1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Commitments and contingencies (Note 15)</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 </w:t>
            </w:r>
          </w:p>
        </w:tc>
        <w:tc>
          <w:tcPr>
            <w:tcW w:w="110" w:type="dxa"/>
            <w:tcBorders/>
            <w:shd w:fill="FFFFFF" w:val="clear"/>
            <w:vAlign w:val="center"/>
          </w:tcPr>
          <w:p>
            <w:pPr>
              <w:pStyle w:val="TableContents"/>
              <w:bidi w:val="0"/>
              <w:spacing w:before="0" w:after="283"/>
              <w:jc w:val="left"/>
              <w:rPr/>
            </w:pPr>
            <w:r>
              <w:rPr/>
              <w:t> </w:t>
            </w:r>
          </w:p>
        </w:tc>
      </w:tr>
      <w:tr>
        <w:trPr/>
        <w:tc>
          <w:tcPr>
            <w:tcW w:w="71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1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Stockholders’ equity (deficit):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1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Common stock, $0.0001 par value, 275,000,000 (250,000,000 Class A and 25,000,000 Class B) shares authorized and 10,546,333 (10,315,219 Class A and 231,114 Class B) and 819,516 (588,402 Class A and 231,114 Class B) shares issued and outstanding at December 31, 2025 and 2024, respectively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w:t>
            </w:r>
          </w:p>
        </w:tc>
        <w:tc>
          <w:tcPr>
            <w:tcW w:w="110" w:type="dxa"/>
            <w:tcBorders/>
            <w:shd w:fill="CCEEFF" w:val="clear"/>
            <w:vAlign w:val="center"/>
          </w:tcPr>
          <w:p>
            <w:pPr>
              <w:pStyle w:val="TableContents"/>
              <w:bidi w:val="0"/>
              <w:spacing w:before="0" w:after="283"/>
              <w:jc w:val="left"/>
              <w:rPr/>
            </w:pPr>
            <w:r>
              <w:rPr/>
              <w:t> </w:t>
            </w:r>
          </w:p>
        </w:tc>
      </w:tr>
      <w:tr>
        <w:trPr/>
        <w:tc>
          <w:tcPr>
            <w:tcW w:w="71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Preferred stock, $0.0001 par value, 75,000,000 shares authorized, 1 and 1 shares issued and outstanding at December 31, 2025 and 2024, respectively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71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Additional paid-in capital</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108,911,110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75,515,829</w:t>
            </w:r>
          </w:p>
        </w:tc>
        <w:tc>
          <w:tcPr>
            <w:tcW w:w="110" w:type="dxa"/>
            <w:tcBorders/>
            <w:shd w:fill="CCEEFF" w:val="clear"/>
            <w:vAlign w:val="center"/>
          </w:tcPr>
          <w:p>
            <w:pPr>
              <w:pStyle w:val="TableContents"/>
              <w:bidi w:val="0"/>
              <w:spacing w:before="0" w:after="283"/>
              <w:jc w:val="left"/>
              <w:rPr/>
            </w:pPr>
            <w:r>
              <w:rPr/>
              <w:t> </w:t>
            </w:r>
          </w:p>
        </w:tc>
      </w:tr>
      <w:tr>
        <w:trPr/>
        <w:tc>
          <w:tcPr>
            <w:tcW w:w="71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Accumulated other comprehensive (loss) income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(85,377</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71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Accumulated deficit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(100,771,787</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(78,279,713</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1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Stockholders’ equity (deficit)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8,055,001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(2,763,802</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1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liabilities and stockholders’ equity (deficit)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9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31,631,514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25,674,078</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5" w:name="sp_004"/>
      <w:bookmarkEnd w:id="25"/>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Operations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523"/>
        <w:gridCol w:w="60"/>
        <w:gridCol w:w="175"/>
        <w:gridCol w:w="1482"/>
        <w:gridCol w:w="119"/>
        <w:gridCol w:w="74"/>
        <w:gridCol w:w="175"/>
        <w:gridCol w:w="1482"/>
        <w:gridCol w:w="115"/>
      </w:tblGrid>
      <w:tr>
        <w:trPr/>
        <w:tc>
          <w:tcPr>
            <w:tcW w:w="652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65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19"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65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15" w:type="dxa"/>
            <w:tcBorders/>
            <w:vAlign w:val="center"/>
          </w:tcPr>
          <w:p>
            <w:pPr>
              <w:pStyle w:val="TableContents"/>
              <w:bidi w:val="0"/>
              <w:spacing w:before="0" w:after="283"/>
              <w:jc w:val="left"/>
              <w:rPr/>
            </w:pPr>
            <w:r>
              <w:rPr/>
              <w:t> </w:t>
            </w:r>
          </w:p>
        </w:tc>
      </w:tr>
      <w:tr>
        <w:trPr/>
        <w:tc>
          <w:tcPr>
            <w:tcW w:w="652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507"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For the Years Ended December 31,</w:t>
            </w:r>
          </w:p>
        </w:tc>
        <w:tc>
          <w:tcPr>
            <w:tcW w:w="115" w:type="dxa"/>
            <w:tcBorders/>
            <w:vAlign w:val="center"/>
          </w:tcPr>
          <w:p>
            <w:pPr>
              <w:pStyle w:val="TableContents"/>
              <w:bidi w:val="0"/>
              <w:spacing w:before="0" w:after="283"/>
              <w:jc w:val="left"/>
              <w:rPr/>
            </w:pPr>
            <w:r>
              <w:rPr/>
              <w:t> </w:t>
            </w:r>
          </w:p>
        </w:tc>
      </w:tr>
      <w:tr>
        <w:trPr/>
        <w:tc>
          <w:tcPr>
            <w:tcW w:w="652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65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19"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65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15" w:type="dxa"/>
            <w:tcBorders/>
            <w:vAlign w:val="center"/>
          </w:tcPr>
          <w:p>
            <w:pPr>
              <w:pStyle w:val="TableContents"/>
              <w:bidi w:val="0"/>
              <w:spacing w:before="0" w:after="283"/>
              <w:jc w:val="left"/>
              <w:rPr/>
            </w:pPr>
            <w:r>
              <w:rPr/>
              <w:t> </w:t>
            </w:r>
          </w:p>
        </w:tc>
      </w:tr>
      <w:tr>
        <w:trPr/>
        <w:tc>
          <w:tcPr>
            <w:tcW w:w="652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income:</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pPr>
            <w:r>
              <w:rPr/>
              <w:t> </w:t>
            </w:r>
          </w:p>
        </w:tc>
        <w:tc>
          <w:tcPr>
            <w:tcW w:w="11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r>
      <w:tr>
        <w:trPr/>
        <w:tc>
          <w:tcPr>
            <w:tcW w:w="652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Revenue</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8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12,161,419</w:t>
            </w:r>
          </w:p>
        </w:tc>
        <w:tc>
          <w:tcPr>
            <w:tcW w:w="119"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8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4,527,879</w:t>
            </w:r>
          </w:p>
        </w:tc>
        <w:tc>
          <w:tcPr>
            <w:tcW w:w="115" w:type="dxa"/>
            <w:tcBorders/>
            <w:shd w:fill="FFFFFF" w:val="clear"/>
            <w:vAlign w:val="center"/>
          </w:tcPr>
          <w:p>
            <w:pPr>
              <w:pStyle w:val="TableContents"/>
              <w:bidi w:val="0"/>
              <w:spacing w:before="0" w:after="283"/>
              <w:jc w:val="left"/>
              <w:rPr/>
            </w:pPr>
            <w:r>
              <w:rPr/>
              <w:t> </w:t>
            </w:r>
          </w:p>
        </w:tc>
      </w:tr>
      <w:tr>
        <w:trPr/>
        <w:tc>
          <w:tcPr>
            <w:tcW w:w="652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Cost of revenue</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8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2,188,583</w:t>
            </w:r>
          </w:p>
        </w:tc>
        <w:tc>
          <w:tcPr>
            <w:tcW w:w="11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8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1,422,542</w:t>
            </w:r>
          </w:p>
        </w:tc>
        <w:tc>
          <w:tcPr>
            <w:tcW w:w="115" w:type="dxa"/>
            <w:tcBorders/>
            <w:shd w:fill="CCEEFF" w:val="clear"/>
            <w:vAlign w:val="center"/>
          </w:tcPr>
          <w:p>
            <w:pPr>
              <w:pStyle w:val="TableContents"/>
              <w:bidi w:val="0"/>
              <w:spacing w:before="0" w:after="283"/>
              <w:jc w:val="left"/>
              <w:rPr/>
            </w:pPr>
            <w:r>
              <w:rPr/>
              <w:t> </w:t>
            </w:r>
          </w:p>
        </w:tc>
      </w:tr>
      <w:tr>
        <w:trPr/>
        <w:tc>
          <w:tcPr>
            <w:tcW w:w="652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Gross profit</w:t>
            </w:r>
          </w:p>
        </w:tc>
        <w:tc>
          <w:tcPr>
            <w:tcW w:w="60" w:type="dxa"/>
            <w:tcBorders/>
            <w:shd w:fill="FFFFFF" w:val="clear"/>
            <w:vAlign w:val="center"/>
          </w:tcPr>
          <w:p>
            <w:pPr>
              <w:pStyle w:val="TableContents"/>
              <w:bidi w:val="0"/>
              <w:spacing w:before="0" w:after="283"/>
              <w:jc w:val="left"/>
              <w:rPr/>
            </w:pPr>
            <w:r>
              <w:rPr/>
              <w:t> </w:t>
            </w:r>
          </w:p>
        </w:tc>
        <w:tc>
          <w:tcPr>
            <w:tcW w:w="1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8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9,972,836</w:t>
            </w:r>
          </w:p>
        </w:tc>
        <w:tc>
          <w:tcPr>
            <w:tcW w:w="119"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8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3,105,337</w:t>
            </w:r>
          </w:p>
        </w:tc>
        <w:tc>
          <w:tcPr>
            <w:tcW w:w="115" w:type="dxa"/>
            <w:tcBorders/>
            <w:shd w:fill="FFFFFF" w:val="clear"/>
            <w:vAlign w:val="center"/>
          </w:tcPr>
          <w:p>
            <w:pPr>
              <w:pStyle w:val="TableContents"/>
              <w:bidi w:val="0"/>
              <w:spacing w:before="0" w:after="283"/>
              <w:jc w:val="left"/>
              <w:rPr/>
            </w:pPr>
            <w:r>
              <w:rPr/>
              <w:t> </w:t>
            </w:r>
          </w:p>
        </w:tc>
      </w:tr>
      <w:tr>
        <w:trPr/>
        <w:tc>
          <w:tcPr>
            <w:tcW w:w="652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pPr>
            <w:r>
              <w:rPr/>
              <w:t> </w:t>
            </w:r>
          </w:p>
        </w:tc>
        <w:tc>
          <w:tcPr>
            <w:tcW w:w="11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r>
      <w:tr>
        <w:trPr/>
        <w:tc>
          <w:tcPr>
            <w:tcW w:w="652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expenses:</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pPr>
            <w:r>
              <w:rPr/>
              <w:t> </w:t>
            </w:r>
          </w:p>
        </w:tc>
        <w:tc>
          <w:tcPr>
            <w:tcW w:w="119"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r>
      <w:tr>
        <w:trPr/>
        <w:tc>
          <w:tcPr>
            <w:tcW w:w="652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General and administrative expenses</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27,287,345</w:t>
            </w:r>
          </w:p>
        </w:tc>
        <w:tc>
          <w:tcPr>
            <w:tcW w:w="11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16,548,902</w:t>
            </w:r>
          </w:p>
        </w:tc>
        <w:tc>
          <w:tcPr>
            <w:tcW w:w="115" w:type="dxa"/>
            <w:tcBorders/>
            <w:shd w:fill="CCEEFF" w:val="clear"/>
            <w:vAlign w:val="center"/>
          </w:tcPr>
          <w:p>
            <w:pPr>
              <w:pStyle w:val="TableContents"/>
              <w:bidi w:val="0"/>
              <w:spacing w:before="0" w:after="283"/>
              <w:jc w:val="left"/>
              <w:rPr/>
            </w:pPr>
            <w:r>
              <w:rPr/>
              <w:t> </w:t>
            </w:r>
          </w:p>
        </w:tc>
      </w:tr>
      <w:tr>
        <w:trPr/>
        <w:tc>
          <w:tcPr>
            <w:tcW w:w="652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Depreciation and amortization expense</w:t>
            </w:r>
          </w:p>
        </w:tc>
        <w:tc>
          <w:tcPr>
            <w:tcW w:w="60" w:type="dxa"/>
            <w:tcBorders/>
            <w:shd w:fill="FFFFFF" w:val="clear"/>
            <w:vAlign w:val="center"/>
          </w:tcPr>
          <w:p>
            <w:pPr>
              <w:pStyle w:val="TableContents"/>
              <w:bidi w:val="0"/>
              <w:spacing w:before="0" w:after="283"/>
              <w:jc w:val="left"/>
              <w:rPr/>
            </w:pPr>
            <w:r>
              <w:rPr/>
              <w:t> </w:t>
            </w:r>
          </w:p>
        </w:tc>
        <w:tc>
          <w:tcPr>
            <w:tcW w:w="1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8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1,150,471</w:t>
            </w:r>
          </w:p>
        </w:tc>
        <w:tc>
          <w:tcPr>
            <w:tcW w:w="119"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8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24,179</w:t>
            </w:r>
          </w:p>
        </w:tc>
        <w:tc>
          <w:tcPr>
            <w:tcW w:w="115" w:type="dxa"/>
            <w:tcBorders/>
            <w:shd w:fill="FFFFFF" w:val="clear"/>
            <w:vAlign w:val="center"/>
          </w:tcPr>
          <w:p>
            <w:pPr>
              <w:pStyle w:val="TableContents"/>
              <w:bidi w:val="0"/>
              <w:spacing w:before="0" w:after="283"/>
              <w:jc w:val="left"/>
              <w:rPr/>
            </w:pPr>
            <w:r>
              <w:rPr/>
              <w:t> </w:t>
            </w:r>
          </w:p>
        </w:tc>
      </w:tr>
      <w:tr>
        <w:trPr/>
        <w:tc>
          <w:tcPr>
            <w:tcW w:w="652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operating expenses</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8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28,437,816</w:t>
            </w:r>
          </w:p>
        </w:tc>
        <w:tc>
          <w:tcPr>
            <w:tcW w:w="11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8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16,573,081</w:t>
            </w:r>
          </w:p>
        </w:tc>
        <w:tc>
          <w:tcPr>
            <w:tcW w:w="115" w:type="dxa"/>
            <w:tcBorders/>
            <w:shd w:fill="CCEEFF" w:val="clear"/>
            <w:vAlign w:val="center"/>
          </w:tcPr>
          <w:p>
            <w:pPr>
              <w:pStyle w:val="TableContents"/>
              <w:bidi w:val="0"/>
              <w:spacing w:before="0" w:after="283"/>
              <w:jc w:val="left"/>
              <w:rPr/>
            </w:pPr>
            <w:r>
              <w:rPr/>
              <w:t> </w:t>
            </w:r>
          </w:p>
        </w:tc>
      </w:tr>
      <w:tr>
        <w:trPr/>
        <w:tc>
          <w:tcPr>
            <w:tcW w:w="652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82"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19"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82"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r>
      <w:tr>
        <w:trPr/>
        <w:tc>
          <w:tcPr>
            <w:tcW w:w="652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loss</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8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(18,464,980</w:t>
            </w:r>
          </w:p>
        </w:tc>
        <w:tc>
          <w:tcPr>
            <w:tcW w:w="11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4" w:type="dxa"/>
            <w:tcBorders/>
            <w:shd w:fill="CCEEFF" w:val="clear"/>
            <w:vAlign w:val="center"/>
          </w:tcPr>
          <w:p>
            <w:pPr>
              <w:pStyle w:val="TableContents"/>
              <w:bidi w:val="0"/>
              <w:spacing w:before="0" w:after="283"/>
              <w:jc w:val="left"/>
              <w:rPr/>
            </w:pPr>
            <w:r>
              <w:rPr/>
              <w:t> </w:t>
            </w:r>
          </w:p>
        </w:tc>
        <w:tc>
          <w:tcPr>
            <w:tcW w:w="1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8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(13,467,744</w:t>
            </w:r>
          </w:p>
        </w:tc>
        <w:tc>
          <w:tcPr>
            <w:tcW w:w="1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52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pPr>
            <w:r>
              <w:rPr/>
              <w:t> </w:t>
            </w:r>
          </w:p>
        </w:tc>
        <w:tc>
          <w:tcPr>
            <w:tcW w:w="119"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r>
      <w:tr>
        <w:trPr/>
        <w:tc>
          <w:tcPr>
            <w:tcW w:w="652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expenses (income):</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pPr>
            <w:r>
              <w:rPr/>
              <w:t> </w:t>
            </w:r>
          </w:p>
        </w:tc>
        <w:tc>
          <w:tcPr>
            <w:tcW w:w="11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r>
      <w:tr>
        <w:trPr/>
        <w:tc>
          <w:tcPr>
            <w:tcW w:w="652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GEM settlement fee expense</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pPr>
            <w:r>
              <w:rPr/>
              <w:t>—</w:t>
            </w:r>
          </w:p>
        </w:tc>
        <w:tc>
          <w:tcPr>
            <w:tcW w:w="119"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200,000</w:t>
            </w:r>
          </w:p>
        </w:tc>
        <w:tc>
          <w:tcPr>
            <w:tcW w:w="115" w:type="dxa"/>
            <w:tcBorders/>
            <w:shd w:fill="FFFFFF" w:val="clear"/>
            <w:vAlign w:val="center"/>
          </w:tcPr>
          <w:p>
            <w:pPr>
              <w:pStyle w:val="TableContents"/>
              <w:bidi w:val="0"/>
              <w:spacing w:before="0" w:after="283"/>
              <w:jc w:val="left"/>
              <w:rPr/>
            </w:pPr>
            <w:r>
              <w:rPr/>
              <w:t> </w:t>
            </w:r>
          </w:p>
        </w:tc>
      </w:tr>
      <w:tr>
        <w:trPr/>
        <w:tc>
          <w:tcPr>
            <w:tcW w:w="652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income</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(2,955</w:t>
            </w:r>
          </w:p>
        </w:tc>
        <w:tc>
          <w:tcPr>
            <w:tcW w:w="11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4"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w:t>
            </w:r>
          </w:p>
        </w:tc>
        <w:tc>
          <w:tcPr>
            <w:tcW w:w="1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52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expense</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1,227,509</w:t>
            </w:r>
          </w:p>
        </w:tc>
        <w:tc>
          <w:tcPr>
            <w:tcW w:w="119"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pPr>
            <w:r>
              <w:rPr/>
              <w:t>—</w:t>
            </w:r>
          </w:p>
        </w:tc>
        <w:tc>
          <w:tcPr>
            <w:tcW w:w="115" w:type="dxa"/>
            <w:tcBorders/>
            <w:shd w:fill="FFFFFF" w:val="clear"/>
            <w:vAlign w:val="center"/>
          </w:tcPr>
          <w:p>
            <w:pPr>
              <w:pStyle w:val="TableContents"/>
              <w:bidi w:val="0"/>
              <w:spacing w:before="0" w:after="283"/>
              <w:jc w:val="left"/>
              <w:rPr/>
            </w:pPr>
            <w:r>
              <w:rPr/>
              <w:t> </w:t>
            </w:r>
          </w:p>
        </w:tc>
      </w:tr>
      <w:tr>
        <w:trPr/>
        <w:tc>
          <w:tcPr>
            <w:tcW w:w="652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expense – related party</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1,156,984</w:t>
            </w:r>
          </w:p>
        </w:tc>
        <w:tc>
          <w:tcPr>
            <w:tcW w:w="11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3,047,101</w:t>
            </w:r>
          </w:p>
        </w:tc>
        <w:tc>
          <w:tcPr>
            <w:tcW w:w="115" w:type="dxa"/>
            <w:tcBorders/>
            <w:shd w:fill="CCEEFF" w:val="clear"/>
            <w:vAlign w:val="center"/>
          </w:tcPr>
          <w:p>
            <w:pPr>
              <w:pStyle w:val="TableContents"/>
              <w:bidi w:val="0"/>
              <w:spacing w:before="0" w:after="283"/>
              <w:jc w:val="left"/>
              <w:rPr/>
            </w:pPr>
            <w:r>
              <w:rPr/>
              <w:t> </w:t>
            </w:r>
          </w:p>
        </w:tc>
      </w:tr>
      <w:tr>
        <w:trPr/>
        <w:tc>
          <w:tcPr>
            <w:tcW w:w="652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expense</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pPr>
            <w:r>
              <w:rPr/>
              <w:t>1,156,984</w:t>
            </w:r>
          </w:p>
        </w:tc>
        <w:tc>
          <w:tcPr>
            <w:tcW w:w="11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pPr>
            <w:r>
              <w:rPr/>
              <w:t>3,047,101</w:t>
            </w:r>
          </w:p>
        </w:tc>
        <w:tc>
          <w:tcPr>
            <w:tcW w:w="115" w:type="dxa"/>
            <w:tcBorders/>
            <w:shd w:fill="CCEEFF" w:val="clear"/>
            <w:vAlign w:val="center"/>
          </w:tcPr>
          <w:p>
            <w:pPr>
              <w:pStyle w:val="TableContents"/>
              <w:bidi w:val="0"/>
              <w:spacing w:before="0" w:after="283"/>
              <w:jc w:val="left"/>
              <w:rPr/>
            </w:pPr>
            <w:r>
              <w:rPr/>
              <w:t> </w:t>
            </w:r>
          </w:p>
        </w:tc>
      </w:tr>
      <w:tr>
        <w:trPr/>
        <w:tc>
          <w:tcPr>
            <w:tcW w:w="652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Gain on extinguishment of liabilities</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(4,488,627</w:t>
            </w:r>
          </w:p>
        </w:tc>
        <w:tc>
          <w:tcPr>
            <w:tcW w:w="11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4"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(680,762</w:t>
            </w:r>
          </w:p>
        </w:tc>
        <w:tc>
          <w:tcPr>
            <w:tcW w:w="1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52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Gain on release of Vidello revenue holdback</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(973,000</w:t>
            </w:r>
          </w:p>
        </w:tc>
        <w:tc>
          <w:tcPr>
            <w:tcW w:w="11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4"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pPr>
            <w:r>
              <w:rPr/>
              <w:t>—</w:t>
            </w:r>
          </w:p>
        </w:tc>
        <w:tc>
          <w:tcPr>
            <w:tcW w:w="115" w:type="dxa"/>
            <w:tcBorders/>
            <w:shd w:fill="CCEEFF" w:val="clear"/>
            <w:vAlign w:val="center"/>
          </w:tcPr>
          <w:p>
            <w:pPr>
              <w:pStyle w:val="TableContents"/>
              <w:bidi w:val="0"/>
              <w:spacing w:before="0" w:after="283"/>
              <w:jc w:val="left"/>
              <w:rPr/>
            </w:pPr>
            <w:r>
              <w:rPr/>
              <w:t> </w:t>
            </w:r>
          </w:p>
        </w:tc>
      </w:tr>
      <w:tr>
        <w:trPr/>
        <w:tc>
          <w:tcPr>
            <w:tcW w:w="652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debt issuance</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444,000</w:t>
            </w:r>
          </w:p>
        </w:tc>
        <w:tc>
          <w:tcPr>
            <w:tcW w:w="119"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653,208</w:t>
            </w:r>
          </w:p>
        </w:tc>
        <w:tc>
          <w:tcPr>
            <w:tcW w:w="115" w:type="dxa"/>
            <w:tcBorders/>
            <w:shd w:fill="FFFFFF" w:val="clear"/>
            <w:vAlign w:val="center"/>
          </w:tcPr>
          <w:p>
            <w:pPr>
              <w:pStyle w:val="TableContents"/>
              <w:bidi w:val="0"/>
              <w:spacing w:before="0" w:after="283"/>
              <w:jc w:val="left"/>
              <w:rPr/>
            </w:pPr>
            <w:r>
              <w:rPr/>
              <w:t> </w:t>
            </w:r>
          </w:p>
        </w:tc>
      </w:tr>
      <w:tr>
        <w:trPr/>
        <w:tc>
          <w:tcPr>
            <w:tcW w:w="652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private placement issuance</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4,873,509</w:t>
            </w:r>
          </w:p>
        </w:tc>
        <w:tc>
          <w:tcPr>
            <w:tcW w:w="11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pPr>
            <w:r>
              <w:rPr/>
              <w:t>—</w:t>
            </w:r>
          </w:p>
        </w:tc>
        <w:tc>
          <w:tcPr>
            <w:tcW w:w="115" w:type="dxa"/>
            <w:tcBorders/>
            <w:shd w:fill="CCEEFF" w:val="clear"/>
            <w:vAlign w:val="center"/>
          </w:tcPr>
          <w:p>
            <w:pPr>
              <w:pStyle w:val="TableContents"/>
              <w:bidi w:val="0"/>
              <w:spacing w:before="0" w:after="283"/>
              <w:jc w:val="left"/>
              <w:rPr/>
            </w:pPr>
            <w:r>
              <w:rPr/>
              <w:t> </w:t>
            </w:r>
          </w:p>
        </w:tc>
      </w:tr>
      <w:tr>
        <w:trPr/>
        <w:tc>
          <w:tcPr>
            <w:tcW w:w="652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issuance of term notes</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110,500</w:t>
            </w:r>
          </w:p>
        </w:tc>
        <w:tc>
          <w:tcPr>
            <w:tcW w:w="119"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pPr>
            <w:r>
              <w:rPr/>
              <w:t>—</w:t>
            </w:r>
          </w:p>
        </w:tc>
        <w:tc>
          <w:tcPr>
            <w:tcW w:w="115" w:type="dxa"/>
            <w:tcBorders/>
            <w:shd w:fill="FFFFFF" w:val="clear"/>
            <w:vAlign w:val="center"/>
          </w:tcPr>
          <w:p>
            <w:pPr>
              <w:pStyle w:val="TableContents"/>
              <w:bidi w:val="0"/>
              <w:spacing w:before="0" w:after="283"/>
              <w:jc w:val="left"/>
              <w:rPr/>
            </w:pPr>
            <w:r>
              <w:rPr/>
              <w:t> </w:t>
            </w:r>
          </w:p>
        </w:tc>
      </w:tr>
      <w:tr>
        <w:trPr/>
        <w:tc>
          <w:tcPr>
            <w:tcW w:w="652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issuance of convertible bridge notes</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152,826</w:t>
            </w:r>
          </w:p>
        </w:tc>
        <w:tc>
          <w:tcPr>
            <w:tcW w:w="11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pPr>
            <w:r>
              <w:rPr/>
              <w:t>—</w:t>
            </w:r>
          </w:p>
        </w:tc>
        <w:tc>
          <w:tcPr>
            <w:tcW w:w="115" w:type="dxa"/>
            <w:tcBorders/>
            <w:shd w:fill="CCEEFF" w:val="clear"/>
            <w:vAlign w:val="center"/>
          </w:tcPr>
          <w:p>
            <w:pPr>
              <w:pStyle w:val="TableContents"/>
              <w:bidi w:val="0"/>
              <w:spacing w:before="0" w:after="283"/>
              <w:jc w:val="left"/>
              <w:rPr/>
            </w:pPr>
            <w:r>
              <w:rPr/>
              <w:t> </w:t>
            </w:r>
          </w:p>
        </w:tc>
      </w:tr>
      <w:tr>
        <w:trPr/>
        <w:tc>
          <w:tcPr>
            <w:tcW w:w="652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conversion and settlement of Alco promissory notes – related party</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pPr>
            <w:r>
              <w:rPr/>
              <w:t>—</w:t>
            </w:r>
          </w:p>
        </w:tc>
        <w:tc>
          <w:tcPr>
            <w:tcW w:w="119"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4,808,882</w:t>
            </w:r>
          </w:p>
        </w:tc>
        <w:tc>
          <w:tcPr>
            <w:tcW w:w="115" w:type="dxa"/>
            <w:tcBorders/>
            <w:shd w:fill="FFFFFF" w:val="clear"/>
            <w:vAlign w:val="center"/>
          </w:tcPr>
          <w:p>
            <w:pPr>
              <w:pStyle w:val="TableContents"/>
              <w:bidi w:val="0"/>
              <w:spacing w:before="0" w:after="283"/>
              <w:jc w:val="left"/>
              <w:rPr/>
            </w:pPr>
            <w:r>
              <w:rPr/>
              <w:t> </w:t>
            </w:r>
          </w:p>
        </w:tc>
      </w:tr>
      <w:tr>
        <w:trPr/>
        <w:tc>
          <w:tcPr>
            <w:tcW w:w="652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conversion and settlement of CP BF notes – related party</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pPr>
            <w:r>
              <w:rPr/>
              <w:t>—</w:t>
            </w:r>
          </w:p>
        </w:tc>
        <w:tc>
          <w:tcPr>
            <w:tcW w:w="11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6,529,402</w:t>
            </w:r>
          </w:p>
        </w:tc>
        <w:tc>
          <w:tcPr>
            <w:tcW w:w="115" w:type="dxa"/>
            <w:tcBorders/>
            <w:shd w:fill="CCEEFF" w:val="clear"/>
            <w:vAlign w:val="center"/>
          </w:tcPr>
          <w:p>
            <w:pPr>
              <w:pStyle w:val="TableContents"/>
              <w:bidi w:val="0"/>
              <w:spacing w:before="0" w:after="283"/>
              <w:jc w:val="left"/>
              <w:rPr/>
            </w:pPr>
            <w:r>
              <w:rPr/>
              <w:t> </w:t>
            </w:r>
          </w:p>
        </w:tc>
      </w:tr>
      <w:tr>
        <w:trPr/>
        <w:tc>
          <w:tcPr>
            <w:tcW w:w="652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extinguishment of debt, net</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2,402,732</w:t>
            </w:r>
          </w:p>
        </w:tc>
        <w:tc>
          <w:tcPr>
            <w:tcW w:w="119"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1,071,563</w:t>
            </w:r>
          </w:p>
        </w:tc>
        <w:tc>
          <w:tcPr>
            <w:tcW w:w="115" w:type="dxa"/>
            <w:tcBorders/>
            <w:shd w:fill="FFFFFF" w:val="clear"/>
            <w:vAlign w:val="center"/>
          </w:tcPr>
          <w:p>
            <w:pPr>
              <w:pStyle w:val="TableContents"/>
              <w:bidi w:val="0"/>
              <w:spacing w:before="0" w:after="283"/>
              <w:jc w:val="left"/>
              <w:rPr/>
            </w:pPr>
            <w:r>
              <w:rPr/>
              <w:t> </w:t>
            </w:r>
          </w:p>
        </w:tc>
      </w:tr>
      <w:tr>
        <w:trPr/>
        <w:tc>
          <w:tcPr>
            <w:tcW w:w="652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warrant liability</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(1,243,528</w:t>
            </w:r>
          </w:p>
        </w:tc>
        <w:tc>
          <w:tcPr>
            <w:tcW w:w="11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4"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(626,000</w:t>
            </w:r>
          </w:p>
        </w:tc>
        <w:tc>
          <w:tcPr>
            <w:tcW w:w="1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52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warrant liability – related party</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(2,300</w:t>
            </w:r>
          </w:p>
        </w:tc>
        <w:tc>
          <w:tcPr>
            <w:tcW w:w="11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4"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(572,700</w:t>
            </w:r>
          </w:p>
        </w:tc>
        <w:tc>
          <w:tcPr>
            <w:tcW w:w="1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52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warrant liability</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pPr>
            <w:r>
              <w:rPr/>
              <w:t>(2,300)</w:t>
            </w:r>
          </w:p>
        </w:tc>
        <w:tc>
          <w:tcPr>
            <w:tcW w:w="119" w:type="dxa"/>
            <w:tcBorders/>
            <w:shd w:fill="FFFFFF" w:val="clear"/>
            <w:vAlign w:val="center"/>
          </w:tcPr>
          <w:p>
            <w:pPr>
              <w:pStyle w:val="TableContents"/>
              <w:bidi w:val="0"/>
              <w:spacing w:before="0" w:after="283"/>
              <w:jc w:val="left"/>
              <w:rPr>
                <w:sz w:val="4"/>
                <w:szCs w:val="4"/>
              </w:rPr>
            </w:pPr>
            <w:r>
              <w:rPr>
                <w:sz w:val="4"/>
                <w:szCs w:val="4"/>
              </w:rPr>
            </w:r>
          </w:p>
        </w:tc>
        <w:tc>
          <w:tcPr>
            <w:tcW w:w="74"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pPr>
            <w:r>
              <w:rPr/>
              <w:t>(572,700)</w:t>
            </w:r>
          </w:p>
        </w:tc>
        <w:tc>
          <w:tcPr>
            <w:tcW w:w="115" w:type="dxa"/>
            <w:tcBorders/>
            <w:shd w:fill="FFFFFF" w:val="clear"/>
            <w:vAlign w:val="center"/>
          </w:tcPr>
          <w:p>
            <w:pPr>
              <w:pStyle w:val="TableContents"/>
              <w:bidi w:val="0"/>
              <w:spacing w:before="0" w:after="283"/>
              <w:jc w:val="left"/>
              <w:rPr>
                <w:sz w:val="4"/>
                <w:szCs w:val="4"/>
              </w:rPr>
            </w:pPr>
            <w:r>
              <w:rPr>
                <w:sz w:val="4"/>
                <w:szCs w:val="4"/>
              </w:rPr>
            </w:r>
          </w:p>
        </w:tc>
      </w:tr>
      <w:tr>
        <w:trPr/>
        <w:tc>
          <w:tcPr>
            <w:tcW w:w="652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bifurcated embedded derivative assets – related party</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54,000</w:t>
            </w:r>
          </w:p>
        </w:tc>
        <w:tc>
          <w:tcPr>
            <w:tcW w:w="11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(51,000</w:t>
            </w:r>
          </w:p>
        </w:tc>
        <w:tc>
          <w:tcPr>
            <w:tcW w:w="1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52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bifurcated embedded derivative assets</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pPr>
            <w:r>
              <w:rPr/>
              <w:t>54,000</w:t>
            </w:r>
          </w:p>
        </w:tc>
        <w:tc>
          <w:tcPr>
            <w:tcW w:w="11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pPr>
            <w:r>
              <w:rPr/>
              <w:t>(51,000)</w:t>
            </w:r>
          </w:p>
        </w:tc>
        <w:tc>
          <w:tcPr>
            <w:tcW w:w="115" w:type="dxa"/>
            <w:tcBorders/>
            <w:shd w:fill="CCEEFF" w:val="clear"/>
            <w:vAlign w:val="center"/>
          </w:tcPr>
          <w:p>
            <w:pPr>
              <w:pStyle w:val="TableContents"/>
              <w:bidi w:val="0"/>
              <w:spacing w:before="0" w:after="283"/>
              <w:jc w:val="left"/>
              <w:rPr>
                <w:sz w:val="4"/>
                <w:szCs w:val="4"/>
              </w:rPr>
            </w:pPr>
            <w:r>
              <w:rPr>
                <w:sz w:val="4"/>
                <w:szCs w:val="4"/>
              </w:rPr>
            </w:r>
          </w:p>
        </w:tc>
      </w:tr>
      <w:tr>
        <w:trPr/>
        <w:tc>
          <w:tcPr>
            <w:tcW w:w="652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convertible notes</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(1,987,203</w:t>
            </w:r>
          </w:p>
        </w:tc>
        <w:tc>
          <w:tcPr>
            <w:tcW w:w="11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4"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693,000</w:t>
            </w:r>
          </w:p>
        </w:tc>
        <w:tc>
          <w:tcPr>
            <w:tcW w:w="115" w:type="dxa"/>
            <w:tcBorders/>
            <w:shd w:fill="FFFFFF" w:val="clear"/>
            <w:vAlign w:val="center"/>
          </w:tcPr>
          <w:p>
            <w:pPr>
              <w:pStyle w:val="TableContents"/>
              <w:bidi w:val="0"/>
              <w:spacing w:before="0" w:after="283"/>
              <w:jc w:val="left"/>
              <w:rPr/>
            </w:pPr>
            <w:r>
              <w:rPr/>
              <w:t> </w:t>
            </w:r>
          </w:p>
        </w:tc>
      </w:tr>
      <w:tr>
        <w:trPr/>
        <w:tc>
          <w:tcPr>
            <w:tcW w:w="652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term notes</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173,055</w:t>
            </w:r>
          </w:p>
        </w:tc>
        <w:tc>
          <w:tcPr>
            <w:tcW w:w="11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88,588</w:t>
            </w:r>
          </w:p>
        </w:tc>
        <w:tc>
          <w:tcPr>
            <w:tcW w:w="115" w:type="dxa"/>
            <w:tcBorders/>
            <w:shd w:fill="CCEEFF" w:val="clear"/>
            <w:vAlign w:val="center"/>
          </w:tcPr>
          <w:p>
            <w:pPr>
              <w:pStyle w:val="TableContents"/>
              <w:bidi w:val="0"/>
              <w:spacing w:before="0" w:after="283"/>
              <w:jc w:val="left"/>
              <w:rPr/>
            </w:pPr>
            <w:r>
              <w:rPr/>
              <w:t> </w:t>
            </w:r>
          </w:p>
        </w:tc>
      </w:tr>
      <w:tr>
        <w:trPr/>
        <w:tc>
          <w:tcPr>
            <w:tcW w:w="652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convertible bridge notes</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(46,253</w:t>
            </w:r>
          </w:p>
        </w:tc>
        <w:tc>
          <w:tcPr>
            <w:tcW w:w="11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4"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(10,176</w:t>
            </w:r>
          </w:p>
        </w:tc>
        <w:tc>
          <w:tcPr>
            <w:tcW w:w="1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52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Yorkville prepayment premium expense</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pPr>
            <w:r>
              <w:rPr/>
              <w:t>—</w:t>
            </w:r>
          </w:p>
        </w:tc>
        <w:tc>
          <w:tcPr>
            <w:tcW w:w="11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80,760</w:t>
            </w:r>
          </w:p>
        </w:tc>
        <w:tc>
          <w:tcPr>
            <w:tcW w:w="115" w:type="dxa"/>
            <w:tcBorders/>
            <w:shd w:fill="CCEEFF" w:val="clear"/>
            <w:vAlign w:val="center"/>
          </w:tcPr>
          <w:p>
            <w:pPr>
              <w:pStyle w:val="TableContents"/>
              <w:bidi w:val="0"/>
              <w:spacing w:before="0" w:after="283"/>
              <w:jc w:val="left"/>
              <w:rPr/>
            </w:pPr>
            <w:r>
              <w:rPr/>
              <w:t> </w:t>
            </w:r>
          </w:p>
        </w:tc>
      </w:tr>
      <w:tr>
        <w:trPr/>
        <w:tc>
          <w:tcPr>
            <w:tcW w:w="652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Yorkville SEPA advances</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974,079</w:t>
            </w:r>
          </w:p>
        </w:tc>
        <w:tc>
          <w:tcPr>
            <w:tcW w:w="119"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pPr>
            <w:r>
              <w:rPr/>
              <w:t>—</w:t>
            </w:r>
          </w:p>
        </w:tc>
        <w:tc>
          <w:tcPr>
            <w:tcW w:w="115" w:type="dxa"/>
            <w:tcBorders/>
            <w:shd w:fill="FFFFFF" w:val="clear"/>
            <w:vAlign w:val="center"/>
          </w:tcPr>
          <w:p>
            <w:pPr>
              <w:pStyle w:val="TableContents"/>
              <w:bidi w:val="0"/>
              <w:spacing w:before="0" w:after="283"/>
              <w:jc w:val="left"/>
              <w:rPr/>
            </w:pPr>
            <w:r>
              <w:rPr/>
              <w:t> </w:t>
            </w:r>
          </w:p>
        </w:tc>
      </w:tr>
      <w:tr>
        <w:trPr/>
        <w:tc>
          <w:tcPr>
            <w:tcW w:w="652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Vidello earnout expense</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485,720</w:t>
            </w:r>
          </w:p>
        </w:tc>
        <w:tc>
          <w:tcPr>
            <w:tcW w:w="11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pPr>
            <w:r>
              <w:rPr/>
              <w:t>—</w:t>
            </w:r>
          </w:p>
        </w:tc>
        <w:tc>
          <w:tcPr>
            <w:tcW w:w="115" w:type="dxa"/>
            <w:tcBorders/>
            <w:shd w:fill="CCEEFF" w:val="clear"/>
            <w:vAlign w:val="center"/>
          </w:tcPr>
          <w:p>
            <w:pPr>
              <w:pStyle w:val="TableContents"/>
              <w:bidi w:val="0"/>
              <w:spacing w:before="0" w:after="283"/>
              <w:jc w:val="left"/>
              <w:rPr/>
            </w:pPr>
            <w:r>
              <w:rPr/>
              <w:t> </w:t>
            </w:r>
          </w:p>
        </w:tc>
      </w:tr>
      <w:tr>
        <w:trPr/>
        <w:tc>
          <w:tcPr>
            <w:tcW w:w="652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Failed acquisition costs</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1,382,002</w:t>
            </w:r>
          </w:p>
        </w:tc>
        <w:tc>
          <w:tcPr>
            <w:tcW w:w="119"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pPr>
            <w:r>
              <w:rPr/>
              <w:t>—</w:t>
            </w:r>
          </w:p>
        </w:tc>
        <w:tc>
          <w:tcPr>
            <w:tcW w:w="115" w:type="dxa"/>
            <w:tcBorders/>
            <w:shd w:fill="FFFFFF" w:val="clear"/>
            <w:vAlign w:val="center"/>
          </w:tcPr>
          <w:p>
            <w:pPr>
              <w:pStyle w:val="TableContents"/>
              <w:bidi w:val="0"/>
              <w:spacing w:before="0" w:after="283"/>
              <w:jc w:val="left"/>
              <w:rPr/>
            </w:pPr>
            <w:r>
              <w:rPr/>
              <w:t> </w:t>
            </w:r>
          </w:p>
        </w:tc>
      </w:tr>
      <w:tr>
        <w:trPr/>
        <w:tc>
          <w:tcPr>
            <w:tcW w:w="652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Goodwill impairment</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pPr>
            <w:r>
              <w:rPr/>
              <w:t>—</w:t>
            </w:r>
          </w:p>
        </w:tc>
        <w:tc>
          <w:tcPr>
            <w:tcW w:w="11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2,725,460</w:t>
            </w:r>
          </w:p>
        </w:tc>
        <w:tc>
          <w:tcPr>
            <w:tcW w:w="115" w:type="dxa"/>
            <w:tcBorders/>
            <w:shd w:fill="CCEEFF" w:val="clear"/>
            <w:vAlign w:val="center"/>
          </w:tcPr>
          <w:p>
            <w:pPr>
              <w:pStyle w:val="TableContents"/>
              <w:bidi w:val="0"/>
              <w:spacing w:before="0" w:after="283"/>
              <w:jc w:val="left"/>
              <w:rPr/>
            </w:pPr>
            <w:r>
              <w:rPr/>
              <w:t> </w:t>
            </w:r>
          </w:p>
        </w:tc>
      </w:tr>
      <w:tr>
        <w:trPr/>
        <w:tc>
          <w:tcPr>
            <w:tcW w:w="652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(income) expense, net</w:t>
            </w:r>
          </w:p>
        </w:tc>
        <w:tc>
          <w:tcPr>
            <w:tcW w:w="60" w:type="dxa"/>
            <w:tcBorders/>
            <w:shd w:fill="FFFFFF" w:val="clear"/>
            <w:vAlign w:val="center"/>
          </w:tcPr>
          <w:p>
            <w:pPr>
              <w:pStyle w:val="TableContents"/>
              <w:bidi w:val="0"/>
              <w:spacing w:before="0" w:after="283"/>
              <w:jc w:val="left"/>
              <w:rPr/>
            </w:pPr>
            <w:r>
              <w:rPr/>
              <w:t> </w:t>
            </w:r>
          </w:p>
        </w:tc>
        <w:tc>
          <w:tcPr>
            <w:tcW w:w="1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8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(726,572</w:t>
            </w:r>
          </w:p>
        </w:tc>
        <w:tc>
          <w:tcPr>
            <w:tcW w:w="11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4" w:type="dxa"/>
            <w:tcBorders/>
            <w:shd w:fill="FFFFFF" w:val="clear"/>
            <w:vAlign w:val="center"/>
          </w:tcPr>
          <w:p>
            <w:pPr>
              <w:pStyle w:val="TableContents"/>
              <w:bidi w:val="0"/>
              <w:spacing w:before="0" w:after="283"/>
              <w:jc w:val="left"/>
              <w:rPr/>
            </w:pPr>
            <w:r>
              <w:rPr/>
              <w:t> </w:t>
            </w:r>
          </w:p>
        </w:tc>
        <w:tc>
          <w:tcPr>
            <w:tcW w:w="1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8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88,329</w:t>
            </w:r>
          </w:p>
        </w:tc>
        <w:tc>
          <w:tcPr>
            <w:tcW w:w="115" w:type="dxa"/>
            <w:tcBorders/>
            <w:shd w:fill="FFFFFF" w:val="clear"/>
            <w:vAlign w:val="center"/>
          </w:tcPr>
          <w:p>
            <w:pPr>
              <w:pStyle w:val="TableContents"/>
              <w:bidi w:val="0"/>
              <w:spacing w:before="0" w:after="283"/>
              <w:jc w:val="left"/>
              <w:rPr/>
            </w:pPr>
            <w:r>
              <w:rPr/>
              <w:t> </w:t>
            </w:r>
          </w:p>
        </w:tc>
      </w:tr>
      <w:tr>
        <w:trPr/>
        <w:tc>
          <w:tcPr>
            <w:tcW w:w="652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other expenses, net</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8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3,966,478</w:t>
            </w:r>
          </w:p>
        </w:tc>
        <w:tc>
          <w:tcPr>
            <w:tcW w:w="11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8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18,045,645</w:t>
            </w:r>
          </w:p>
        </w:tc>
        <w:tc>
          <w:tcPr>
            <w:tcW w:w="115" w:type="dxa"/>
            <w:tcBorders/>
            <w:shd w:fill="CCEEFF" w:val="clear"/>
            <w:vAlign w:val="center"/>
          </w:tcPr>
          <w:p>
            <w:pPr>
              <w:pStyle w:val="TableContents"/>
              <w:bidi w:val="0"/>
              <w:spacing w:before="0" w:after="283"/>
              <w:jc w:val="left"/>
              <w:rPr/>
            </w:pPr>
            <w:r>
              <w:rPr/>
              <w:t> </w:t>
            </w:r>
          </w:p>
        </w:tc>
      </w:tr>
      <w:tr>
        <w:trPr/>
        <w:tc>
          <w:tcPr>
            <w:tcW w:w="652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before income taxes</w:t>
            </w:r>
          </w:p>
        </w:tc>
        <w:tc>
          <w:tcPr>
            <w:tcW w:w="60" w:type="dxa"/>
            <w:tcBorders/>
            <w:shd w:fill="FFFFFF" w:val="clear"/>
            <w:vAlign w:val="center"/>
          </w:tcPr>
          <w:p>
            <w:pPr>
              <w:pStyle w:val="TableContents"/>
              <w:bidi w:val="0"/>
              <w:spacing w:before="0" w:after="283"/>
              <w:jc w:val="left"/>
              <w:rPr/>
            </w:pPr>
            <w:r>
              <w:rPr/>
              <w:t> </w:t>
            </w:r>
          </w:p>
        </w:tc>
        <w:tc>
          <w:tcPr>
            <w:tcW w:w="1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8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(22,431,458</w:t>
            </w:r>
          </w:p>
        </w:tc>
        <w:tc>
          <w:tcPr>
            <w:tcW w:w="11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4" w:type="dxa"/>
            <w:tcBorders/>
            <w:shd w:fill="FFFFFF" w:val="clear"/>
            <w:vAlign w:val="center"/>
          </w:tcPr>
          <w:p>
            <w:pPr>
              <w:pStyle w:val="TableContents"/>
              <w:bidi w:val="0"/>
              <w:spacing w:before="0" w:after="283"/>
              <w:jc w:val="left"/>
              <w:rPr/>
            </w:pPr>
            <w:r>
              <w:rPr/>
              <w:t> </w:t>
            </w:r>
          </w:p>
        </w:tc>
        <w:tc>
          <w:tcPr>
            <w:tcW w:w="1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8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(31,513,389</w:t>
            </w:r>
          </w:p>
        </w:tc>
        <w:tc>
          <w:tcPr>
            <w:tcW w:w="1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52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Income tax expense</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8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60,617</w:t>
            </w:r>
          </w:p>
        </w:tc>
        <w:tc>
          <w:tcPr>
            <w:tcW w:w="11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82"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5" w:type="dxa"/>
            <w:tcBorders/>
            <w:shd w:fill="CCEEFF" w:val="clear"/>
            <w:vAlign w:val="center"/>
          </w:tcPr>
          <w:p>
            <w:pPr>
              <w:pStyle w:val="TableContents"/>
              <w:bidi w:val="0"/>
              <w:spacing w:before="0" w:after="283"/>
              <w:jc w:val="left"/>
              <w:rPr/>
            </w:pPr>
            <w:r>
              <w:rPr/>
              <w:t> </w:t>
            </w:r>
          </w:p>
        </w:tc>
      </w:tr>
      <w:tr>
        <w:trPr/>
        <w:tc>
          <w:tcPr>
            <w:tcW w:w="652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w:t>
            </w:r>
          </w:p>
        </w:tc>
        <w:tc>
          <w:tcPr>
            <w:tcW w:w="60" w:type="dxa"/>
            <w:tcBorders/>
            <w:shd w:fill="FFFFFF" w:val="clear"/>
            <w:vAlign w:val="center"/>
          </w:tcPr>
          <w:p>
            <w:pPr>
              <w:pStyle w:val="TableContents"/>
              <w:bidi w:val="0"/>
              <w:spacing w:before="0" w:after="283"/>
              <w:jc w:val="left"/>
              <w:rPr/>
            </w:pPr>
            <w:r>
              <w:rPr/>
              <w:t> </w:t>
            </w:r>
          </w:p>
        </w:tc>
        <w:tc>
          <w:tcPr>
            <w:tcW w:w="17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8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(22,492,075</w:t>
            </w:r>
          </w:p>
        </w:tc>
        <w:tc>
          <w:tcPr>
            <w:tcW w:w="11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4" w:type="dxa"/>
            <w:tcBorders/>
            <w:shd w:fill="FFFFFF" w:val="clear"/>
            <w:vAlign w:val="center"/>
          </w:tcPr>
          <w:p>
            <w:pPr>
              <w:pStyle w:val="TableContents"/>
              <w:bidi w:val="0"/>
              <w:spacing w:before="0" w:after="283"/>
              <w:jc w:val="left"/>
              <w:rPr/>
            </w:pPr>
            <w:r>
              <w:rPr/>
              <w:t> </w:t>
            </w:r>
          </w:p>
        </w:tc>
        <w:tc>
          <w:tcPr>
            <w:tcW w:w="17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8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(31,513,389</w:t>
            </w:r>
          </w:p>
        </w:tc>
        <w:tc>
          <w:tcPr>
            <w:tcW w:w="1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52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pPr>
            <w:r>
              <w:rPr/>
              <w:t> </w:t>
            </w:r>
          </w:p>
        </w:tc>
        <w:tc>
          <w:tcPr>
            <w:tcW w:w="11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r>
      <w:tr>
        <w:trPr/>
        <w:tc>
          <w:tcPr>
            <w:tcW w:w="652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Deemed dividend - Series A and Series B warrant modification (net of tax)</w:t>
            </w:r>
          </w:p>
        </w:tc>
        <w:tc>
          <w:tcPr>
            <w:tcW w:w="60" w:type="dxa"/>
            <w:tcBorders/>
            <w:shd w:fill="FFFFFF" w:val="clear"/>
            <w:vAlign w:val="center"/>
          </w:tcPr>
          <w:p>
            <w:pPr>
              <w:pStyle w:val="TableContents"/>
              <w:bidi w:val="0"/>
              <w:spacing w:before="0" w:after="283"/>
              <w:jc w:val="left"/>
              <w:rPr/>
            </w:pPr>
            <w:r>
              <w:rPr/>
              <w:t> </w:t>
            </w:r>
          </w:p>
        </w:tc>
        <w:tc>
          <w:tcPr>
            <w:tcW w:w="1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8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9"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8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(418,360</w:t>
            </w:r>
          </w:p>
        </w:tc>
        <w:tc>
          <w:tcPr>
            <w:tcW w:w="1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52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pPr>
            <w:r>
              <w:rPr/>
              <w:t> </w:t>
            </w:r>
          </w:p>
        </w:tc>
        <w:tc>
          <w:tcPr>
            <w:tcW w:w="11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r>
      <w:tr>
        <w:trPr/>
        <w:tc>
          <w:tcPr>
            <w:tcW w:w="652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 attributable to common shareholders</w:t>
            </w:r>
          </w:p>
        </w:tc>
        <w:tc>
          <w:tcPr>
            <w:tcW w:w="60" w:type="dxa"/>
            <w:tcBorders/>
            <w:shd w:fill="FFFFFF" w:val="clear"/>
            <w:vAlign w:val="center"/>
          </w:tcPr>
          <w:p>
            <w:pPr>
              <w:pStyle w:val="TableContents"/>
              <w:bidi w:val="0"/>
              <w:spacing w:before="0" w:after="283"/>
              <w:jc w:val="left"/>
              <w:rPr/>
            </w:pPr>
            <w:r>
              <w:rPr/>
              <w:t> </w:t>
            </w:r>
          </w:p>
        </w:tc>
        <w:tc>
          <w:tcPr>
            <w:tcW w:w="17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8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(22,492,075</w:t>
            </w:r>
          </w:p>
        </w:tc>
        <w:tc>
          <w:tcPr>
            <w:tcW w:w="11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4" w:type="dxa"/>
            <w:tcBorders/>
            <w:shd w:fill="FFFFFF" w:val="clear"/>
            <w:vAlign w:val="center"/>
          </w:tcPr>
          <w:p>
            <w:pPr>
              <w:pStyle w:val="TableContents"/>
              <w:bidi w:val="0"/>
              <w:spacing w:before="0" w:after="283"/>
              <w:jc w:val="left"/>
              <w:rPr/>
            </w:pPr>
            <w:r>
              <w:rPr/>
              <w:t> </w:t>
            </w:r>
          </w:p>
        </w:tc>
        <w:tc>
          <w:tcPr>
            <w:tcW w:w="17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8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(31,095,029</w:t>
            </w:r>
          </w:p>
        </w:tc>
        <w:tc>
          <w:tcPr>
            <w:tcW w:w="1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52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pPr>
            <w:r>
              <w:rPr/>
              <w:t> </w:t>
            </w:r>
          </w:p>
        </w:tc>
        <w:tc>
          <w:tcPr>
            <w:tcW w:w="11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r>
      <w:tr>
        <w:trPr/>
        <w:tc>
          <w:tcPr>
            <w:tcW w:w="652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 per share attributable to common shareholders</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pPr>
            <w:r>
              <w:rPr/>
              <w:t> </w:t>
            </w:r>
          </w:p>
        </w:tc>
        <w:tc>
          <w:tcPr>
            <w:tcW w:w="119"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r>
      <w:tr>
        <w:trPr/>
        <w:tc>
          <w:tcPr>
            <w:tcW w:w="652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Basic and diluted</w:t>
            </w:r>
          </w:p>
        </w:tc>
        <w:tc>
          <w:tcPr>
            <w:tcW w:w="60" w:type="dxa"/>
            <w:tcBorders/>
            <w:shd w:fill="CCEEFF" w:val="clear"/>
            <w:vAlign w:val="center"/>
          </w:tcPr>
          <w:p>
            <w:pPr>
              <w:pStyle w:val="TableContents"/>
              <w:bidi w:val="0"/>
              <w:spacing w:before="0" w:after="283"/>
              <w:jc w:val="left"/>
              <w:rPr/>
            </w:pPr>
            <w:r>
              <w:rPr/>
              <w:t> </w:t>
            </w:r>
          </w:p>
        </w:tc>
        <w:tc>
          <w:tcPr>
            <w:tcW w:w="17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8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(5.95</w:t>
            </w:r>
          </w:p>
        </w:tc>
        <w:tc>
          <w:tcPr>
            <w:tcW w:w="11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4" w:type="dxa"/>
            <w:tcBorders/>
            <w:shd w:fill="CCEEFF" w:val="clear"/>
            <w:vAlign w:val="center"/>
          </w:tcPr>
          <w:p>
            <w:pPr>
              <w:pStyle w:val="TableContents"/>
              <w:bidi w:val="0"/>
              <w:spacing w:before="0" w:after="283"/>
              <w:jc w:val="left"/>
              <w:rPr/>
            </w:pPr>
            <w:r>
              <w:rPr/>
              <w:t> </w:t>
            </w:r>
          </w:p>
        </w:tc>
        <w:tc>
          <w:tcPr>
            <w:tcW w:w="17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8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(69.75</w:t>
            </w:r>
          </w:p>
        </w:tc>
        <w:tc>
          <w:tcPr>
            <w:tcW w:w="1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52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pPr>
            <w:r>
              <w:rPr/>
              <w:t> </w:t>
            </w:r>
          </w:p>
        </w:tc>
        <w:tc>
          <w:tcPr>
            <w:tcW w:w="119"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r>
      <w:tr>
        <w:trPr/>
        <w:tc>
          <w:tcPr>
            <w:tcW w:w="652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Weighted average common shares outstanding</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pPr>
            <w:r>
              <w:rPr/>
              <w:t> </w:t>
            </w:r>
          </w:p>
        </w:tc>
        <w:tc>
          <w:tcPr>
            <w:tcW w:w="11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r>
      <w:tr>
        <w:trPr/>
        <w:tc>
          <w:tcPr>
            <w:tcW w:w="652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Basic and diluted</w:t>
            </w:r>
          </w:p>
        </w:tc>
        <w:tc>
          <w:tcPr>
            <w:tcW w:w="60" w:type="dxa"/>
            <w:tcBorders/>
            <w:shd w:fill="FFFFFF" w:val="clear"/>
            <w:vAlign w:val="center"/>
          </w:tcPr>
          <w:p>
            <w:pPr>
              <w:pStyle w:val="TableContents"/>
              <w:bidi w:val="0"/>
              <w:spacing w:before="0" w:after="283"/>
              <w:jc w:val="left"/>
              <w:rPr/>
            </w:pPr>
            <w:r>
              <w:rPr/>
              <w:t> </w:t>
            </w:r>
          </w:p>
        </w:tc>
        <w:tc>
          <w:tcPr>
            <w:tcW w:w="17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48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3,782,998</w:t>
            </w:r>
          </w:p>
        </w:tc>
        <w:tc>
          <w:tcPr>
            <w:tcW w:w="119"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48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445,817</w:t>
            </w:r>
          </w:p>
        </w:tc>
        <w:tc>
          <w:tcPr>
            <w:tcW w:w="11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6" w:name="sp_005"/>
      <w:bookmarkEnd w:id="26"/>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Stockholders’ Equity (Deficit)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w:t>
      </w:r>
      <w:r>
        <w:rPr>
          <w:rFonts w:ascii="Times New Roman;Times;Serif" w:hAnsi="Times New Roman;Times;Serif"/>
          <w:b/>
          <w:i w:val="false"/>
          <w:caps w:val="false"/>
          <w:smallCaps w:val="false"/>
          <w:sz w:val="20"/>
          <w:shd w:fill="FFFFFF" w:val="clear"/>
        </w:rPr>
        <w:t>year ended December 31, 2025 and 2024</w:t>
      </w:r>
    </w:p>
    <w:p>
      <w:pPr>
        <w:pStyle w:val="TextBody"/>
        <w:bidi w:val="0"/>
        <w:spacing w:before="0" w:after="0"/>
        <w:ind w:left="0" w:right="0" w:hanging="0"/>
        <w:jc w:val="left"/>
        <w:rPr>
          <w:caps w:val="false"/>
          <w:smallCaps w:val="false"/>
        </w:rPr>
      </w:pPr>
      <w:r>
        <w:rPr>
          <w:caps w:val="false"/>
          <w:smallCaps w:val="false"/>
        </w:rPr>
        <w:t> </w:t>
      </w:r>
    </w:p>
    <w:tbl>
      <w:tblPr>
        <w:tblW w:w="13558" w:type="dxa"/>
        <w:jc w:val="left"/>
        <w:tblInd w:w="0" w:type="dxa"/>
        <w:tblLayout w:type="fixed"/>
        <w:tblCellMar>
          <w:top w:w="0" w:type="dxa"/>
          <w:left w:w="0" w:type="dxa"/>
          <w:bottom w:w="0" w:type="dxa"/>
          <w:right w:w="0" w:type="dxa"/>
        </w:tblCellMar>
      </w:tblPr>
      <w:tblGrid>
        <w:gridCol w:w="1340"/>
        <w:gridCol w:w="60"/>
        <w:gridCol w:w="181"/>
        <w:gridCol w:w="529"/>
        <w:gridCol w:w="72"/>
        <w:gridCol w:w="72"/>
        <w:gridCol w:w="422"/>
        <w:gridCol w:w="438"/>
        <w:gridCol w:w="60"/>
        <w:gridCol w:w="60"/>
        <w:gridCol w:w="190"/>
        <w:gridCol w:w="430"/>
        <w:gridCol w:w="72"/>
        <w:gridCol w:w="72"/>
        <w:gridCol w:w="444"/>
        <w:gridCol w:w="416"/>
        <w:gridCol w:w="60"/>
        <w:gridCol w:w="60"/>
        <w:gridCol w:w="60"/>
        <w:gridCol w:w="1100"/>
        <w:gridCol w:w="60"/>
        <w:gridCol w:w="60"/>
        <w:gridCol w:w="172"/>
        <w:gridCol w:w="688"/>
        <w:gridCol w:w="60"/>
        <w:gridCol w:w="60"/>
        <w:gridCol w:w="140"/>
        <w:gridCol w:w="1220"/>
        <w:gridCol w:w="95"/>
        <w:gridCol w:w="60"/>
        <w:gridCol w:w="251"/>
        <w:gridCol w:w="1359"/>
        <w:gridCol w:w="95"/>
        <w:gridCol w:w="60"/>
        <w:gridCol w:w="140"/>
        <w:gridCol w:w="1295"/>
        <w:gridCol w:w="95"/>
        <w:gridCol w:w="60"/>
        <w:gridCol w:w="142"/>
        <w:gridCol w:w="1198"/>
        <w:gridCol w:w="110"/>
      </w:tblGrid>
      <w:tr>
        <w:trPr/>
        <w:tc>
          <w:tcPr>
            <w:tcW w:w="13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10"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72" w:type="dxa"/>
            <w:tcBorders/>
            <w:vAlign w:val="center"/>
          </w:tcPr>
          <w:p>
            <w:pPr>
              <w:pStyle w:val="TableContents"/>
              <w:bidi w:val="0"/>
              <w:spacing w:before="0" w:after="283"/>
              <w:jc w:val="center"/>
              <w:rPr/>
            </w:pPr>
            <w:r>
              <w:rPr/>
              <w:t> </w:t>
            </w:r>
          </w:p>
        </w:tc>
        <w:tc>
          <w:tcPr>
            <w:tcW w:w="72" w:type="dxa"/>
            <w:tcBorders/>
            <w:vAlign w:val="center"/>
          </w:tcPr>
          <w:p>
            <w:pPr>
              <w:pStyle w:val="TableContents"/>
              <w:bidi w:val="0"/>
              <w:spacing w:before="0" w:after="283"/>
              <w:jc w:val="center"/>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20"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72" w:type="dxa"/>
            <w:tcBorders/>
            <w:vAlign w:val="center"/>
          </w:tcPr>
          <w:p>
            <w:pPr>
              <w:pStyle w:val="TableContents"/>
              <w:bidi w:val="0"/>
              <w:spacing w:before="0" w:after="283"/>
              <w:jc w:val="center"/>
              <w:rPr/>
            </w:pPr>
            <w:r>
              <w:rPr/>
              <w:t> </w:t>
            </w:r>
          </w:p>
        </w:tc>
        <w:tc>
          <w:tcPr>
            <w:tcW w:w="72" w:type="dxa"/>
            <w:tcBorders/>
            <w:vAlign w:val="center"/>
          </w:tcPr>
          <w:p>
            <w:pPr>
              <w:pStyle w:val="TableContents"/>
              <w:bidi w:val="0"/>
              <w:spacing w:before="0" w:after="283"/>
              <w:jc w:val="center"/>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610"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35"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40"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center"/>
              <w:rPr/>
            </w:pPr>
            <w:r>
              <w:rPr/>
              <w:t> </w:t>
            </w:r>
          </w:p>
        </w:tc>
      </w:tr>
      <w:tr>
        <w:trPr/>
        <w:tc>
          <w:tcPr>
            <w:tcW w:w="1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14"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Series A Preferred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4"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Series FE Preferred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Additional</w:t>
              <w:br/>
              <w:t>Paid-in-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Accumulated Other Comprehensive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w:t>
              <w:br/>
              <w:t>Stockholders’</w:t>
            </w:r>
          </w:p>
        </w:tc>
        <w:tc>
          <w:tcPr>
            <w:tcW w:w="110"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Shares</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Capital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(loss) income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Equity</w:t>
            </w:r>
          </w:p>
        </w:tc>
        <w:tc>
          <w:tcPr>
            <w:tcW w:w="110" w:type="dxa"/>
            <w:tcBorders/>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 December 31, 2024</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43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44"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4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819,516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88"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22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75,515,829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3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295"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(78,279,713</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98"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(2,763,802</w:t>
            </w:r>
          </w:p>
        </w:tc>
        <w:tc>
          <w:tcPr>
            <w:tcW w:w="11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r>
      <w:tr>
        <w:trPr/>
        <w:tc>
          <w:tcPr>
            <w:tcW w:w="13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to Yorkville under the SEPA</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44"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2,882,001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18,602,931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3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9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18,603,220</w:t>
            </w:r>
          </w:p>
        </w:tc>
        <w:tc>
          <w:tcPr>
            <w:tcW w:w="110" w:type="dxa"/>
            <w:tcBorders/>
            <w:shd w:fill="FFFFFF" w:val="clear"/>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under ATM</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44" w:type="dxa"/>
            <w:tcBorders/>
            <w:shd w:fill="CCEEFF" w:val="clear"/>
            <w:vAlign w:val="center"/>
          </w:tcPr>
          <w:p>
            <w:pPr>
              <w:pStyle w:val="TableContents"/>
              <w:bidi w:val="0"/>
              <w:spacing w:before="0" w:after="283"/>
              <w:jc w:val="left"/>
              <w:rPr/>
            </w:pPr>
            <w:r>
              <w:rPr/>
              <w:t> </w:t>
            </w:r>
          </w:p>
        </w:tc>
        <w:tc>
          <w:tcPr>
            <w:tcW w:w="4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1,816,387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3,429,075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9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3,429,257</w:t>
            </w:r>
          </w:p>
        </w:tc>
        <w:tc>
          <w:tcPr>
            <w:tcW w:w="110"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to FE</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44"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1,176,628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(118</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3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98"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upon private placement</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44" w:type="dxa"/>
            <w:tcBorders/>
            <w:shd w:fill="CCEEFF" w:val="clear"/>
            <w:vAlign w:val="center"/>
          </w:tcPr>
          <w:p>
            <w:pPr>
              <w:pStyle w:val="TableContents"/>
              <w:bidi w:val="0"/>
              <w:spacing w:before="0" w:after="283"/>
              <w:jc w:val="left"/>
              <w:rPr/>
            </w:pPr>
            <w:r>
              <w:rPr/>
              <w:t> </w:t>
            </w:r>
          </w:p>
        </w:tc>
        <w:tc>
          <w:tcPr>
            <w:tcW w:w="4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64,237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329,990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9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329,996</w:t>
            </w:r>
          </w:p>
        </w:tc>
        <w:tc>
          <w:tcPr>
            <w:tcW w:w="110"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for payment to Hudson</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44"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130,600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974,247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3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9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974,261</w:t>
            </w:r>
          </w:p>
        </w:tc>
        <w:tc>
          <w:tcPr>
            <w:tcW w:w="110" w:type="dxa"/>
            <w:tcBorders/>
            <w:shd w:fill="FFFFFF" w:val="clear"/>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for payment to Verista</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44" w:type="dxa"/>
            <w:tcBorders/>
            <w:shd w:fill="CCEEFF" w:val="clear"/>
            <w:vAlign w:val="center"/>
          </w:tcPr>
          <w:p>
            <w:pPr>
              <w:pStyle w:val="TableContents"/>
              <w:bidi w:val="0"/>
              <w:spacing w:before="0" w:after="283"/>
              <w:jc w:val="left"/>
              <w:rPr/>
            </w:pPr>
            <w:r>
              <w:rPr/>
              <w:t> </w:t>
            </w:r>
          </w:p>
        </w:tc>
        <w:tc>
          <w:tcPr>
            <w:tcW w:w="4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49,800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9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49,800</w:t>
            </w:r>
          </w:p>
        </w:tc>
        <w:tc>
          <w:tcPr>
            <w:tcW w:w="110"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for payment to Houlihan</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44"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30,809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3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9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30,810</w:t>
            </w:r>
          </w:p>
        </w:tc>
        <w:tc>
          <w:tcPr>
            <w:tcW w:w="110" w:type="dxa"/>
            <w:tcBorders/>
            <w:shd w:fill="FFFFFF" w:val="clear"/>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for payment to Perkins Coie</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44" w:type="dxa"/>
            <w:tcBorders/>
            <w:shd w:fill="CCEEFF" w:val="clear"/>
            <w:vAlign w:val="center"/>
          </w:tcPr>
          <w:p>
            <w:pPr>
              <w:pStyle w:val="TableContents"/>
              <w:bidi w:val="0"/>
              <w:spacing w:before="0" w:after="283"/>
              <w:jc w:val="left"/>
              <w:rPr/>
            </w:pPr>
            <w:r>
              <w:rPr/>
              <w:t> </w:t>
            </w:r>
          </w:p>
        </w:tc>
        <w:tc>
          <w:tcPr>
            <w:tcW w:w="4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365,287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9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365,300</w:t>
            </w:r>
          </w:p>
        </w:tc>
        <w:tc>
          <w:tcPr>
            <w:tcW w:w="110"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for payment to Acorn</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44"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13,158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22,631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3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9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22,632</w:t>
            </w:r>
          </w:p>
        </w:tc>
        <w:tc>
          <w:tcPr>
            <w:tcW w:w="110" w:type="dxa"/>
            <w:tcBorders/>
            <w:shd w:fill="FFFFFF" w:val="clear"/>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for Vidello acquisition</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44" w:type="dxa"/>
            <w:tcBorders/>
            <w:shd w:fill="CCEEFF" w:val="clear"/>
            <w:vAlign w:val="center"/>
          </w:tcPr>
          <w:p>
            <w:pPr>
              <w:pStyle w:val="TableContents"/>
              <w:bidi w:val="0"/>
              <w:spacing w:before="0" w:after="283"/>
              <w:jc w:val="left"/>
              <w:rPr/>
            </w:pPr>
            <w:r>
              <w:rPr/>
              <w:t> </w:t>
            </w:r>
          </w:p>
        </w:tc>
        <w:tc>
          <w:tcPr>
            <w:tcW w:w="4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89,820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1,661,668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9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1,661,677</w:t>
            </w:r>
          </w:p>
        </w:tc>
        <w:tc>
          <w:tcPr>
            <w:tcW w:w="110"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to 1800 Diagonal for conversions of debt</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44"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240,883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457,469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3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9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457,493</w:t>
            </w:r>
          </w:p>
        </w:tc>
        <w:tc>
          <w:tcPr>
            <w:tcW w:w="110" w:type="dxa"/>
            <w:tcBorders/>
            <w:shd w:fill="FFFFFF" w:val="clear"/>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to 3i for conversions of debt</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44" w:type="dxa"/>
            <w:tcBorders/>
            <w:shd w:fill="CCEEFF" w:val="clear"/>
            <w:vAlign w:val="center"/>
          </w:tcPr>
          <w:p>
            <w:pPr>
              <w:pStyle w:val="TableContents"/>
              <w:bidi w:val="0"/>
              <w:spacing w:before="0" w:after="283"/>
              <w:jc w:val="left"/>
              <w:rPr/>
            </w:pPr>
            <w:r>
              <w:rPr/>
              <w:t> </w:t>
            </w:r>
          </w:p>
        </w:tc>
        <w:tc>
          <w:tcPr>
            <w:tcW w:w="4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2,565,781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4,342,859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9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4,343,116</w:t>
            </w:r>
          </w:p>
        </w:tc>
        <w:tc>
          <w:tcPr>
            <w:tcW w:w="110"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to Agile for conversions of debt</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44"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232,786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283,977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3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9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284,000</w:t>
            </w:r>
          </w:p>
        </w:tc>
        <w:tc>
          <w:tcPr>
            <w:tcW w:w="110" w:type="dxa"/>
            <w:tcBorders/>
            <w:shd w:fill="FFFFFF" w:val="clear"/>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to CP BF for conversions of debt</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44" w:type="dxa"/>
            <w:tcBorders/>
            <w:shd w:fill="CCEEFF" w:val="clear"/>
            <w:vAlign w:val="center"/>
          </w:tcPr>
          <w:p>
            <w:pPr>
              <w:pStyle w:val="TableContents"/>
              <w:bidi w:val="0"/>
              <w:spacing w:before="0" w:after="283"/>
              <w:jc w:val="left"/>
              <w:rPr/>
            </w:pPr>
            <w:r>
              <w:rPr/>
              <w:t> </w:t>
            </w:r>
          </w:p>
        </w:tc>
        <w:tc>
          <w:tcPr>
            <w:tcW w:w="4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62,700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165,455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9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165,461</w:t>
            </w:r>
          </w:p>
        </w:tc>
        <w:tc>
          <w:tcPr>
            <w:tcW w:w="110"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Stock-based compensation</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44"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2,679,231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3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9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2,679,231</w:t>
            </w:r>
          </w:p>
        </w:tc>
        <w:tc>
          <w:tcPr>
            <w:tcW w:w="110" w:type="dxa"/>
            <w:tcBorders/>
            <w:shd w:fill="FFFFFF" w:val="clear"/>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Vesting of RSUs</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44" w:type="dxa"/>
            <w:tcBorders/>
            <w:shd w:fill="CCEEFF" w:val="clear"/>
            <w:vAlign w:val="center"/>
          </w:tcPr>
          <w:p>
            <w:pPr>
              <w:pStyle w:val="TableContents"/>
              <w:bidi w:val="0"/>
              <w:spacing w:before="0" w:after="283"/>
              <w:jc w:val="left"/>
              <w:rPr/>
            </w:pPr>
            <w:r>
              <w:rPr/>
              <w:t> </w:t>
            </w:r>
          </w:p>
        </w:tc>
        <w:tc>
          <w:tcPr>
            <w:tcW w:w="4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200,954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98"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Exercise of warrants</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44"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104,882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3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98"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Currency translation adjustment</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44" w:type="dxa"/>
            <w:tcBorders/>
            <w:shd w:fill="CCEEFF" w:val="clear"/>
            <w:vAlign w:val="center"/>
          </w:tcPr>
          <w:p>
            <w:pPr>
              <w:pStyle w:val="TableContents"/>
              <w:bidi w:val="0"/>
              <w:spacing w:before="0" w:after="283"/>
              <w:jc w:val="left"/>
              <w:rPr/>
            </w:pPr>
            <w:r>
              <w:rPr/>
              <w:t> </w:t>
            </w:r>
          </w:p>
        </w:tc>
        <w:tc>
          <w:tcPr>
            <w:tcW w:w="4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(85,377</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9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(85,377</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13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w:t>
            </w:r>
          </w:p>
        </w:tc>
        <w:tc>
          <w:tcPr>
            <w:tcW w:w="60" w:type="dxa"/>
            <w:tcBorders/>
            <w:shd w:fill="FFFFFF" w:val="clear"/>
            <w:vAlign w:val="center"/>
          </w:tcPr>
          <w:p>
            <w:pPr>
              <w:pStyle w:val="TableContents"/>
              <w:bidi w:val="0"/>
              <w:spacing w:before="0" w:after="283"/>
              <w:jc w:val="left"/>
              <w:rPr/>
            </w:pPr>
            <w:r>
              <w:rPr/>
              <w:t> </w:t>
            </w:r>
          </w:p>
        </w:tc>
        <w:tc>
          <w:tcPr>
            <w:tcW w:w="18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2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2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3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3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4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16"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5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(22,492,075</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9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(22,492,075</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134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 December 31, 2025</w:t>
            </w:r>
          </w:p>
        </w:tc>
        <w:tc>
          <w:tcPr>
            <w:tcW w:w="60" w:type="dxa"/>
            <w:tcBorders/>
            <w:shd w:fill="CCEEFF" w:val="clear"/>
            <w:vAlign w:val="center"/>
          </w:tcPr>
          <w:p>
            <w:pPr>
              <w:pStyle w:val="TableContents"/>
              <w:bidi w:val="0"/>
              <w:spacing w:before="0" w:after="283"/>
              <w:jc w:val="left"/>
              <w:rPr/>
            </w:pPr>
            <w:r>
              <w:rPr/>
              <w:t> </w:t>
            </w:r>
          </w:p>
        </w:tc>
        <w:tc>
          <w:tcPr>
            <w:tcW w:w="18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529"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2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438"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430"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4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416"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10,546,333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8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1,055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108,911,110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35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(85,377</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29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(100,771,788</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14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9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8,055,001</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432"/>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Stockholders’ Equity (Deficit)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w:t>
      </w:r>
      <w:r>
        <w:rPr>
          <w:rFonts w:ascii="Times New Roman;Times;Serif" w:hAnsi="Times New Roman;Times;Serif"/>
          <w:b/>
          <w:i w:val="false"/>
          <w:caps w:val="false"/>
          <w:smallCaps w:val="false"/>
          <w:sz w:val="20"/>
          <w:shd w:fill="FFFFFF" w:val="clear"/>
        </w:rPr>
        <w:t>year ended December 31, 2025 and 2024</w:t>
      </w:r>
    </w:p>
    <w:p>
      <w:pPr>
        <w:pStyle w:val="TextBody"/>
        <w:bidi w:val="0"/>
        <w:spacing w:before="0" w:after="0"/>
        <w:ind w:left="0" w:right="0" w:hanging="0"/>
        <w:jc w:val="left"/>
        <w:rPr>
          <w:caps w:val="false"/>
          <w:smallCaps w:val="false"/>
        </w:rPr>
      </w:pPr>
      <w:r>
        <w:rPr>
          <w:caps w:val="false"/>
          <w:smallCaps w:val="false"/>
        </w:rPr>
        <w:t> </w:t>
      </w:r>
    </w:p>
    <w:tbl>
      <w:tblPr>
        <w:tblW w:w="12383" w:type="dxa"/>
        <w:jc w:val="left"/>
        <w:tblInd w:w="0" w:type="dxa"/>
        <w:tblLayout w:type="fixed"/>
        <w:tblCellMar>
          <w:top w:w="0" w:type="dxa"/>
          <w:left w:w="0" w:type="dxa"/>
          <w:bottom w:w="0" w:type="dxa"/>
          <w:right w:w="0" w:type="dxa"/>
        </w:tblCellMar>
      </w:tblPr>
      <w:tblGrid>
        <w:gridCol w:w="1385"/>
        <w:gridCol w:w="60"/>
        <w:gridCol w:w="181"/>
        <w:gridCol w:w="529"/>
        <w:gridCol w:w="72"/>
        <w:gridCol w:w="72"/>
        <w:gridCol w:w="422"/>
        <w:gridCol w:w="438"/>
        <w:gridCol w:w="60"/>
        <w:gridCol w:w="60"/>
        <w:gridCol w:w="190"/>
        <w:gridCol w:w="430"/>
        <w:gridCol w:w="72"/>
        <w:gridCol w:w="72"/>
        <w:gridCol w:w="444"/>
        <w:gridCol w:w="416"/>
        <w:gridCol w:w="60"/>
        <w:gridCol w:w="60"/>
        <w:gridCol w:w="60"/>
        <w:gridCol w:w="800"/>
        <w:gridCol w:w="95"/>
        <w:gridCol w:w="60"/>
        <w:gridCol w:w="301"/>
        <w:gridCol w:w="559"/>
        <w:gridCol w:w="60"/>
        <w:gridCol w:w="60"/>
        <w:gridCol w:w="140"/>
        <w:gridCol w:w="1100"/>
        <w:gridCol w:w="95"/>
        <w:gridCol w:w="60"/>
        <w:gridCol w:w="145"/>
        <w:gridCol w:w="1225"/>
        <w:gridCol w:w="95"/>
        <w:gridCol w:w="60"/>
        <w:gridCol w:w="140"/>
        <w:gridCol w:w="2195"/>
        <w:gridCol w:w="110"/>
      </w:tblGrid>
      <w:tr>
        <w:trPr/>
        <w:tc>
          <w:tcPr>
            <w:tcW w:w="13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10"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72" w:type="dxa"/>
            <w:tcBorders/>
            <w:vAlign w:val="center"/>
          </w:tcPr>
          <w:p>
            <w:pPr>
              <w:pStyle w:val="TableContents"/>
              <w:bidi w:val="0"/>
              <w:spacing w:before="0" w:after="283"/>
              <w:jc w:val="center"/>
              <w:rPr/>
            </w:pPr>
            <w:r>
              <w:rPr/>
              <w:t> </w:t>
            </w:r>
          </w:p>
        </w:tc>
        <w:tc>
          <w:tcPr>
            <w:tcW w:w="72" w:type="dxa"/>
            <w:tcBorders/>
            <w:vAlign w:val="center"/>
          </w:tcPr>
          <w:p>
            <w:pPr>
              <w:pStyle w:val="TableContents"/>
              <w:bidi w:val="0"/>
              <w:spacing w:before="0" w:after="283"/>
              <w:jc w:val="center"/>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20"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72" w:type="dxa"/>
            <w:tcBorders/>
            <w:vAlign w:val="center"/>
          </w:tcPr>
          <w:p>
            <w:pPr>
              <w:pStyle w:val="TableContents"/>
              <w:bidi w:val="0"/>
              <w:spacing w:before="0" w:after="283"/>
              <w:jc w:val="center"/>
              <w:rPr/>
            </w:pPr>
            <w:r>
              <w:rPr/>
              <w:t> </w:t>
            </w:r>
          </w:p>
        </w:tc>
        <w:tc>
          <w:tcPr>
            <w:tcW w:w="72" w:type="dxa"/>
            <w:tcBorders/>
            <w:vAlign w:val="center"/>
          </w:tcPr>
          <w:p>
            <w:pPr>
              <w:pStyle w:val="TableContents"/>
              <w:bidi w:val="0"/>
              <w:spacing w:before="0" w:after="283"/>
              <w:jc w:val="center"/>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335"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center"/>
              <w:rPr/>
            </w:pPr>
            <w:r>
              <w:rPr/>
              <w:t> </w:t>
            </w:r>
          </w:p>
        </w:tc>
      </w:tr>
      <w:tr>
        <w:trPr/>
        <w:tc>
          <w:tcPr>
            <w:tcW w:w="13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714"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Series A Preferred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4"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Series FE Preferred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7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Additional</w:t>
              <w:br/>
              <w:t>Paid-in-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35"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w:t>
              <w:br/>
              <w:t>Stockholders’ Equity</w:t>
            </w:r>
          </w:p>
        </w:tc>
        <w:tc>
          <w:tcPr>
            <w:tcW w:w="110" w:type="dxa"/>
            <w:tcBorders/>
            <w:vAlign w:val="center"/>
          </w:tcPr>
          <w:p>
            <w:pPr>
              <w:pStyle w:val="TableContents"/>
              <w:bidi w:val="0"/>
              <w:spacing w:before="0" w:after="283"/>
              <w:jc w:val="left"/>
              <w:rPr/>
            </w:pPr>
            <w:r>
              <w:rPr/>
              <w:t> </w:t>
            </w:r>
          </w:p>
        </w:tc>
      </w:tr>
      <w:tr>
        <w:trPr/>
        <w:tc>
          <w:tcPr>
            <w:tcW w:w="13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Shares</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Capital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(Deficit)</w:t>
            </w:r>
          </w:p>
        </w:tc>
        <w:tc>
          <w:tcPr>
            <w:tcW w:w="110" w:type="dxa"/>
            <w:tcBorders/>
            <w:vAlign w:val="center"/>
          </w:tcPr>
          <w:p>
            <w:pPr>
              <w:pStyle w:val="TableContents"/>
              <w:bidi w:val="0"/>
              <w:spacing w:before="0" w:after="283"/>
              <w:jc w:val="left"/>
              <w:rPr/>
            </w:pPr>
            <w:r>
              <w:rPr/>
              <w:t> </w:t>
            </w:r>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 December 31, 2023</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44" w:type="dxa"/>
            <w:tcBorders/>
            <w:shd w:fill="CCEEFF" w:val="clear"/>
            <w:vAlign w:val="center"/>
          </w:tcPr>
          <w:p>
            <w:pPr>
              <w:pStyle w:val="TableContents"/>
              <w:bidi w:val="0"/>
              <w:spacing w:before="0" w:after="283"/>
              <w:jc w:val="left"/>
              <w:rPr/>
            </w:pPr>
            <w:r>
              <w:rPr/>
              <w:t> </w:t>
            </w:r>
          </w:p>
        </w:tc>
        <w:tc>
          <w:tcPr>
            <w:tcW w:w="4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258,529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14,890,169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(46,766,324</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2195" w:type="dxa"/>
            <w:tcBorders/>
            <w:shd w:fill="CCEEFF" w:val="clear"/>
            <w:vAlign w:val="center"/>
          </w:tcPr>
          <w:p>
            <w:pPr>
              <w:pStyle w:val="TableContents"/>
              <w:bidi w:val="0"/>
              <w:spacing w:before="0" w:after="283"/>
              <w:jc w:val="right"/>
              <w:rPr/>
            </w:pPr>
            <w:r>
              <w:rPr/>
              <w:t>                 </w:t>
            </w:r>
            <w:r>
              <w:rPr>
                <w:rFonts w:ascii="Times New Roman;Times;Serif" w:hAnsi="Times New Roman;Times;Serif"/>
                <w:b/>
              </w:rPr>
              <w:t>(31,876,129</w:t>
            </w:r>
          </w:p>
        </w:tc>
        <w:tc>
          <w:tcPr>
            <w:tcW w:w="11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Effect of reverse stock split</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44"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18,959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219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Conversion of convertible notes - related party</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44" w:type="dxa"/>
            <w:tcBorders/>
            <w:shd w:fill="CCEEFF" w:val="clear"/>
            <w:vAlign w:val="center"/>
          </w:tcPr>
          <w:p>
            <w:pPr>
              <w:pStyle w:val="TableContents"/>
              <w:bidi w:val="0"/>
              <w:spacing w:before="0" w:after="283"/>
              <w:jc w:val="left"/>
              <w:rPr/>
            </w:pPr>
            <w:r>
              <w:rPr/>
              <w:t> </w:t>
            </w:r>
          </w:p>
        </w:tc>
        <w:tc>
          <w:tcPr>
            <w:tcW w:w="4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2,540,091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21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2,540,091</w:t>
            </w:r>
          </w:p>
        </w:tc>
        <w:tc>
          <w:tcPr>
            <w:tcW w:w="110" w:type="dxa"/>
            <w:tcBorders/>
            <w:shd w:fill="CCEEFF" w:val="clear"/>
            <w:vAlign w:val="center"/>
          </w:tcPr>
          <w:p>
            <w:pPr>
              <w:pStyle w:val="TableContents"/>
              <w:bidi w:val="0"/>
              <w:spacing w:before="0" w:after="283"/>
              <w:jc w:val="left"/>
              <w:rPr/>
            </w:pPr>
            <w:r>
              <w:rPr/>
              <w:t> </w:t>
            </w:r>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to Yorkville for convertible notes</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44"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45,416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4,129,995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21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4,130,000</w:t>
            </w:r>
          </w:p>
        </w:tc>
        <w:tc>
          <w:tcPr>
            <w:tcW w:w="110" w:type="dxa"/>
            <w:tcBorders/>
            <w:shd w:fill="FFFFFF" w:val="clear"/>
            <w:vAlign w:val="center"/>
          </w:tcPr>
          <w:p>
            <w:pPr>
              <w:pStyle w:val="TableContents"/>
              <w:bidi w:val="0"/>
              <w:spacing w:before="0" w:after="283"/>
              <w:jc w:val="left"/>
              <w:rPr/>
            </w:pPr>
            <w:r>
              <w:rPr/>
              <w:t> </w:t>
            </w:r>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to Yorkville for commitment fee</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44" w:type="dxa"/>
            <w:tcBorders/>
            <w:shd w:fill="CCEEFF" w:val="clear"/>
            <w:vAlign w:val="center"/>
          </w:tcPr>
          <w:p>
            <w:pPr>
              <w:pStyle w:val="TableContents"/>
              <w:bidi w:val="0"/>
              <w:spacing w:before="0" w:after="283"/>
              <w:jc w:val="left"/>
              <w:rPr/>
            </w:pPr>
            <w:r>
              <w:rPr/>
              <w:t> </w:t>
            </w:r>
          </w:p>
        </w:tc>
        <w:tc>
          <w:tcPr>
            <w:tcW w:w="4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21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500,000</w:t>
            </w:r>
          </w:p>
        </w:tc>
        <w:tc>
          <w:tcPr>
            <w:tcW w:w="110" w:type="dxa"/>
            <w:tcBorders/>
            <w:shd w:fill="CCEEFF" w:val="clear"/>
            <w:vAlign w:val="center"/>
          </w:tcPr>
          <w:p>
            <w:pPr>
              <w:pStyle w:val="TableContents"/>
              <w:bidi w:val="0"/>
              <w:spacing w:before="0" w:after="283"/>
              <w:jc w:val="left"/>
              <w:rPr/>
            </w:pPr>
            <w:r>
              <w:rPr/>
              <w:t> </w:t>
            </w:r>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to Yorkville for redemption premium</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44"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115,800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21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115,800</w:t>
            </w:r>
          </w:p>
        </w:tc>
        <w:tc>
          <w:tcPr>
            <w:tcW w:w="110" w:type="dxa"/>
            <w:tcBorders/>
            <w:shd w:fill="FFFFFF" w:val="clear"/>
            <w:vAlign w:val="center"/>
          </w:tcPr>
          <w:p>
            <w:pPr>
              <w:pStyle w:val="TableContents"/>
              <w:bidi w:val="0"/>
              <w:spacing w:before="0" w:after="283"/>
              <w:jc w:val="left"/>
              <w:rPr/>
            </w:pPr>
            <w:r>
              <w:rPr/>
              <w:t> </w:t>
            </w:r>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to Roth for advisory fee</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44" w:type="dxa"/>
            <w:tcBorders/>
            <w:shd w:fill="CCEEFF" w:val="clear"/>
            <w:vAlign w:val="center"/>
          </w:tcPr>
          <w:p>
            <w:pPr>
              <w:pStyle w:val="TableContents"/>
              <w:bidi w:val="0"/>
              <w:spacing w:before="0" w:after="283"/>
              <w:jc w:val="left"/>
              <w:rPr/>
            </w:pPr>
            <w:r>
              <w:rPr/>
              <w:t> </w:t>
            </w:r>
          </w:p>
        </w:tc>
        <w:tc>
          <w:tcPr>
            <w:tcW w:w="4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3,879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578,832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21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578,833</w:t>
            </w:r>
          </w:p>
        </w:tc>
        <w:tc>
          <w:tcPr>
            <w:tcW w:w="110" w:type="dxa"/>
            <w:tcBorders/>
            <w:shd w:fill="CCEEFF" w:val="clear"/>
            <w:vAlign w:val="center"/>
          </w:tcPr>
          <w:p>
            <w:pPr>
              <w:pStyle w:val="TableContents"/>
              <w:bidi w:val="0"/>
              <w:spacing w:before="0" w:after="283"/>
              <w:jc w:val="left"/>
              <w:rPr/>
            </w:pPr>
            <w:r>
              <w:rPr/>
              <w:t> </w:t>
            </w:r>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to GEM</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44"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784,941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21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784,943</w:t>
            </w:r>
          </w:p>
        </w:tc>
        <w:tc>
          <w:tcPr>
            <w:tcW w:w="110" w:type="dxa"/>
            <w:tcBorders/>
            <w:shd w:fill="FFFFFF" w:val="clear"/>
            <w:vAlign w:val="center"/>
          </w:tcPr>
          <w:p>
            <w:pPr>
              <w:pStyle w:val="TableContents"/>
              <w:bidi w:val="0"/>
              <w:spacing w:before="0" w:after="283"/>
              <w:jc w:val="left"/>
              <w:rPr/>
            </w:pPr>
            <w:r>
              <w:rPr/>
              <w:t> </w:t>
            </w:r>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for marketing expense</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44" w:type="dxa"/>
            <w:tcBorders/>
            <w:shd w:fill="CCEEFF" w:val="clear"/>
            <w:vAlign w:val="center"/>
          </w:tcPr>
          <w:p>
            <w:pPr>
              <w:pStyle w:val="TableContents"/>
              <w:bidi w:val="0"/>
              <w:spacing w:before="0" w:after="283"/>
              <w:jc w:val="left"/>
              <w:rPr/>
            </w:pPr>
            <w:r>
              <w:rPr/>
              <w:t> </w:t>
            </w:r>
          </w:p>
        </w:tc>
        <w:tc>
          <w:tcPr>
            <w:tcW w:w="4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334,772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21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334,772</w:t>
            </w:r>
          </w:p>
        </w:tc>
        <w:tc>
          <w:tcPr>
            <w:tcW w:w="110" w:type="dxa"/>
            <w:tcBorders/>
            <w:shd w:fill="CCEEFF" w:val="clear"/>
            <w:vAlign w:val="center"/>
          </w:tcPr>
          <w:p>
            <w:pPr>
              <w:pStyle w:val="TableContents"/>
              <w:bidi w:val="0"/>
              <w:spacing w:before="0" w:after="283"/>
              <w:jc w:val="left"/>
              <w:rPr/>
            </w:pPr>
            <w:r>
              <w:rPr/>
              <w:t> </w:t>
            </w:r>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Forfeiture of sponsor shares</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44"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219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common stock and warrants, net of issuance costs</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44" w:type="dxa"/>
            <w:tcBorders/>
            <w:shd w:fill="CCEEFF" w:val="clear"/>
            <w:vAlign w:val="center"/>
          </w:tcPr>
          <w:p>
            <w:pPr>
              <w:pStyle w:val="TableContents"/>
              <w:bidi w:val="0"/>
              <w:spacing w:before="0" w:after="283"/>
              <w:jc w:val="left"/>
              <w:rPr/>
            </w:pPr>
            <w:r>
              <w:rPr/>
              <w:t> </w:t>
            </w:r>
          </w:p>
        </w:tc>
        <w:tc>
          <w:tcPr>
            <w:tcW w:w="4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10,456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6,257,367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21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6,257,368</w:t>
            </w:r>
          </w:p>
        </w:tc>
        <w:tc>
          <w:tcPr>
            <w:tcW w:w="110" w:type="dxa"/>
            <w:tcBorders/>
            <w:shd w:fill="CCEEFF" w:val="clear"/>
            <w:vAlign w:val="center"/>
          </w:tcPr>
          <w:p>
            <w:pPr>
              <w:pStyle w:val="TableContents"/>
              <w:bidi w:val="0"/>
              <w:spacing w:before="0" w:after="283"/>
              <w:jc w:val="left"/>
              <w:rPr/>
            </w:pPr>
            <w:r>
              <w:rPr/>
              <w:t> </w:t>
            </w:r>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Incremental fair value of Series A and Series B warrant modification</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44"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418,360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21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418,360</w:t>
            </w:r>
          </w:p>
        </w:tc>
        <w:tc>
          <w:tcPr>
            <w:tcW w:w="110" w:type="dxa"/>
            <w:tcBorders/>
            <w:shd w:fill="FFFFFF" w:val="clear"/>
            <w:vAlign w:val="center"/>
          </w:tcPr>
          <w:p>
            <w:pPr>
              <w:pStyle w:val="TableContents"/>
              <w:bidi w:val="0"/>
              <w:spacing w:before="0" w:after="283"/>
              <w:jc w:val="left"/>
              <w:rPr/>
            </w:pPr>
            <w:r>
              <w:rPr/>
              <w:t> </w:t>
            </w:r>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Deemed dividend - Series A and Series B warrant modification</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44" w:type="dxa"/>
            <w:tcBorders/>
            <w:shd w:fill="CCEEFF" w:val="clear"/>
            <w:vAlign w:val="center"/>
          </w:tcPr>
          <w:p>
            <w:pPr>
              <w:pStyle w:val="TableContents"/>
              <w:bidi w:val="0"/>
              <w:spacing w:before="0" w:after="283"/>
              <w:jc w:val="left"/>
              <w:rPr/>
            </w:pPr>
            <w:r>
              <w:rPr/>
              <w:t> </w:t>
            </w:r>
          </w:p>
        </w:tc>
        <w:tc>
          <w:tcPr>
            <w:tcW w:w="4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(418,360</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21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(418,360</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for exercise of Pre-Funded warrants</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44"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17,322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21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866</w:t>
            </w:r>
          </w:p>
        </w:tc>
        <w:tc>
          <w:tcPr>
            <w:tcW w:w="110" w:type="dxa"/>
            <w:tcBorders/>
            <w:shd w:fill="FFFFFF" w:val="clear"/>
            <w:vAlign w:val="center"/>
          </w:tcPr>
          <w:p>
            <w:pPr>
              <w:pStyle w:val="TableContents"/>
              <w:bidi w:val="0"/>
              <w:spacing w:before="0" w:after="283"/>
              <w:jc w:val="left"/>
              <w:rPr/>
            </w:pPr>
            <w:r>
              <w:rPr/>
              <w:t> </w:t>
            </w:r>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warrants and pre-funded warrants issued to CP BF on modification of CP BF debt agreement</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44" w:type="dxa"/>
            <w:tcBorders/>
            <w:shd w:fill="CCEEFF" w:val="clear"/>
            <w:vAlign w:val="center"/>
          </w:tcPr>
          <w:p>
            <w:pPr>
              <w:pStyle w:val="TableContents"/>
              <w:bidi w:val="0"/>
              <w:spacing w:before="0" w:after="283"/>
              <w:jc w:val="left"/>
              <w:rPr/>
            </w:pPr>
            <w:r>
              <w:rPr/>
              <w:t> </w:t>
            </w:r>
          </w:p>
        </w:tc>
        <w:tc>
          <w:tcPr>
            <w:tcW w:w="4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33,085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1,287,000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21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1,287,003</w:t>
            </w:r>
          </w:p>
        </w:tc>
        <w:tc>
          <w:tcPr>
            <w:tcW w:w="110" w:type="dxa"/>
            <w:tcBorders/>
            <w:shd w:fill="CCEEFF" w:val="clear"/>
            <w:vAlign w:val="center"/>
          </w:tcPr>
          <w:p>
            <w:pPr>
              <w:pStyle w:val="TableContents"/>
              <w:bidi w:val="0"/>
              <w:spacing w:before="0" w:after="283"/>
              <w:jc w:val="left"/>
              <w:rPr/>
            </w:pPr>
            <w:r>
              <w:rPr/>
              <w:t> </w:t>
            </w:r>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Premium issued as part of CP BF debt modification</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44"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4,079,225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21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4,079,225</w:t>
            </w:r>
          </w:p>
        </w:tc>
        <w:tc>
          <w:tcPr>
            <w:tcW w:w="110" w:type="dxa"/>
            <w:tcBorders/>
            <w:shd w:fill="FFFFFF" w:val="clear"/>
            <w:vAlign w:val="center"/>
          </w:tcPr>
          <w:p>
            <w:pPr>
              <w:pStyle w:val="TableContents"/>
              <w:bidi w:val="0"/>
              <w:spacing w:before="0" w:after="283"/>
              <w:jc w:val="left"/>
              <w:rPr/>
            </w:pPr>
            <w:r>
              <w:rPr/>
              <w:t> </w:t>
            </w:r>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warrants to CP BF, net of issuance costs</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44" w:type="dxa"/>
            <w:tcBorders/>
            <w:shd w:fill="CCEEFF" w:val="clear"/>
            <w:vAlign w:val="center"/>
          </w:tcPr>
          <w:p>
            <w:pPr>
              <w:pStyle w:val="TableContents"/>
              <w:bidi w:val="0"/>
              <w:spacing w:before="0" w:after="283"/>
              <w:jc w:val="left"/>
              <w:rPr/>
            </w:pPr>
            <w:r>
              <w:rPr/>
              <w:t> </w:t>
            </w:r>
          </w:p>
        </w:tc>
        <w:tc>
          <w:tcPr>
            <w:tcW w:w="4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2,763,161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21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2,763,161</w:t>
            </w:r>
          </w:p>
        </w:tc>
        <w:tc>
          <w:tcPr>
            <w:tcW w:w="110" w:type="dxa"/>
            <w:tcBorders/>
            <w:shd w:fill="CCEEFF" w:val="clear"/>
            <w:vAlign w:val="center"/>
          </w:tcPr>
          <w:p>
            <w:pPr>
              <w:pStyle w:val="TableContents"/>
              <w:bidi w:val="0"/>
              <w:spacing w:before="0" w:after="283"/>
              <w:jc w:val="left"/>
              <w:rPr/>
            </w:pPr>
            <w:r>
              <w:rPr/>
              <w:t> </w:t>
            </w:r>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to MZHCI for investor relations services</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44"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94,800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21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94,800</w:t>
            </w:r>
          </w:p>
        </w:tc>
        <w:tc>
          <w:tcPr>
            <w:tcW w:w="110" w:type="dxa"/>
            <w:tcBorders/>
            <w:shd w:fill="FFFFFF" w:val="clear"/>
            <w:vAlign w:val="center"/>
          </w:tcPr>
          <w:p>
            <w:pPr>
              <w:pStyle w:val="TableContents"/>
              <w:bidi w:val="0"/>
              <w:spacing w:before="0" w:after="283"/>
              <w:jc w:val="left"/>
              <w:rPr/>
            </w:pPr>
            <w:r>
              <w:rPr/>
              <w:t> </w:t>
            </w:r>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to J.V.B for payment of outstanding debt</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44" w:type="dxa"/>
            <w:tcBorders/>
            <w:shd w:fill="CCEEFF" w:val="clear"/>
            <w:vAlign w:val="center"/>
          </w:tcPr>
          <w:p>
            <w:pPr>
              <w:pStyle w:val="TableContents"/>
              <w:bidi w:val="0"/>
              <w:spacing w:before="0" w:after="283"/>
              <w:jc w:val="left"/>
              <w:rPr/>
            </w:pPr>
            <w:r>
              <w:rPr/>
              <w:t> </w:t>
            </w:r>
          </w:p>
        </w:tc>
        <w:tc>
          <w:tcPr>
            <w:tcW w:w="4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21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115,000</w:t>
            </w:r>
          </w:p>
        </w:tc>
        <w:tc>
          <w:tcPr>
            <w:tcW w:w="110" w:type="dxa"/>
            <w:tcBorders/>
            <w:shd w:fill="CCEEFF" w:val="clear"/>
            <w:vAlign w:val="center"/>
          </w:tcPr>
          <w:p>
            <w:pPr>
              <w:pStyle w:val="TableContents"/>
              <w:bidi w:val="0"/>
              <w:spacing w:before="0" w:after="283"/>
              <w:jc w:val="left"/>
              <w:rPr/>
            </w:pPr>
            <w:r>
              <w:rPr/>
              <w:t> </w:t>
            </w:r>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warrants and pre-funded warrants issued to Alco on settlement of Alco promissory notes</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44"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28,242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8,866,617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21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8,866,620</w:t>
            </w:r>
          </w:p>
        </w:tc>
        <w:tc>
          <w:tcPr>
            <w:tcW w:w="110" w:type="dxa"/>
            <w:tcBorders/>
            <w:shd w:fill="FFFFFF" w:val="clear"/>
            <w:vAlign w:val="center"/>
          </w:tcPr>
          <w:p>
            <w:pPr>
              <w:pStyle w:val="TableContents"/>
              <w:bidi w:val="0"/>
              <w:spacing w:before="0" w:after="283"/>
              <w:jc w:val="left"/>
              <w:rPr/>
            </w:pPr>
            <w:r>
              <w:rPr/>
              <w:t> </w:t>
            </w:r>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Derecognition of Cantor fee</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44" w:type="dxa"/>
            <w:tcBorders/>
            <w:shd w:fill="CCEEFF" w:val="clear"/>
            <w:vAlign w:val="center"/>
          </w:tcPr>
          <w:p>
            <w:pPr>
              <w:pStyle w:val="TableContents"/>
              <w:bidi w:val="0"/>
              <w:spacing w:before="0" w:after="283"/>
              <w:jc w:val="left"/>
              <w:rPr/>
            </w:pPr>
            <w:r>
              <w:rPr/>
              <w:t> </w:t>
            </w:r>
          </w:p>
        </w:tc>
        <w:tc>
          <w:tcPr>
            <w:tcW w:w="4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4,000,000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21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4,000,000</w:t>
            </w:r>
          </w:p>
        </w:tc>
        <w:tc>
          <w:tcPr>
            <w:tcW w:w="110" w:type="dxa"/>
            <w:tcBorders/>
            <w:shd w:fill="CCEEFF" w:val="clear"/>
            <w:vAlign w:val="center"/>
          </w:tcPr>
          <w:p>
            <w:pPr>
              <w:pStyle w:val="TableContents"/>
              <w:bidi w:val="0"/>
              <w:spacing w:before="0" w:after="283"/>
              <w:jc w:val="left"/>
              <w:rPr/>
            </w:pPr>
            <w:r>
              <w:rPr/>
              <w:t> </w:t>
            </w:r>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Class A Shares issued for OpenReel acquisition</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44"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93,056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1,526,106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21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1,526,115</w:t>
            </w:r>
          </w:p>
        </w:tc>
        <w:tc>
          <w:tcPr>
            <w:tcW w:w="110" w:type="dxa"/>
            <w:tcBorders/>
            <w:shd w:fill="FFFFFF" w:val="clear"/>
            <w:vAlign w:val="center"/>
          </w:tcPr>
          <w:p>
            <w:pPr>
              <w:pStyle w:val="TableContents"/>
              <w:bidi w:val="0"/>
              <w:spacing w:before="0" w:after="283"/>
              <w:jc w:val="left"/>
              <w:rPr/>
            </w:pPr>
            <w:r>
              <w:rPr/>
              <w:t> </w:t>
            </w:r>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Pre-Funded Warrants issued for OpenReel acquisition</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44" w:type="dxa"/>
            <w:tcBorders/>
            <w:shd w:fill="CCEEFF" w:val="clear"/>
            <w:vAlign w:val="center"/>
          </w:tcPr>
          <w:p>
            <w:pPr>
              <w:pStyle w:val="TableContents"/>
              <w:bidi w:val="0"/>
              <w:spacing w:before="0" w:after="283"/>
              <w:jc w:val="left"/>
              <w:rPr/>
            </w:pPr>
            <w:r>
              <w:rPr/>
              <w:t> </w:t>
            </w:r>
          </w:p>
        </w:tc>
        <w:tc>
          <w:tcPr>
            <w:tcW w:w="4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19,300,805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21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19,300,805</w:t>
            </w:r>
          </w:p>
        </w:tc>
        <w:tc>
          <w:tcPr>
            <w:tcW w:w="110" w:type="dxa"/>
            <w:tcBorders/>
            <w:shd w:fill="CCEEFF" w:val="clear"/>
            <w:vAlign w:val="center"/>
          </w:tcPr>
          <w:p>
            <w:pPr>
              <w:pStyle w:val="TableContents"/>
              <w:bidi w:val="0"/>
              <w:spacing w:before="0" w:after="283"/>
              <w:jc w:val="left"/>
              <w:rPr/>
            </w:pPr>
            <w:r>
              <w:rPr/>
              <w:t> </w:t>
            </w:r>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Series FE Preferred Stock issued for OpenReel acquisition</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44"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219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Exercise of RSUs to Board of Director members</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44" w:type="dxa"/>
            <w:tcBorders/>
            <w:shd w:fill="CCEEFF" w:val="clear"/>
            <w:vAlign w:val="center"/>
          </w:tcPr>
          <w:p>
            <w:pPr>
              <w:pStyle w:val="TableContents"/>
              <w:bidi w:val="0"/>
              <w:spacing w:before="0" w:after="283"/>
              <w:jc w:val="left"/>
              <w:rPr/>
            </w:pPr>
            <w:r>
              <w:rPr/>
              <w:t> </w:t>
            </w:r>
          </w:p>
        </w:tc>
        <w:tc>
          <w:tcPr>
            <w:tcW w:w="4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7,939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219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to Hudson for consulting fee</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44"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166,500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21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166,501</w:t>
            </w:r>
          </w:p>
        </w:tc>
        <w:tc>
          <w:tcPr>
            <w:tcW w:w="110" w:type="dxa"/>
            <w:tcBorders/>
            <w:shd w:fill="FFFFFF" w:val="clear"/>
            <w:vAlign w:val="center"/>
          </w:tcPr>
          <w:p>
            <w:pPr>
              <w:pStyle w:val="TableContents"/>
              <w:bidi w:val="0"/>
              <w:spacing w:before="0" w:after="283"/>
              <w:jc w:val="left"/>
              <w:rPr/>
            </w:pPr>
            <w:r>
              <w:rPr/>
              <w:t> </w:t>
            </w:r>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Conversion of convertible notes - CP BF</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44" w:type="dxa"/>
            <w:tcBorders/>
            <w:shd w:fill="CCEEFF" w:val="clear"/>
            <w:vAlign w:val="center"/>
          </w:tcPr>
          <w:p>
            <w:pPr>
              <w:pStyle w:val="TableContents"/>
              <w:bidi w:val="0"/>
              <w:spacing w:before="0" w:after="283"/>
              <w:jc w:val="left"/>
              <w:rPr/>
            </w:pPr>
            <w:r>
              <w:rPr/>
              <w:t> </w:t>
            </w:r>
          </w:p>
        </w:tc>
        <w:tc>
          <w:tcPr>
            <w:tcW w:w="4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216,283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21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216,284</w:t>
            </w:r>
          </w:p>
        </w:tc>
        <w:tc>
          <w:tcPr>
            <w:tcW w:w="110" w:type="dxa"/>
            <w:tcBorders/>
            <w:shd w:fill="CCEEFF" w:val="clear"/>
            <w:vAlign w:val="center"/>
          </w:tcPr>
          <w:p>
            <w:pPr>
              <w:pStyle w:val="TableContents"/>
              <w:bidi w:val="0"/>
              <w:spacing w:before="0" w:after="283"/>
              <w:jc w:val="left"/>
              <w:rPr/>
            </w:pPr>
            <w:r>
              <w:rPr/>
              <w:t> </w:t>
            </w:r>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to Perkins Coie LLP for payment of outstanding debt</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44"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919,694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21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919,700</w:t>
            </w:r>
          </w:p>
        </w:tc>
        <w:tc>
          <w:tcPr>
            <w:tcW w:w="110" w:type="dxa"/>
            <w:tcBorders/>
            <w:shd w:fill="FFFFFF" w:val="clear"/>
            <w:vAlign w:val="center"/>
          </w:tcPr>
          <w:p>
            <w:pPr>
              <w:pStyle w:val="TableContents"/>
              <w:bidi w:val="0"/>
              <w:spacing w:before="0" w:after="283"/>
              <w:jc w:val="left"/>
              <w:rPr/>
            </w:pPr>
            <w:r>
              <w:rPr/>
              <w:t> </w:t>
            </w:r>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shares to Yorkville under the SEPA agreement</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44" w:type="dxa"/>
            <w:tcBorders/>
            <w:shd w:fill="CCEEFF" w:val="clear"/>
            <w:vAlign w:val="center"/>
          </w:tcPr>
          <w:p>
            <w:pPr>
              <w:pStyle w:val="TableContents"/>
              <w:bidi w:val="0"/>
              <w:spacing w:before="0" w:after="283"/>
              <w:jc w:val="left"/>
              <w:rPr/>
            </w:pPr>
            <w:r>
              <w:rPr/>
              <w:t> </w:t>
            </w:r>
          </w:p>
        </w:tc>
        <w:tc>
          <w:tcPr>
            <w:tcW w:w="4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880,937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21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880,943</w:t>
            </w:r>
          </w:p>
        </w:tc>
        <w:tc>
          <w:tcPr>
            <w:tcW w:w="110" w:type="dxa"/>
            <w:tcBorders/>
            <w:shd w:fill="CCEEFF" w:val="clear"/>
            <w:vAlign w:val="center"/>
          </w:tcPr>
          <w:p>
            <w:pPr>
              <w:pStyle w:val="TableContents"/>
              <w:bidi w:val="0"/>
              <w:spacing w:before="0" w:after="283"/>
              <w:jc w:val="left"/>
              <w:rPr/>
            </w:pPr>
            <w:r>
              <w:rPr/>
              <w:t> </w:t>
            </w:r>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for exercise of pre-funded warrants - HCW PIPE</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44"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117,647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1,164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21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1,176</w:t>
            </w:r>
          </w:p>
        </w:tc>
        <w:tc>
          <w:tcPr>
            <w:tcW w:w="110" w:type="dxa"/>
            <w:tcBorders/>
            <w:shd w:fill="FFFFFF" w:val="clear"/>
            <w:vAlign w:val="center"/>
          </w:tcPr>
          <w:p>
            <w:pPr>
              <w:pStyle w:val="TableContents"/>
              <w:bidi w:val="0"/>
              <w:spacing w:before="0" w:after="283"/>
              <w:jc w:val="left"/>
              <w:rPr/>
            </w:pPr>
            <w:r>
              <w:rPr/>
              <w:t> </w:t>
            </w:r>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for exercise of pre-funded warrants - CP BF</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44" w:type="dxa"/>
            <w:tcBorders/>
            <w:shd w:fill="CCEEFF" w:val="clear"/>
            <w:vAlign w:val="center"/>
          </w:tcPr>
          <w:p>
            <w:pPr>
              <w:pStyle w:val="TableContents"/>
              <w:bidi w:val="0"/>
              <w:spacing w:before="0" w:after="283"/>
              <w:jc w:val="left"/>
              <w:rPr/>
            </w:pPr>
            <w:r>
              <w:rPr/>
              <w:t> </w:t>
            </w:r>
          </w:p>
        </w:tc>
        <w:tc>
          <w:tcPr>
            <w:tcW w:w="4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30,470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21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w:t>
            </w:r>
          </w:p>
        </w:tc>
        <w:tc>
          <w:tcPr>
            <w:tcW w:w="110" w:type="dxa"/>
            <w:tcBorders/>
            <w:shd w:fill="CCEEFF" w:val="clear"/>
            <w:vAlign w:val="center"/>
          </w:tcPr>
          <w:p>
            <w:pPr>
              <w:pStyle w:val="TableContents"/>
              <w:bidi w:val="0"/>
              <w:spacing w:before="0" w:after="283"/>
              <w:jc w:val="left"/>
              <w:rPr/>
            </w:pPr>
            <w:r>
              <w:rPr/>
              <w:t> </w:t>
            </w:r>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Stock-based compensation</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44"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1,165,680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21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1,165,680</w:t>
            </w:r>
          </w:p>
        </w:tc>
        <w:tc>
          <w:tcPr>
            <w:tcW w:w="110" w:type="dxa"/>
            <w:tcBorders/>
            <w:shd w:fill="FFFFFF" w:val="clear"/>
            <w:vAlign w:val="center"/>
          </w:tcPr>
          <w:p>
            <w:pPr>
              <w:pStyle w:val="TableContents"/>
              <w:bidi w:val="0"/>
              <w:spacing w:before="0" w:after="283"/>
              <w:jc w:val="left"/>
              <w:rPr/>
            </w:pPr>
            <w:r>
              <w:rPr/>
              <w:t> </w:t>
            </w:r>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w:t>
            </w:r>
          </w:p>
        </w:tc>
        <w:tc>
          <w:tcPr>
            <w:tcW w:w="60" w:type="dxa"/>
            <w:tcBorders/>
            <w:shd w:fill="CCEEFF" w:val="clear"/>
            <w:vAlign w:val="center"/>
          </w:tcPr>
          <w:p>
            <w:pPr>
              <w:pStyle w:val="TableContents"/>
              <w:bidi w:val="0"/>
              <w:spacing w:before="0" w:after="283"/>
              <w:jc w:val="left"/>
              <w:rPr/>
            </w:pPr>
            <w:r>
              <w:rPr/>
              <w:t> </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2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2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38"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3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4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16"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5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(31,513,389</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1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(31,513,389</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 December 31, 2024</w:t>
            </w:r>
          </w:p>
        </w:tc>
        <w:tc>
          <w:tcPr>
            <w:tcW w:w="60" w:type="dxa"/>
            <w:tcBorders/>
            <w:shd w:fill="FFFFFF" w:val="cle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529"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2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438"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43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4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416"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819,516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55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75,515,829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22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(78,279,713</w:t>
            </w:r>
          </w:p>
        </w:tc>
        <w:tc>
          <w:tcPr>
            <w:tcW w:w="9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21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(2,763,802</w:t>
            </w:r>
          </w:p>
        </w:tc>
        <w:tc>
          <w:tcPr>
            <w:tcW w:w="11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7" w:name="sp_006"/>
      <w:bookmarkEnd w:id="27"/>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Cash Flows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650"/>
        <w:gridCol w:w="60"/>
        <w:gridCol w:w="169"/>
        <w:gridCol w:w="1429"/>
        <w:gridCol w:w="115"/>
        <w:gridCol w:w="72"/>
        <w:gridCol w:w="169"/>
        <w:gridCol w:w="1429"/>
        <w:gridCol w:w="112"/>
      </w:tblGrid>
      <w:tr>
        <w:trPr/>
        <w:tc>
          <w:tcPr>
            <w:tcW w:w="66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598"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115" w:type="dxa"/>
            <w:tcBorders/>
            <w:vAlign w:val="center"/>
          </w:tcPr>
          <w:p>
            <w:pPr>
              <w:pStyle w:val="TableContents"/>
              <w:bidi w:val="0"/>
              <w:spacing w:before="0" w:after="283"/>
              <w:jc w:val="center"/>
              <w:rPr/>
            </w:pPr>
            <w:r>
              <w:rPr/>
              <w:t> </w:t>
            </w:r>
          </w:p>
        </w:tc>
        <w:tc>
          <w:tcPr>
            <w:tcW w:w="72" w:type="dxa"/>
            <w:tcBorders/>
            <w:vAlign w:val="center"/>
          </w:tcPr>
          <w:p>
            <w:pPr>
              <w:pStyle w:val="TableContents"/>
              <w:bidi w:val="0"/>
              <w:spacing w:before="0" w:after="283"/>
              <w:jc w:val="center"/>
              <w:rPr/>
            </w:pPr>
            <w:r>
              <w:rPr/>
              <w:t> </w:t>
            </w:r>
          </w:p>
        </w:tc>
        <w:tc>
          <w:tcPr>
            <w:tcW w:w="1598"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112" w:type="dxa"/>
            <w:tcBorders/>
            <w:vAlign w:val="center"/>
          </w:tcPr>
          <w:p>
            <w:pPr>
              <w:pStyle w:val="TableContents"/>
              <w:bidi w:val="0"/>
              <w:spacing w:before="0" w:after="283"/>
              <w:jc w:val="center"/>
              <w:rPr/>
            </w:pPr>
            <w:r>
              <w:rPr/>
              <w:t> </w:t>
            </w:r>
          </w:p>
        </w:tc>
      </w:tr>
      <w:tr>
        <w:trPr/>
        <w:tc>
          <w:tcPr>
            <w:tcW w:w="66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383"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For the Years Ended December 31,</w:t>
            </w:r>
          </w:p>
        </w:tc>
        <w:tc>
          <w:tcPr>
            <w:tcW w:w="112" w:type="dxa"/>
            <w:tcBorders/>
            <w:vAlign w:val="center"/>
          </w:tcPr>
          <w:p>
            <w:pPr>
              <w:pStyle w:val="TableContents"/>
              <w:bidi w:val="0"/>
              <w:spacing w:before="0" w:after="283"/>
              <w:jc w:val="left"/>
              <w:rPr/>
            </w:pPr>
            <w:r>
              <w:rPr/>
              <w:t> </w:t>
            </w:r>
          </w:p>
        </w:tc>
      </w:tr>
      <w:tr>
        <w:trPr/>
        <w:tc>
          <w:tcPr>
            <w:tcW w:w="66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9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15"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59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12" w:type="dxa"/>
            <w:tcBorders/>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(22,492,075</w:t>
            </w:r>
          </w:p>
        </w:tc>
        <w:tc>
          <w:tcPr>
            <w:tcW w:w="1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(31,513,389</w:t>
            </w:r>
          </w:p>
        </w:tc>
        <w:tc>
          <w:tcPr>
            <w:tcW w:w="11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Adjustments to reconcile net loss to 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Depreciation and amortization expense</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1,150,471</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24,179</w:t>
            </w:r>
          </w:p>
        </w:tc>
        <w:tc>
          <w:tcPr>
            <w:tcW w:w="112" w:type="dxa"/>
            <w:tcBorders/>
            <w:shd w:fill="FFFFFF" w:val="clear"/>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Provision for credit losses on accounts receivable</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17,131</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18,462</w:t>
            </w:r>
          </w:p>
        </w:tc>
        <w:tc>
          <w:tcPr>
            <w:tcW w:w="112" w:type="dxa"/>
            <w:tcBorders/>
            <w:shd w:fill="CCEEFF" w:val="clear"/>
            <w:vAlign w:val="center"/>
          </w:tcPr>
          <w:p>
            <w:pPr>
              <w:pStyle w:val="TableContents"/>
              <w:bidi w:val="0"/>
              <w:spacing w:before="0" w:after="283"/>
              <w:jc w:val="left"/>
              <w:rPr/>
            </w:pPr>
            <w:r>
              <w:rPr/>
              <w:t> </w:t>
            </w:r>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Non-cash share issuance for marketing expenses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pPr>
            <w:r>
              <w:rPr/>
              <w:t>—</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245,252</w:t>
            </w:r>
          </w:p>
        </w:tc>
        <w:tc>
          <w:tcPr>
            <w:tcW w:w="112" w:type="dxa"/>
            <w:tcBorders/>
            <w:shd w:fill="FFFFFF" w:val="clear"/>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Non-cash shares issued for consulting expenses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974,261</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Non-cash settlement of GEM commitment fee</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pPr>
            <w:r>
              <w:rPr/>
              <w:t>—</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200,000</w:t>
            </w:r>
          </w:p>
        </w:tc>
        <w:tc>
          <w:tcPr>
            <w:tcW w:w="112" w:type="dxa"/>
            <w:tcBorders/>
            <w:shd w:fill="FFFFFF" w:val="clear"/>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Discount at issuance on notes carried at fair value</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1,671,996</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747,962</w:t>
            </w:r>
          </w:p>
        </w:tc>
        <w:tc>
          <w:tcPr>
            <w:tcW w:w="112" w:type="dxa"/>
            <w:tcBorders/>
            <w:shd w:fill="CCEEFF" w:val="clear"/>
            <w:vAlign w:val="center"/>
          </w:tcPr>
          <w:p>
            <w:pPr>
              <w:pStyle w:val="TableContents"/>
              <w:bidi w:val="0"/>
              <w:spacing w:before="0" w:after="283"/>
              <w:jc w:val="left"/>
              <w:rPr/>
            </w:pPr>
            <w:r>
              <w:rPr/>
              <w:t> </w:t>
            </w:r>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Non-cash share issuance for Yorkville redemption premium</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pPr>
            <w:r>
              <w:rPr/>
              <w:t>—</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80,760</w:t>
            </w:r>
          </w:p>
        </w:tc>
        <w:tc>
          <w:tcPr>
            <w:tcW w:w="112" w:type="dxa"/>
            <w:tcBorders/>
            <w:shd w:fill="FFFFFF" w:val="clear"/>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Non-cash interest expense</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pPr>
            <w:r>
              <w:rPr/>
              <w:t>—</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1,532,475</w:t>
            </w:r>
          </w:p>
        </w:tc>
        <w:tc>
          <w:tcPr>
            <w:tcW w:w="112" w:type="dxa"/>
            <w:tcBorders/>
            <w:shd w:fill="CCEEFF" w:val="clear"/>
            <w:vAlign w:val="center"/>
          </w:tcPr>
          <w:p>
            <w:pPr>
              <w:pStyle w:val="TableContents"/>
              <w:bidi w:val="0"/>
              <w:spacing w:before="0" w:after="283"/>
              <w:jc w:val="left"/>
              <w:rPr/>
            </w:pPr>
            <w:r>
              <w:rPr/>
              <w:t> </w:t>
            </w:r>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Non-cash interest expense - related party</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1,177,033</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Non-cash interest expense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1,177,033</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Amortization of debt discount and issuance costs - related party</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pPr>
            <w:r>
              <w:rPr/>
              <w:t>—</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1,393,785</w:t>
            </w:r>
          </w:p>
        </w:tc>
        <w:tc>
          <w:tcPr>
            <w:tcW w:w="112" w:type="dxa"/>
            <w:tcBorders/>
            <w:shd w:fill="CCEEFF" w:val="clear"/>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Amortization of debt discount and issuance costs - related party</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pPr>
            <w:r>
              <w:rPr/>
              <w:t>—</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1,393,785</w:t>
            </w:r>
          </w:p>
        </w:tc>
        <w:tc>
          <w:tcPr>
            <w:tcW w:w="112" w:type="dxa"/>
            <w:tcBorders/>
            <w:shd w:fill="CCEEFF" w:val="clear"/>
            <w:vAlign w:val="center"/>
          </w:tcPr>
          <w:p>
            <w:pPr>
              <w:pStyle w:val="TableContents"/>
              <w:bidi w:val="0"/>
              <w:spacing w:before="0" w:after="283"/>
              <w:jc w:val="left"/>
              <w:rPr/>
            </w:pPr>
            <w:r>
              <w:rPr/>
              <w:t> </w:t>
            </w:r>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Amortization of operating lease right-of-use assets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16,694</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137,717</w:t>
            </w:r>
          </w:p>
        </w:tc>
        <w:tc>
          <w:tcPr>
            <w:tcW w:w="112" w:type="dxa"/>
            <w:tcBorders/>
            <w:shd w:fill="FFFFFF" w:val="clear"/>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 based compensation expense</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2,679,231</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1,165,680</w:t>
            </w:r>
          </w:p>
        </w:tc>
        <w:tc>
          <w:tcPr>
            <w:tcW w:w="112" w:type="dxa"/>
            <w:tcBorders/>
            <w:shd w:fill="CCEEFF" w:val="clear"/>
            <w:vAlign w:val="center"/>
          </w:tcPr>
          <w:p>
            <w:pPr>
              <w:pStyle w:val="TableContents"/>
              <w:bidi w:val="0"/>
              <w:spacing w:before="0" w:after="283"/>
              <w:jc w:val="left"/>
              <w:rPr/>
            </w:pPr>
            <w:r>
              <w:rPr/>
              <w:t> </w:t>
            </w:r>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Gain on release of Vidello revenue holdback</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(973,000</w:t>
            </w:r>
          </w:p>
        </w:tc>
        <w:tc>
          <w:tcPr>
            <w:tcW w:w="1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Gain on extinguishment of liability</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(4,488,627</w:t>
            </w:r>
          </w:p>
        </w:tc>
        <w:tc>
          <w:tcPr>
            <w:tcW w:w="1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(680,762</w:t>
            </w:r>
          </w:p>
        </w:tc>
        <w:tc>
          <w:tcPr>
            <w:tcW w:w="11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Gain on release of due to related party</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(67,118</w:t>
            </w:r>
          </w:p>
        </w:tc>
        <w:tc>
          <w:tcPr>
            <w:tcW w:w="1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conversion and settlement of Alco promissory notes - related party</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pPr>
            <w:r>
              <w:rPr/>
              <w:t>—</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4,808,882</w:t>
            </w:r>
          </w:p>
        </w:tc>
        <w:tc>
          <w:tcPr>
            <w:tcW w:w="112" w:type="dxa"/>
            <w:tcBorders/>
            <w:shd w:fill="CCEEFF" w:val="clear"/>
            <w:vAlign w:val="center"/>
          </w:tcPr>
          <w:p>
            <w:pPr>
              <w:pStyle w:val="TableContents"/>
              <w:bidi w:val="0"/>
              <w:spacing w:before="0" w:after="283"/>
              <w:jc w:val="left"/>
              <w:rPr/>
            </w:pPr>
            <w:r>
              <w:rPr/>
              <w:t> </w:t>
            </w:r>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conversion and settlement of CP BF notes - related party</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pPr>
            <w:r>
              <w:rPr/>
              <w:t>—</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6,529,402</w:t>
            </w:r>
          </w:p>
        </w:tc>
        <w:tc>
          <w:tcPr>
            <w:tcW w:w="112" w:type="dxa"/>
            <w:tcBorders/>
            <w:shd w:fill="FFFFFF" w:val="clear"/>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debt issuance</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444,000</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653,208</w:t>
            </w:r>
          </w:p>
        </w:tc>
        <w:tc>
          <w:tcPr>
            <w:tcW w:w="112" w:type="dxa"/>
            <w:tcBorders/>
            <w:shd w:fill="CCEEFF" w:val="clear"/>
            <w:vAlign w:val="center"/>
          </w:tcPr>
          <w:p>
            <w:pPr>
              <w:pStyle w:val="TableContents"/>
              <w:bidi w:val="0"/>
              <w:spacing w:before="0" w:after="283"/>
              <w:jc w:val="left"/>
              <w:rPr/>
            </w:pPr>
            <w:r>
              <w:rPr/>
              <w:t> </w:t>
            </w:r>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issuance of term notes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110,500</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issuance of convertible bridge notes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152,826</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Private Placement Issuance</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4,873,509</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extinguishment of debt, net</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2,402,732</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1,071,563</w:t>
            </w:r>
          </w:p>
        </w:tc>
        <w:tc>
          <w:tcPr>
            <w:tcW w:w="112" w:type="dxa"/>
            <w:tcBorders/>
            <w:shd w:fill="CCEEFF" w:val="clear"/>
            <w:vAlign w:val="center"/>
          </w:tcPr>
          <w:p>
            <w:pPr>
              <w:pStyle w:val="TableContents"/>
              <w:bidi w:val="0"/>
              <w:spacing w:before="0" w:after="283"/>
              <w:jc w:val="left"/>
              <w:rPr/>
            </w:pPr>
            <w:r>
              <w:rPr/>
              <w:t> </w:t>
            </w:r>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Impairment loss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pPr>
            <w:r>
              <w:rPr/>
              <w:t>—</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2,725,460</w:t>
            </w:r>
          </w:p>
        </w:tc>
        <w:tc>
          <w:tcPr>
            <w:tcW w:w="112" w:type="dxa"/>
            <w:tcBorders/>
            <w:shd w:fill="FFFFFF" w:val="clear"/>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warrant liability</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(1,243,528</w:t>
            </w:r>
          </w:p>
        </w:tc>
        <w:tc>
          <w:tcPr>
            <w:tcW w:w="1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(626,000</w:t>
            </w:r>
          </w:p>
        </w:tc>
        <w:tc>
          <w:tcPr>
            <w:tcW w:w="11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warrant liability - related party</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(2,300</w:t>
            </w:r>
          </w:p>
        </w:tc>
        <w:tc>
          <w:tcPr>
            <w:tcW w:w="1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(572,700</w:t>
            </w:r>
          </w:p>
        </w:tc>
        <w:tc>
          <w:tcPr>
            <w:tcW w:w="11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warrant liability</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(2,300</w:t>
            </w:r>
          </w:p>
        </w:tc>
        <w:tc>
          <w:tcPr>
            <w:tcW w:w="1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(572,700</w:t>
            </w:r>
          </w:p>
        </w:tc>
        <w:tc>
          <w:tcPr>
            <w:tcW w:w="11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bifurcated embedded derivative asset - related party</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54,000</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(51,000</w:t>
            </w:r>
          </w:p>
        </w:tc>
        <w:tc>
          <w:tcPr>
            <w:tcW w:w="11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convertible notes, carried at fair value</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(1,987,203</w:t>
            </w:r>
          </w:p>
        </w:tc>
        <w:tc>
          <w:tcPr>
            <w:tcW w:w="1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693,000</w:t>
            </w:r>
          </w:p>
        </w:tc>
        <w:tc>
          <w:tcPr>
            <w:tcW w:w="112" w:type="dxa"/>
            <w:tcBorders/>
            <w:shd w:fill="FFFFFF" w:val="clear"/>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convertible promissory notes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pPr>
            <w:r>
              <w:rPr/>
              <w:t>—</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term notes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173,055</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88,588</w:t>
            </w:r>
          </w:p>
        </w:tc>
        <w:tc>
          <w:tcPr>
            <w:tcW w:w="112" w:type="dxa"/>
            <w:tcBorders/>
            <w:shd w:fill="FFFFFF" w:val="clear"/>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convertible bridge notes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(46,253</w:t>
            </w:r>
          </w:p>
        </w:tc>
        <w:tc>
          <w:tcPr>
            <w:tcW w:w="1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(10,176</w:t>
            </w:r>
          </w:p>
        </w:tc>
        <w:tc>
          <w:tcPr>
            <w:tcW w:w="11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Changes in operating assets and liabilities: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receivable</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209,987</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15,828</w:t>
            </w:r>
          </w:p>
        </w:tc>
        <w:tc>
          <w:tcPr>
            <w:tcW w:w="112" w:type="dxa"/>
            <w:tcBorders/>
            <w:shd w:fill="CCEEFF" w:val="clear"/>
            <w:vAlign w:val="center"/>
          </w:tcPr>
          <w:p>
            <w:pPr>
              <w:pStyle w:val="TableContents"/>
              <w:bidi w:val="0"/>
              <w:spacing w:before="0" w:after="283"/>
              <w:jc w:val="left"/>
              <w:rPr/>
            </w:pPr>
            <w:r>
              <w:rPr/>
              <w:t> </w:t>
            </w:r>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198,585</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551,645</w:t>
            </w:r>
          </w:p>
        </w:tc>
        <w:tc>
          <w:tcPr>
            <w:tcW w:w="112" w:type="dxa"/>
            <w:tcBorders/>
            <w:shd w:fill="FFFFFF" w:val="clear"/>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assets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7,154</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27,227</w:t>
            </w:r>
          </w:p>
        </w:tc>
        <w:tc>
          <w:tcPr>
            <w:tcW w:w="112" w:type="dxa"/>
            <w:tcBorders/>
            <w:shd w:fill="CCEEFF" w:val="clear"/>
            <w:vAlign w:val="center"/>
          </w:tcPr>
          <w:p>
            <w:pPr>
              <w:pStyle w:val="TableContents"/>
              <w:bidi w:val="0"/>
              <w:spacing w:before="0" w:after="283"/>
              <w:jc w:val="left"/>
              <w:rPr/>
            </w:pPr>
            <w:r>
              <w:rPr/>
              <w:t> </w:t>
            </w:r>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payable</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(381,632</w:t>
            </w:r>
          </w:p>
        </w:tc>
        <w:tc>
          <w:tcPr>
            <w:tcW w:w="1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1,012,281</w:t>
            </w:r>
          </w:p>
        </w:tc>
        <w:tc>
          <w:tcPr>
            <w:tcW w:w="112" w:type="dxa"/>
            <w:tcBorders/>
            <w:shd w:fill="FFFFFF" w:val="clear"/>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revenue</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(740,066</w:t>
            </w:r>
          </w:p>
        </w:tc>
        <w:tc>
          <w:tcPr>
            <w:tcW w:w="1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(6,315</w:t>
            </w:r>
          </w:p>
        </w:tc>
        <w:tc>
          <w:tcPr>
            <w:tcW w:w="11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expenses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110,421</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498,051</w:t>
            </w:r>
          </w:p>
        </w:tc>
        <w:tc>
          <w:tcPr>
            <w:tcW w:w="112" w:type="dxa"/>
            <w:tcBorders/>
            <w:shd w:fill="FFFFFF" w:val="clear"/>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 liabilities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(15,960</w:t>
            </w:r>
          </w:p>
        </w:tc>
        <w:tc>
          <w:tcPr>
            <w:tcW w:w="1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(237,607</w:t>
            </w:r>
          </w:p>
        </w:tc>
        <w:tc>
          <w:tcPr>
            <w:tcW w:w="11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Earnout liability</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587,784</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(44,549</w:t>
            </w:r>
          </w:p>
        </w:tc>
        <w:tc>
          <w:tcPr>
            <w:tcW w:w="11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revenue – long-term</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(23,917</w:t>
            </w:r>
          </w:p>
        </w:tc>
        <w:tc>
          <w:tcPr>
            <w:tcW w:w="1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10,573</w:t>
            </w:r>
          </w:p>
        </w:tc>
        <w:tc>
          <w:tcPr>
            <w:tcW w:w="112" w:type="dxa"/>
            <w:tcBorders/>
            <w:shd w:fill="CCEEFF" w:val="clear"/>
            <w:vAlign w:val="center"/>
          </w:tcPr>
          <w:p>
            <w:pPr>
              <w:pStyle w:val="TableContents"/>
              <w:bidi w:val="0"/>
              <w:spacing w:before="0" w:after="283"/>
              <w:jc w:val="left"/>
              <w:rPr/>
            </w:pPr>
            <w:r>
              <w:rPr/>
              <w:t> </w:t>
            </w:r>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tax liability</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(256,310</w:t>
            </w:r>
          </w:p>
        </w:tc>
        <w:tc>
          <w:tcPr>
            <w:tcW w:w="1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10,115</w:t>
            </w:r>
          </w:p>
        </w:tc>
        <w:tc>
          <w:tcPr>
            <w:tcW w:w="112" w:type="dxa"/>
            <w:tcBorders/>
            <w:shd w:fill="FFFFFF" w:val="clear"/>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long-term liabilities</w:t>
            </w:r>
          </w:p>
        </w:tc>
        <w:tc>
          <w:tcPr>
            <w:tcW w:w="60" w:type="dxa"/>
            <w:tcBorders/>
            <w:shd w:fill="CCEEFF" w:val="clear"/>
            <w:vAlign w:val="center"/>
          </w:tcPr>
          <w:p>
            <w:pPr>
              <w:pStyle w:val="TableContents"/>
              <w:bidi w:val="0"/>
              <w:spacing w:before="0" w:after="283"/>
              <w:jc w:val="left"/>
              <w:rPr/>
            </w:pPr>
            <w:r>
              <w:rPr/>
              <w:t> </w:t>
            </w:r>
          </w:p>
        </w:tc>
        <w:tc>
          <w:tcPr>
            <w:tcW w:w="1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2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2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(75,000</w:t>
            </w:r>
          </w:p>
        </w:tc>
        <w:tc>
          <w:tcPr>
            <w:tcW w:w="11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1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2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(15,706,619</w:t>
            </w:r>
          </w:p>
        </w:tc>
        <w:tc>
          <w:tcPr>
            <w:tcW w:w="1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 w:type="dxa"/>
            <w:tcBorders/>
            <w:shd w:fill="FFFFFF" w:val="clear"/>
            <w:vAlign w:val="center"/>
          </w:tcPr>
          <w:p>
            <w:pPr>
              <w:pStyle w:val="TableContents"/>
              <w:bidi w:val="0"/>
              <w:spacing w:before="0" w:after="283"/>
              <w:jc w:val="left"/>
              <w:rPr/>
            </w:pPr>
            <w:r>
              <w:rPr/>
              <w:t> </w:t>
            </w:r>
          </w:p>
        </w:tc>
        <w:tc>
          <w:tcPr>
            <w:tcW w:w="1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2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(9,575,403</w:t>
            </w:r>
          </w:p>
        </w:tc>
        <w:tc>
          <w:tcPr>
            <w:tcW w:w="11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paid for acquisition of Vidello, net of cash acquired</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(2,677,480</w:t>
            </w:r>
          </w:p>
        </w:tc>
        <w:tc>
          <w:tcPr>
            <w:tcW w:w="1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paid for asset acquisition of Superblocks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(1,500</w:t>
            </w:r>
          </w:p>
        </w:tc>
        <w:tc>
          <w:tcPr>
            <w:tcW w:w="1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acquired in acquisition of OpenReel</w:t>
            </w:r>
          </w:p>
        </w:tc>
        <w:tc>
          <w:tcPr>
            <w:tcW w:w="60" w:type="dxa"/>
            <w:tcBorders/>
            <w:shd w:fill="FFFFFF" w:val="clear"/>
            <w:vAlign w:val="center"/>
          </w:tcPr>
          <w:p>
            <w:pPr>
              <w:pStyle w:val="TableContents"/>
              <w:bidi w:val="0"/>
              <w:spacing w:before="0" w:after="283"/>
              <w:jc w:val="left"/>
              <w:rPr/>
            </w:pPr>
            <w:r>
              <w:rPr/>
              <w:t> </w:t>
            </w:r>
          </w:p>
        </w:tc>
        <w:tc>
          <w:tcPr>
            <w:tcW w:w="1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2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2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82,219</w:t>
            </w:r>
          </w:p>
        </w:tc>
        <w:tc>
          <w:tcPr>
            <w:tcW w:w="112" w:type="dxa"/>
            <w:tcBorders/>
            <w:shd w:fill="FFFFFF" w:val="clear"/>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cash provided by (used in) investing activities</w:t>
            </w:r>
          </w:p>
        </w:tc>
        <w:tc>
          <w:tcPr>
            <w:tcW w:w="60" w:type="dxa"/>
            <w:tcBorders/>
            <w:shd w:fill="CCEEFF" w:val="clear"/>
            <w:vAlign w:val="center"/>
          </w:tcPr>
          <w:p>
            <w:pPr>
              <w:pStyle w:val="TableContents"/>
              <w:bidi w:val="0"/>
              <w:spacing w:before="0" w:after="283"/>
              <w:jc w:val="left"/>
              <w:rPr/>
            </w:pPr>
            <w:r>
              <w:rPr/>
              <w:t> </w:t>
            </w:r>
          </w:p>
        </w:tc>
        <w:tc>
          <w:tcPr>
            <w:tcW w:w="1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2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(2,678,980</w:t>
            </w:r>
          </w:p>
        </w:tc>
        <w:tc>
          <w:tcPr>
            <w:tcW w:w="1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 w:type="dxa"/>
            <w:tcBorders/>
            <w:shd w:fill="CCEEFF" w:val="clear"/>
            <w:vAlign w:val="center"/>
          </w:tcPr>
          <w:p>
            <w:pPr>
              <w:pStyle w:val="TableContents"/>
              <w:bidi w:val="0"/>
              <w:spacing w:before="0" w:after="283"/>
              <w:jc w:val="left"/>
              <w:rPr/>
            </w:pPr>
            <w:r>
              <w:rPr/>
              <w:t> </w:t>
            </w:r>
          </w:p>
        </w:tc>
        <w:tc>
          <w:tcPr>
            <w:tcW w:w="1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2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82,219</w:t>
            </w:r>
          </w:p>
        </w:tc>
        <w:tc>
          <w:tcPr>
            <w:tcW w:w="112" w:type="dxa"/>
            <w:tcBorders/>
            <w:shd w:fill="CCEEFF" w:val="clear"/>
            <w:vAlign w:val="center"/>
          </w:tcPr>
          <w:p>
            <w:pPr>
              <w:pStyle w:val="TableContents"/>
              <w:bidi w:val="0"/>
              <w:spacing w:before="0" w:after="283"/>
              <w:jc w:val="left"/>
              <w:rPr/>
            </w:pPr>
            <w:r>
              <w:rPr/>
              <w:t> </w:t>
            </w:r>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Payment of GEM commitment fee promissory note</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(215,057</w:t>
            </w:r>
          </w:p>
        </w:tc>
        <w:tc>
          <w:tcPr>
            <w:tcW w:w="1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(1,200,000</w:t>
            </w:r>
          </w:p>
        </w:tc>
        <w:tc>
          <w:tcPr>
            <w:tcW w:w="11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Payment of Vidello transition holdback</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(500,000</w:t>
            </w:r>
          </w:p>
        </w:tc>
        <w:tc>
          <w:tcPr>
            <w:tcW w:w="1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Repayment of convertible notes (Yorkville)</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(4,514,664</w:t>
            </w:r>
          </w:p>
        </w:tc>
        <w:tc>
          <w:tcPr>
            <w:tcW w:w="1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(750,000</w:t>
            </w:r>
          </w:p>
        </w:tc>
        <w:tc>
          <w:tcPr>
            <w:tcW w:w="11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related party advance</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pPr>
            <w:r>
              <w:rPr/>
              <w:t>—</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100,000</w:t>
            </w:r>
          </w:p>
        </w:tc>
        <w:tc>
          <w:tcPr>
            <w:tcW w:w="112" w:type="dxa"/>
            <w:tcBorders/>
            <w:shd w:fill="FFFFFF" w:val="clear"/>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Repayment of related party advance</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(100,000</w:t>
            </w:r>
          </w:p>
        </w:tc>
        <w:tc>
          <w:tcPr>
            <w:tcW w:w="1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term notes, net of issuance costs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5,412,050</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2,782,438</w:t>
            </w:r>
          </w:p>
        </w:tc>
        <w:tc>
          <w:tcPr>
            <w:tcW w:w="112" w:type="dxa"/>
            <w:tcBorders/>
            <w:shd w:fill="FFFFFF" w:val="clear"/>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Repayment of term notes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(8,694,757</w:t>
            </w:r>
          </w:p>
        </w:tc>
        <w:tc>
          <w:tcPr>
            <w:tcW w:w="1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(1,939,583</w:t>
            </w:r>
          </w:p>
        </w:tc>
        <w:tc>
          <w:tcPr>
            <w:tcW w:w="11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Repayments of private placement notes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(1,291,516</w:t>
            </w:r>
          </w:p>
        </w:tc>
        <w:tc>
          <w:tcPr>
            <w:tcW w:w="1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Partial repayment of convertible notes - related party</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(4,728,672</w:t>
            </w:r>
          </w:p>
        </w:tc>
        <w:tc>
          <w:tcPr>
            <w:tcW w:w="1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(283,315</w:t>
            </w:r>
          </w:p>
        </w:tc>
        <w:tc>
          <w:tcPr>
            <w:tcW w:w="11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Yorkville redemption premium</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pPr>
            <w:r>
              <w:rPr/>
              <w:t>—</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35,040</w:t>
            </w:r>
          </w:p>
        </w:tc>
        <w:tc>
          <w:tcPr>
            <w:tcW w:w="112" w:type="dxa"/>
            <w:tcBorders/>
            <w:shd w:fill="FFFFFF" w:val="clear"/>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issuance of convertible notes, net of issuance costs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9,975,654</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2,602,000</w:t>
            </w:r>
          </w:p>
        </w:tc>
        <w:tc>
          <w:tcPr>
            <w:tcW w:w="112" w:type="dxa"/>
            <w:tcBorders/>
            <w:shd w:fill="CCEEFF" w:val="clear"/>
            <w:vAlign w:val="center"/>
          </w:tcPr>
          <w:p>
            <w:pPr>
              <w:pStyle w:val="TableContents"/>
              <w:bidi w:val="0"/>
              <w:spacing w:before="0" w:after="283"/>
              <w:jc w:val="left"/>
              <w:rPr/>
            </w:pPr>
            <w:r>
              <w:rPr/>
              <w:t> </w:t>
            </w:r>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received for exercise of Pre-Funded warrants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pPr>
            <w:r>
              <w:rPr/>
              <w:t>—</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2,072</w:t>
            </w:r>
          </w:p>
        </w:tc>
        <w:tc>
          <w:tcPr>
            <w:tcW w:w="112" w:type="dxa"/>
            <w:tcBorders/>
            <w:shd w:fill="FFFFFF" w:val="clear"/>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issuance of shares to Yorkville under the SEPA</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18,603,220</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880,943</w:t>
            </w:r>
          </w:p>
        </w:tc>
        <w:tc>
          <w:tcPr>
            <w:tcW w:w="112" w:type="dxa"/>
            <w:tcBorders/>
            <w:shd w:fill="CCEEFF" w:val="clear"/>
            <w:vAlign w:val="center"/>
          </w:tcPr>
          <w:p>
            <w:pPr>
              <w:pStyle w:val="TableContents"/>
              <w:bidi w:val="0"/>
              <w:spacing w:before="0" w:after="283"/>
              <w:jc w:val="left"/>
              <w:rPr/>
            </w:pPr>
            <w:r>
              <w:rPr/>
              <w:t> </w:t>
            </w:r>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shares issued to Verista</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49,800</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Payment of deferred offering costs – ATM</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(238,330</w:t>
            </w:r>
          </w:p>
        </w:tc>
        <w:tc>
          <w:tcPr>
            <w:tcW w:w="1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issuance of common stock and pre-funded warrants under private placement</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329,996</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issuance of common stock and warrants</w:t>
            </w:r>
          </w:p>
        </w:tc>
        <w:tc>
          <w:tcPr>
            <w:tcW w:w="60" w:type="dxa"/>
            <w:tcBorders/>
            <w:shd w:fill="CCEEFF" w:val="clear"/>
            <w:vAlign w:val="center"/>
          </w:tcPr>
          <w:p>
            <w:pPr>
              <w:pStyle w:val="TableContents"/>
              <w:bidi w:val="0"/>
              <w:spacing w:before="0" w:after="283"/>
              <w:jc w:val="left"/>
              <w:rPr/>
            </w:pPr>
            <w:r>
              <w:rPr/>
              <w:t> </w:t>
            </w:r>
          </w:p>
        </w:tc>
        <w:tc>
          <w:tcPr>
            <w:tcW w:w="1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2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3,545,799</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2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6,257,368</w:t>
            </w:r>
          </w:p>
        </w:tc>
        <w:tc>
          <w:tcPr>
            <w:tcW w:w="112" w:type="dxa"/>
            <w:tcBorders/>
            <w:shd w:fill="CCEEFF" w:val="clear"/>
            <w:vAlign w:val="center"/>
          </w:tcPr>
          <w:p>
            <w:pPr>
              <w:pStyle w:val="TableContents"/>
              <w:bidi w:val="0"/>
              <w:spacing w:before="0" w:after="283"/>
              <w:jc w:val="left"/>
              <w:rPr/>
            </w:pPr>
            <w:r>
              <w:rPr/>
              <w:t> </w:t>
            </w:r>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cash provided by financing activities</w:t>
            </w:r>
          </w:p>
        </w:tc>
        <w:tc>
          <w:tcPr>
            <w:tcW w:w="60" w:type="dxa"/>
            <w:tcBorders/>
            <w:shd w:fill="FFFFFF" w:val="clear"/>
            <w:vAlign w:val="center"/>
          </w:tcPr>
          <w:p>
            <w:pPr>
              <w:pStyle w:val="TableContents"/>
              <w:bidi w:val="0"/>
              <w:spacing w:before="0" w:after="283"/>
              <w:jc w:val="left"/>
              <w:rPr/>
            </w:pPr>
            <w:r>
              <w:rPr/>
              <w:t> </w:t>
            </w:r>
          </w:p>
        </w:tc>
        <w:tc>
          <w:tcPr>
            <w:tcW w:w="1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2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17,633,523</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2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8,486,963</w:t>
            </w:r>
          </w:p>
        </w:tc>
        <w:tc>
          <w:tcPr>
            <w:tcW w:w="112" w:type="dxa"/>
            <w:tcBorders/>
            <w:shd w:fill="FFFFFF" w:val="clear"/>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Effect of exchange rate changes on cash and cash equivalents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(76,216</w:t>
            </w:r>
          </w:p>
        </w:tc>
        <w:tc>
          <w:tcPr>
            <w:tcW w:w="1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decrease in cash</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(828,292</w:t>
            </w:r>
          </w:p>
        </w:tc>
        <w:tc>
          <w:tcPr>
            <w:tcW w:w="1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(1,006,221</w:t>
            </w:r>
          </w:p>
        </w:tc>
        <w:tc>
          <w:tcPr>
            <w:tcW w:w="11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at beginning of period</w:t>
            </w:r>
          </w:p>
        </w:tc>
        <w:tc>
          <w:tcPr>
            <w:tcW w:w="60" w:type="dxa"/>
            <w:tcBorders/>
            <w:shd w:fill="CCEEFF" w:val="clear"/>
            <w:vAlign w:val="center"/>
          </w:tcPr>
          <w:p>
            <w:pPr>
              <w:pStyle w:val="TableContents"/>
              <w:bidi w:val="0"/>
              <w:spacing w:before="0" w:after="283"/>
              <w:jc w:val="left"/>
              <w:rPr/>
            </w:pPr>
            <w:r>
              <w:rPr/>
              <w:t> </w:t>
            </w:r>
          </w:p>
        </w:tc>
        <w:tc>
          <w:tcPr>
            <w:tcW w:w="1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2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1,087,497</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2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2,093,718</w:t>
            </w:r>
          </w:p>
        </w:tc>
        <w:tc>
          <w:tcPr>
            <w:tcW w:w="112" w:type="dxa"/>
            <w:tcBorders/>
            <w:shd w:fill="CCEEFF" w:val="clear"/>
            <w:vAlign w:val="center"/>
          </w:tcPr>
          <w:p>
            <w:pPr>
              <w:pStyle w:val="TableContents"/>
              <w:bidi w:val="0"/>
              <w:spacing w:before="0" w:after="283"/>
              <w:jc w:val="left"/>
              <w:rPr/>
            </w:pPr>
            <w:r>
              <w:rPr/>
              <w:t> </w:t>
            </w:r>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at end of period</w:t>
            </w:r>
          </w:p>
        </w:tc>
        <w:tc>
          <w:tcPr>
            <w:tcW w:w="60" w:type="dxa"/>
            <w:tcBorders/>
            <w:shd w:fill="FFFFFF" w:val="clear"/>
            <w:vAlign w:val="center"/>
          </w:tcPr>
          <w:p>
            <w:pPr>
              <w:pStyle w:val="TableContents"/>
              <w:bidi w:val="0"/>
              <w:spacing w:before="0" w:after="283"/>
              <w:jc w:val="left"/>
              <w:rPr/>
            </w:pPr>
            <w:r>
              <w:rPr/>
              <w:t> </w:t>
            </w:r>
          </w:p>
        </w:tc>
        <w:tc>
          <w:tcPr>
            <w:tcW w:w="16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2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259,205</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2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1,087,497</w:t>
            </w:r>
          </w:p>
        </w:tc>
        <w:tc>
          <w:tcPr>
            <w:tcW w:w="112"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F-8</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Cash Flows</w:t>
      </w:r>
    </w:p>
    <w:p>
      <w:pPr>
        <w:pStyle w:val="TextBody"/>
        <w:bidi w:val="0"/>
        <w:spacing w:before="0" w:after="0"/>
        <w:ind w:left="0" w:right="0" w:hanging="0"/>
        <w:jc w:val="left"/>
        <w:rPr>
          <w:caps w:val="false"/>
          <w:smallCaps w:val="false"/>
        </w:rPr>
      </w:pPr>
      <w:r>
        <w:rPr>
          <w:caps w:val="false"/>
          <w:smallCaps w:val="false"/>
        </w:rPr>
        <w:t> </w:t>
      </w:r>
    </w:p>
    <w:tbl>
      <w:tblPr>
        <w:tblW w:w="9360" w:type="dxa"/>
        <w:jc w:val="left"/>
        <w:tblInd w:w="0" w:type="dxa"/>
        <w:tblLayout w:type="fixed"/>
        <w:tblCellMar>
          <w:top w:w="0" w:type="dxa"/>
          <w:left w:w="0" w:type="dxa"/>
          <w:bottom w:w="0" w:type="dxa"/>
          <w:right w:w="0" w:type="dxa"/>
        </w:tblCellMar>
      </w:tblPr>
      <w:tblGrid>
        <w:gridCol w:w="6905"/>
        <w:gridCol w:w="60"/>
        <w:gridCol w:w="60"/>
        <w:gridCol w:w="980"/>
        <w:gridCol w:w="60"/>
        <w:gridCol w:w="60"/>
        <w:gridCol w:w="60"/>
        <w:gridCol w:w="1100"/>
        <w:gridCol w:w="75"/>
      </w:tblGrid>
      <w:tr>
        <w:trPr/>
        <w:tc>
          <w:tcPr>
            <w:tcW w:w="690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Supplemental disclosure of cash flow information: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69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paid for interest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1,095,395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338,393</w:t>
            </w:r>
          </w:p>
        </w:tc>
        <w:tc>
          <w:tcPr>
            <w:tcW w:w="75" w:type="dxa"/>
            <w:tcBorders/>
            <w:shd w:fill="FFFFFF" w:val="clear"/>
            <w:vAlign w:val="center"/>
          </w:tcPr>
          <w:p>
            <w:pPr>
              <w:pStyle w:val="TableContents"/>
              <w:bidi w:val="0"/>
              <w:spacing w:before="0" w:after="283"/>
              <w:jc w:val="left"/>
              <w:rPr/>
            </w:pPr>
            <w:r>
              <w:rPr/>
              <w:t> </w:t>
            </w:r>
          </w:p>
        </w:tc>
      </w:tr>
      <w:tr>
        <w:trPr/>
        <w:tc>
          <w:tcPr>
            <w:tcW w:w="69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paid for taxes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10,621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5,113</w:t>
            </w:r>
          </w:p>
        </w:tc>
        <w:tc>
          <w:tcPr>
            <w:tcW w:w="75" w:type="dxa"/>
            <w:tcBorders/>
            <w:shd w:fill="CCEEFF" w:val="clear"/>
            <w:vAlign w:val="center"/>
          </w:tcPr>
          <w:p>
            <w:pPr>
              <w:pStyle w:val="TableContents"/>
              <w:bidi w:val="0"/>
              <w:spacing w:before="0" w:after="283"/>
              <w:jc w:val="left"/>
              <w:rPr/>
            </w:pPr>
            <w:r>
              <w:rPr/>
              <w:t> </w:t>
            </w:r>
          </w:p>
        </w:tc>
      </w:tr>
      <w:tr>
        <w:trPr/>
        <w:tc>
          <w:tcPr>
            <w:tcW w:w="6905" w:type="dxa"/>
            <w:tcBorders/>
            <w:shd w:fill="FFFFFF" w:val="cle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Non-cash investing and financing activities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69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to Roth for advisory fee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578,833</w:t>
            </w:r>
          </w:p>
        </w:tc>
        <w:tc>
          <w:tcPr>
            <w:tcW w:w="75" w:type="dxa"/>
            <w:tcBorders/>
            <w:shd w:fill="CCEEFF" w:val="clear"/>
            <w:vAlign w:val="center"/>
          </w:tcPr>
          <w:p>
            <w:pPr>
              <w:pStyle w:val="TableContents"/>
              <w:bidi w:val="0"/>
              <w:spacing w:before="0" w:after="283"/>
              <w:jc w:val="left"/>
              <w:rPr/>
            </w:pPr>
            <w:r>
              <w:rPr/>
              <w:t> </w:t>
            </w:r>
          </w:p>
        </w:tc>
      </w:tr>
      <w:tr>
        <w:trPr/>
        <w:tc>
          <w:tcPr>
            <w:tcW w:w="69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to GEM</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784,943</w:t>
            </w:r>
          </w:p>
        </w:tc>
        <w:tc>
          <w:tcPr>
            <w:tcW w:w="75" w:type="dxa"/>
            <w:tcBorders/>
            <w:shd w:fill="FFFFFF" w:val="clear"/>
            <w:vAlign w:val="center"/>
          </w:tcPr>
          <w:p>
            <w:pPr>
              <w:pStyle w:val="TableContents"/>
              <w:bidi w:val="0"/>
              <w:spacing w:before="0" w:after="283"/>
              <w:jc w:val="left"/>
              <w:rPr/>
            </w:pPr>
            <w:r>
              <w:rPr/>
              <w:t> </w:t>
            </w:r>
          </w:p>
        </w:tc>
      </w:tr>
      <w:tr>
        <w:trPr/>
        <w:tc>
          <w:tcPr>
            <w:tcW w:w="69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for marketing expenses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334,772</w:t>
            </w:r>
          </w:p>
        </w:tc>
        <w:tc>
          <w:tcPr>
            <w:tcW w:w="75" w:type="dxa"/>
            <w:tcBorders/>
            <w:shd w:fill="CCEEFF" w:val="clear"/>
            <w:vAlign w:val="center"/>
          </w:tcPr>
          <w:p>
            <w:pPr>
              <w:pStyle w:val="TableContents"/>
              <w:bidi w:val="0"/>
              <w:spacing w:before="0" w:after="283"/>
              <w:jc w:val="left"/>
              <w:rPr/>
            </w:pPr>
            <w:r>
              <w:rPr/>
              <w:t> </w:t>
            </w:r>
          </w:p>
        </w:tc>
      </w:tr>
      <w:tr>
        <w:trPr/>
        <w:tc>
          <w:tcPr>
            <w:tcW w:w="69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to MZHCI for investor relations services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94,800</w:t>
            </w:r>
          </w:p>
        </w:tc>
        <w:tc>
          <w:tcPr>
            <w:tcW w:w="75" w:type="dxa"/>
            <w:tcBorders/>
            <w:shd w:fill="FFFFFF" w:val="clear"/>
            <w:vAlign w:val="center"/>
          </w:tcPr>
          <w:p>
            <w:pPr>
              <w:pStyle w:val="TableContents"/>
              <w:bidi w:val="0"/>
              <w:spacing w:before="0" w:after="283"/>
              <w:jc w:val="left"/>
              <w:rPr/>
            </w:pPr>
            <w:r>
              <w:rPr/>
              <w:t> </w:t>
            </w:r>
          </w:p>
        </w:tc>
      </w:tr>
      <w:tr>
        <w:trPr/>
        <w:tc>
          <w:tcPr>
            <w:tcW w:w="69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to J.V.B for payment of outstanding debt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115,000</w:t>
            </w:r>
          </w:p>
        </w:tc>
        <w:tc>
          <w:tcPr>
            <w:tcW w:w="75" w:type="dxa"/>
            <w:tcBorders/>
            <w:shd w:fill="CCEEFF" w:val="clear"/>
            <w:vAlign w:val="center"/>
          </w:tcPr>
          <w:p>
            <w:pPr>
              <w:pStyle w:val="TableContents"/>
              <w:bidi w:val="0"/>
              <w:spacing w:before="0" w:after="283"/>
              <w:jc w:val="left"/>
              <w:rPr/>
            </w:pPr>
            <w:r>
              <w:rPr/>
              <w:t> </w:t>
            </w:r>
          </w:p>
        </w:tc>
      </w:tr>
      <w:tr>
        <w:trPr/>
        <w:tc>
          <w:tcPr>
            <w:tcW w:w="69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for exercise of Pre-Funded warrants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2,072</w:t>
            </w:r>
          </w:p>
        </w:tc>
        <w:tc>
          <w:tcPr>
            <w:tcW w:w="75" w:type="dxa"/>
            <w:tcBorders/>
            <w:shd w:fill="FFFFFF" w:val="clear"/>
            <w:vAlign w:val="center"/>
          </w:tcPr>
          <w:p>
            <w:pPr>
              <w:pStyle w:val="TableContents"/>
              <w:bidi w:val="0"/>
              <w:spacing w:before="0" w:after="283"/>
              <w:jc w:val="left"/>
              <w:rPr/>
            </w:pPr>
            <w:r>
              <w:rPr/>
              <w:t> </w:t>
            </w:r>
          </w:p>
        </w:tc>
      </w:tr>
      <w:tr>
        <w:trPr/>
        <w:tc>
          <w:tcPr>
            <w:tcW w:w="69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Deemed dividend - Series A and Series B warrant modification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418,360</w:t>
            </w:r>
          </w:p>
        </w:tc>
        <w:tc>
          <w:tcPr>
            <w:tcW w:w="75" w:type="dxa"/>
            <w:tcBorders/>
            <w:shd w:fill="CCEEFF" w:val="clear"/>
            <w:vAlign w:val="center"/>
          </w:tcPr>
          <w:p>
            <w:pPr>
              <w:pStyle w:val="TableContents"/>
              <w:bidi w:val="0"/>
              <w:spacing w:before="0" w:after="283"/>
              <w:jc w:val="left"/>
              <w:rPr/>
            </w:pPr>
            <w:r>
              <w:rPr/>
              <w:t> </w:t>
            </w:r>
          </w:p>
        </w:tc>
      </w:tr>
      <w:tr>
        <w:trPr/>
        <w:tc>
          <w:tcPr>
            <w:tcW w:w="69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to CP BF for debt restructuring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1,287,003</w:t>
            </w:r>
          </w:p>
        </w:tc>
        <w:tc>
          <w:tcPr>
            <w:tcW w:w="75" w:type="dxa"/>
            <w:tcBorders/>
            <w:shd w:fill="FFFFFF" w:val="clear"/>
            <w:vAlign w:val="center"/>
          </w:tcPr>
          <w:p>
            <w:pPr>
              <w:pStyle w:val="TableContents"/>
              <w:bidi w:val="0"/>
              <w:spacing w:before="0" w:after="283"/>
              <w:jc w:val="left"/>
              <w:rPr/>
            </w:pPr>
            <w:r>
              <w:rPr/>
              <w:t> </w:t>
            </w:r>
          </w:p>
        </w:tc>
      </w:tr>
      <w:tr>
        <w:trPr/>
        <w:tc>
          <w:tcPr>
            <w:tcW w:w="69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Warrants and pre-funded warrants issued to CP BF for debt restructuring</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2,763,161</w:t>
            </w:r>
          </w:p>
        </w:tc>
        <w:tc>
          <w:tcPr>
            <w:tcW w:w="75" w:type="dxa"/>
            <w:tcBorders/>
            <w:shd w:fill="CCEEFF" w:val="clear"/>
            <w:vAlign w:val="center"/>
          </w:tcPr>
          <w:p>
            <w:pPr>
              <w:pStyle w:val="TableContents"/>
              <w:bidi w:val="0"/>
              <w:spacing w:before="0" w:after="283"/>
              <w:jc w:val="left"/>
              <w:rPr/>
            </w:pPr>
            <w:r>
              <w:rPr/>
              <w:t> </w:t>
            </w:r>
          </w:p>
        </w:tc>
      </w:tr>
      <w:tr>
        <w:trPr/>
        <w:tc>
          <w:tcPr>
            <w:tcW w:w="69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Premium issued as part of CP BF debt modification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4,079,225</w:t>
            </w:r>
          </w:p>
        </w:tc>
        <w:tc>
          <w:tcPr>
            <w:tcW w:w="75" w:type="dxa"/>
            <w:tcBorders/>
            <w:shd w:fill="FFFFFF" w:val="clear"/>
            <w:vAlign w:val="center"/>
          </w:tcPr>
          <w:p>
            <w:pPr>
              <w:pStyle w:val="TableContents"/>
              <w:bidi w:val="0"/>
              <w:spacing w:before="0" w:after="283"/>
              <w:jc w:val="left"/>
              <w:rPr/>
            </w:pPr>
            <w:r>
              <w:rPr/>
              <w:t> </w:t>
            </w:r>
          </w:p>
        </w:tc>
      </w:tr>
      <w:tr>
        <w:trPr/>
        <w:tc>
          <w:tcPr>
            <w:tcW w:w="69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to Alco for debt restructuring</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1,098,614</w:t>
            </w:r>
          </w:p>
        </w:tc>
        <w:tc>
          <w:tcPr>
            <w:tcW w:w="75" w:type="dxa"/>
            <w:tcBorders/>
            <w:shd w:fill="CCEEFF" w:val="clear"/>
            <w:vAlign w:val="center"/>
          </w:tcPr>
          <w:p>
            <w:pPr>
              <w:pStyle w:val="TableContents"/>
              <w:bidi w:val="0"/>
              <w:spacing w:before="0" w:after="283"/>
              <w:jc w:val="left"/>
              <w:rPr/>
            </w:pPr>
            <w:r>
              <w:rPr/>
              <w:t> </w:t>
            </w:r>
          </w:p>
        </w:tc>
      </w:tr>
      <w:tr>
        <w:trPr/>
        <w:tc>
          <w:tcPr>
            <w:tcW w:w="69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Warrants and pre-funded warrants issued to Alco for debt restructuring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7,768,006</w:t>
            </w:r>
          </w:p>
        </w:tc>
        <w:tc>
          <w:tcPr>
            <w:tcW w:w="75" w:type="dxa"/>
            <w:tcBorders/>
            <w:shd w:fill="FFFFFF" w:val="clear"/>
            <w:vAlign w:val="center"/>
          </w:tcPr>
          <w:p>
            <w:pPr>
              <w:pStyle w:val="TableContents"/>
              <w:bidi w:val="0"/>
              <w:spacing w:before="0" w:after="283"/>
              <w:jc w:val="left"/>
              <w:rPr/>
            </w:pPr>
            <w:r>
              <w:rPr/>
              <w:t> </w:t>
            </w:r>
          </w:p>
        </w:tc>
      </w:tr>
      <w:tr>
        <w:trPr/>
        <w:tc>
          <w:tcPr>
            <w:tcW w:w="69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for Hudson consulting fee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974,261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166,501</w:t>
            </w:r>
          </w:p>
        </w:tc>
        <w:tc>
          <w:tcPr>
            <w:tcW w:w="75" w:type="dxa"/>
            <w:tcBorders/>
            <w:shd w:fill="CCEEFF" w:val="clear"/>
            <w:vAlign w:val="center"/>
          </w:tcPr>
          <w:p>
            <w:pPr>
              <w:pStyle w:val="TableContents"/>
              <w:bidi w:val="0"/>
              <w:spacing w:before="0" w:after="283"/>
              <w:jc w:val="left"/>
              <w:rPr/>
            </w:pPr>
            <w:r>
              <w:rPr/>
              <w:t> </w:t>
            </w:r>
          </w:p>
        </w:tc>
      </w:tr>
      <w:tr>
        <w:trPr/>
        <w:tc>
          <w:tcPr>
            <w:tcW w:w="69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for payment to Verista</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49,800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69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to Perkins Coie LLP for payment of outstanding debt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919,700</w:t>
            </w:r>
          </w:p>
        </w:tc>
        <w:tc>
          <w:tcPr>
            <w:tcW w:w="75" w:type="dxa"/>
            <w:tcBorders/>
            <w:shd w:fill="CCEEFF" w:val="clear"/>
            <w:vAlign w:val="center"/>
          </w:tcPr>
          <w:p>
            <w:pPr>
              <w:pStyle w:val="TableContents"/>
              <w:bidi w:val="0"/>
              <w:spacing w:before="0" w:after="283"/>
              <w:jc w:val="left"/>
              <w:rPr/>
            </w:pPr>
            <w:r>
              <w:rPr/>
              <w:t> </w:t>
            </w:r>
          </w:p>
        </w:tc>
      </w:tr>
      <w:tr>
        <w:trPr/>
        <w:tc>
          <w:tcPr>
            <w:tcW w:w="69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Settlement of GEM commitment fee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200,000</w:t>
            </w:r>
          </w:p>
        </w:tc>
        <w:tc>
          <w:tcPr>
            <w:tcW w:w="75" w:type="dxa"/>
            <w:tcBorders/>
            <w:shd w:fill="FFFFFF" w:val="clear"/>
            <w:vAlign w:val="center"/>
          </w:tcPr>
          <w:p>
            <w:pPr>
              <w:pStyle w:val="TableContents"/>
              <w:bidi w:val="0"/>
              <w:spacing w:before="0" w:after="283"/>
              <w:jc w:val="left"/>
              <w:rPr/>
            </w:pPr>
            <w:r>
              <w:rPr/>
              <w:t> </w:t>
            </w:r>
          </w:p>
        </w:tc>
      </w:tr>
      <w:tr>
        <w:trPr/>
        <w:tc>
          <w:tcPr>
            <w:tcW w:w="69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to Yorkville for commitment fee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115,800</w:t>
            </w:r>
          </w:p>
        </w:tc>
        <w:tc>
          <w:tcPr>
            <w:tcW w:w="75" w:type="dxa"/>
            <w:tcBorders/>
            <w:shd w:fill="CCEEFF" w:val="clear"/>
            <w:vAlign w:val="center"/>
          </w:tcPr>
          <w:p>
            <w:pPr>
              <w:pStyle w:val="TableContents"/>
              <w:bidi w:val="0"/>
              <w:spacing w:before="0" w:after="283"/>
              <w:jc w:val="left"/>
              <w:rPr/>
            </w:pPr>
            <w:r>
              <w:rPr/>
              <w:t> </w:t>
            </w:r>
          </w:p>
        </w:tc>
      </w:tr>
      <w:tr>
        <w:trPr/>
        <w:tc>
          <w:tcPr>
            <w:tcW w:w="69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Derecognition of Cantor fee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4,000,000</w:t>
            </w:r>
          </w:p>
        </w:tc>
        <w:tc>
          <w:tcPr>
            <w:tcW w:w="75" w:type="dxa"/>
            <w:tcBorders/>
            <w:shd w:fill="FFFFFF" w:val="clear"/>
            <w:vAlign w:val="center"/>
          </w:tcPr>
          <w:p>
            <w:pPr>
              <w:pStyle w:val="TableContents"/>
              <w:bidi w:val="0"/>
              <w:spacing w:before="0" w:after="283"/>
              <w:jc w:val="left"/>
              <w:rPr/>
            </w:pPr>
            <w:r>
              <w:rPr/>
              <w:t> </w:t>
            </w:r>
          </w:p>
        </w:tc>
      </w:tr>
      <w:tr>
        <w:trPr/>
        <w:tc>
          <w:tcPr>
            <w:tcW w:w="69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Consideration transferred for acquisition of Vidello</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1,661,677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69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Assets acquired in acquisition of Vidello</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8,393,172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69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Liabilities assumed in acquisition of Vidello</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3,986,464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69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Consideration transferred for acquisition of OpenReel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20,826,920</w:t>
            </w:r>
          </w:p>
        </w:tc>
        <w:tc>
          <w:tcPr>
            <w:tcW w:w="75" w:type="dxa"/>
            <w:tcBorders/>
            <w:shd w:fill="FFFFFF" w:val="clear"/>
            <w:vAlign w:val="center"/>
          </w:tcPr>
          <w:p>
            <w:pPr>
              <w:pStyle w:val="TableContents"/>
              <w:bidi w:val="0"/>
              <w:spacing w:before="0" w:after="283"/>
              <w:jc w:val="left"/>
              <w:rPr/>
            </w:pPr>
            <w:r>
              <w:rPr/>
              <w:t> </w:t>
            </w:r>
          </w:p>
        </w:tc>
      </w:tr>
      <w:tr>
        <w:trPr/>
        <w:tc>
          <w:tcPr>
            <w:tcW w:w="69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Assets acquired in acquisition of OpenReel</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24,484,460</w:t>
            </w:r>
          </w:p>
        </w:tc>
        <w:tc>
          <w:tcPr>
            <w:tcW w:w="75" w:type="dxa"/>
            <w:tcBorders/>
            <w:shd w:fill="CCEEFF" w:val="clear"/>
            <w:vAlign w:val="center"/>
          </w:tcPr>
          <w:p>
            <w:pPr>
              <w:pStyle w:val="TableContents"/>
              <w:bidi w:val="0"/>
              <w:spacing w:before="0" w:after="283"/>
              <w:jc w:val="left"/>
              <w:rPr/>
            </w:pPr>
            <w:r>
              <w:rPr/>
              <w:t> </w:t>
            </w:r>
          </w:p>
        </w:tc>
      </w:tr>
      <w:tr>
        <w:trPr/>
        <w:tc>
          <w:tcPr>
            <w:tcW w:w="69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Liabilities assumed in acquisition of OpenReel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3,657,540</w:t>
            </w:r>
          </w:p>
        </w:tc>
        <w:tc>
          <w:tcPr>
            <w:tcW w:w="75" w:type="dxa"/>
            <w:tcBorders/>
            <w:shd w:fill="FFFFFF" w:val="clear"/>
            <w:vAlign w:val="center"/>
          </w:tcPr>
          <w:p>
            <w:pPr>
              <w:pStyle w:val="TableContents"/>
              <w:bidi w:val="0"/>
              <w:spacing w:before="0" w:after="283"/>
              <w:jc w:val="left"/>
              <w:rPr/>
            </w:pPr>
            <w:r>
              <w:rPr/>
              <w:t> </w:t>
            </w:r>
          </w:p>
        </w:tc>
      </w:tr>
      <w:tr>
        <w:trPr/>
        <w:tc>
          <w:tcPr>
            <w:tcW w:w="69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Right-of-use assets obtained in exchange for lease obligations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76,269</w:t>
            </w:r>
          </w:p>
        </w:tc>
        <w:tc>
          <w:tcPr>
            <w:tcW w:w="75" w:type="dxa"/>
            <w:tcBorders/>
            <w:shd w:fill="CCEEFF" w:val="clear"/>
            <w:vAlign w:val="center"/>
          </w:tcPr>
          <w:p>
            <w:pPr>
              <w:pStyle w:val="TableContents"/>
              <w:bidi w:val="0"/>
              <w:spacing w:before="0" w:after="283"/>
              <w:jc w:val="left"/>
              <w:rPr/>
            </w:pPr>
            <w:r>
              <w:rPr/>
              <w:t> </w:t>
            </w:r>
          </w:p>
        </w:tc>
      </w:tr>
      <w:tr>
        <w:trPr/>
        <w:tc>
          <w:tcPr>
            <w:tcW w:w="69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Conversion of private placement convertible notes, carried at fair value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4,343,116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69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for payment of outstanding debt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396,110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69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for 1800 Diagonal Note conversions of debt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444,317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69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to Yorkville of aggregate commitment fee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500,000</w:t>
            </w:r>
          </w:p>
        </w:tc>
        <w:tc>
          <w:tcPr>
            <w:tcW w:w="75" w:type="dxa"/>
            <w:tcBorders/>
            <w:shd w:fill="CCEEFF" w:val="clear"/>
            <w:vAlign w:val="center"/>
          </w:tcPr>
          <w:p>
            <w:pPr>
              <w:pStyle w:val="TableContents"/>
              <w:bidi w:val="0"/>
              <w:spacing w:before="0" w:after="283"/>
              <w:jc w:val="left"/>
              <w:rPr/>
            </w:pPr>
            <w:r>
              <w:rPr/>
              <w:t> </w:t>
            </w:r>
          </w:p>
        </w:tc>
      </w:tr>
      <w:tr>
        <w:trPr/>
        <w:tc>
          <w:tcPr>
            <w:tcW w:w="69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convertible promissory note – GEM</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1,000,000</w:t>
            </w:r>
          </w:p>
        </w:tc>
        <w:tc>
          <w:tcPr>
            <w:tcW w:w="75" w:type="dxa"/>
            <w:tcBorders/>
            <w:shd w:fill="FFFFFF" w:val="clear"/>
            <w:vAlign w:val="center"/>
          </w:tcPr>
          <w:p>
            <w:pPr>
              <w:pStyle w:val="TableContents"/>
              <w:bidi w:val="0"/>
              <w:spacing w:before="0" w:after="283"/>
              <w:jc w:val="left"/>
              <w:rPr/>
            </w:pPr>
            <w:r>
              <w:rPr/>
              <w:t> </w:t>
            </w:r>
          </w:p>
        </w:tc>
      </w:tr>
      <w:tr>
        <w:trPr/>
        <w:tc>
          <w:tcPr>
            <w:tcW w:w="69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Bifurcated embedded derivative liabilities at issuance – related party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12,000</w:t>
            </w:r>
          </w:p>
        </w:tc>
        <w:tc>
          <w:tcPr>
            <w:tcW w:w="75" w:type="dxa"/>
            <w:tcBorders/>
            <w:shd w:fill="CCEEFF" w:val="clear"/>
            <w:vAlign w:val="center"/>
          </w:tcPr>
          <w:p>
            <w:pPr>
              <w:pStyle w:val="TableContents"/>
              <w:bidi w:val="0"/>
              <w:spacing w:before="0" w:after="283"/>
              <w:jc w:val="left"/>
              <w:rPr/>
            </w:pPr>
            <w:r>
              <w:rPr/>
              <w:t> </w:t>
            </w:r>
          </w:p>
        </w:tc>
      </w:tr>
      <w:tr>
        <w:trPr/>
        <w:tc>
          <w:tcPr>
            <w:tcW w:w="69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Conversion of convertible notes - Yorkville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4,130,000</w:t>
            </w:r>
          </w:p>
        </w:tc>
        <w:tc>
          <w:tcPr>
            <w:tcW w:w="75" w:type="dxa"/>
            <w:tcBorders/>
            <w:shd w:fill="FFFFFF" w:val="clear"/>
            <w:vAlign w:val="center"/>
          </w:tcPr>
          <w:p>
            <w:pPr>
              <w:pStyle w:val="TableContents"/>
              <w:bidi w:val="0"/>
              <w:spacing w:before="0" w:after="283"/>
              <w:jc w:val="left"/>
              <w:rPr/>
            </w:pPr>
            <w:r>
              <w:rPr/>
              <w:t> </w:t>
            </w:r>
          </w:p>
        </w:tc>
      </w:tr>
      <w:tr>
        <w:trPr/>
        <w:tc>
          <w:tcPr>
            <w:tcW w:w="69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Conversion of convertible notes - related party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2,540,091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F-9</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8" w:name="sp_007"/>
      <w:bookmarkEnd w:id="28"/>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Organization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Banzai International, Inc. (the “Company” or “Banzai”) was incorporated in Delaware on September 30, 2015. Banzai is a leading enterprise SaaS Video Engagement platform used by marketers to power webinars, trainings, virtual events, and on-demand video content.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Reverse Stock Splits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29, 2024, the stockholders of the Company collectively approved an amendment to the Company’s Certificate of Incorporation, as amended and restated, to effect a reverse stock split (the “2024 Reverse Stock Split”) of the Company’s outstanding Class A Common Stock at a ratio of 1-for-50 effective as of September 19, 2024. The Class B Common Stock was not affected by the 2024 Reverse Stock Split.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27, 2025, the stockholders of the Company collectively approved an amendment to the Company’s Certificate of Incorporation, as amended and restated, to effect a reverse stock split (the “2025 Reverse Stock Split”) of the Company’s outstanding Class A Common Stock and Class B Common Stock at a ratio of 1-for-10 effective on July 8,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cash or fractional shares were issued in connection with the 2024 Reverse Stock Split and 2025 Reverse Stock Split, and instead the Company rounded up to the next whole share in lieu of issuing fractional shares that would have been issued in the reverse split. Proportional adjustments were made to the number of shares of Class A Common Stock issuable upon exercise or conversion of the Company’s outstanding stock options and warrants, the exercise price or conversion price (as applicable) of the Company’s outstanding stock options and warrants, and the number of shares reserved for issuance under the Company’s equity incentive plan. All Class A Common Stock share and per share information included in this prospectus has been retroactively adjusted to reflect the impact of the 2024 Reverse Stock Split and 2025 Reverse Stock Split.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Smaller Reporting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an “smaller reporting company,” as defined by SEC rules, and it may take advantage of reduced financial statement disclosure requirements in our SEC filings. Therefore, the Company’s financial statements may not be comparable to certain public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Company had cash of approximately $0.3 million. For the year ended December 31, 2025, the Company used approximately $15.7 million in cash for operating activities. The Company has incurred recurring net losses from operations and negative cash flows from operating activities since inception. As of December 31, 2025, the Company had an accumulated deficit of approximately $100.8 million. These factors raise substantial doubt regarding the Company’s ability to continue as a going concern within one year of the date these financial statements were issued.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continuation of the Company as a going concern is dependent upon the continued financial support from its stockholders and debt holders. Specifically, continuation is contingent on the Company’s ability to obtain necessary equity or debt financing to continue operations, and ultimately the Company’s ability to generate profit from sales and positive operating cash flows, which is not assured.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plans include obtaining future debt financings (see </w:t>
      </w:r>
      <w:r>
        <w:rPr>
          <w:rFonts w:ascii="Times New Roman;Times;Serif" w:hAnsi="Times New Roman;Times;Serif"/>
          <w:b w:val="false"/>
          <w:i/>
          <w:caps w:val="false"/>
          <w:smallCaps w:val="false"/>
          <w:sz w:val="20"/>
        </w:rPr>
        <w:t>Note 12 – Debt</w:t>
      </w:r>
      <w:r>
        <w:rPr>
          <w:rFonts w:ascii="Times New Roman;Times;Serif" w:hAnsi="Times New Roman;Times;Serif"/>
          <w:b w:val="false"/>
          <w:i w:val="false"/>
          <w:caps w:val="false"/>
          <w:smallCaps w:val="false"/>
          <w:sz w:val="20"/>
        </w:rPr>
        <w:t xml:space="preserve">) and equity financings associated with the Yorkville SEPA and the ATM (as defined in </w:t>
      </w:r>
      <w:r>
        <w:rPr>
          <w:rFonts w:ascii="Times New Roman;Times;Serif" w:hAnsi="Times New Roman;Times;Serif"/>
          <w:b w:val="false"/>
          <w:i/>
          <w:caps w:val="false"/>
          <w:smallCaps w:val="false"/>
          <w:sz w:val="20"/>
        </w:rPr>
        <w:t>Note 15 – Equity</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If the Company is unsuccessful in completing these planned transactions, it may be required to reduce its spending rate to align with expected revenue levels and cash reserves, although there can be no guarantee that it will be successful in doing so. Accordingly, the Company may be required to raise additional cash through debt or equity transactions. It may not be able to secure financing in a timely manner or on favorable terms, if at all. As a result, management’s plans cannot be considered probable and thus do not alleviate substantial doubt about the Company’s ability to continue as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accompanying consolidated financial statements have been prepared assuming that the Company will continue as a going concern and do not include any adjustments that might result from the outcome of this uncertainty.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 Summary of Significant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Basis of Presentation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audited consolidated financial statements have been prepared in conformity with accounting principles generally accepted in the United States of America (“GAAP”) as determined by the Financial Accounting Standards Board (“FASB”) Accounting Standards Codification (“ASC”) and applicable regulations of the Securities and Exchange Commission (“SEC”) regarding annual financial reporting.</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Principles of Consolidation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audited consolidated financial statements include the accounts of Banzai and its subsidiaries. The Company consolidates all entities over which the Company has the power to govern the financial and operating policies and therefore exercises control, and upon which the Company has a controlling financial interest. The existence and effect of both current voting rights and potential voting rights that are currently exercisable or convertible are considered when assessing whether control of an entity is exercised. The subsidiary is consolidated from the date at which the Company obtains control and is de-consolidated from the date at which control ceases. All intercompany balances and transactions have been eliminated. The accounting policies of the subsidiary has been changed where necessary to ensure consistency with the policies adopted by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opinion of management, all necessary adjustments (consisting of normal recurring adjustments, intercompany adjustments, reclassifications and non-recurring adjustments) have been recorded to present fairly our financial position as of December 31, 2025 and 2024, respectively, and the results of operations and cash flows for the years ended December 31, 2025 and 2024,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Use of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consolidated financial statements in conformity with GAAP requires management to make estimates and assumptions that affect the reported amounts of assets, liabilities and disclosure of contingent assets and liabilities at the date of the audited consolidated financial statements and the reported amounts of revenues and expenses during the reporting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Making estimates requires management to exercise significant judgment. It is at least reasonably possible that estimates made as of the date of the financial statements could change in the near term due to one or more future events. Actual results could differ significantly from these estimates. Significant accounting estimates reflected in the Company’s consolidated financial statements include estimates of impairment of goodwill, recognition and measurement of convertible notes, including the associated embedded derivatives, determination of the fair value of the warrant liabilities and debt instruments reported at fair value, determination of the consideration transferred and purchase price allocated to assets acquired and liabilities assumed for acquisitions which are based on their estimated fair values at the date of acquisition, estimated useful lives of finite-lived intangible assets, and recognition and measurement of stock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Certain Risks and Uncertainties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business and operations are sensitive to general business and economic conditions. These conditions include short-term and long-term interest rates, inflation, fluctuations in debt and equity capital markets and the general condition of the world economy. A host of factors beyond the Company’s control could cause fluctuations in these conditions. Adverse developments in these general business and economic conditions could have a material adverse effect on the Company’s financial condition and the results of its operations. In addition, the Company will compete with many companies that currently have extensive and well-funded products, marketing and sales operations. The Company may be unable to compete successfully against these companies. The Company’s industry is characterized by rapid changes in technology and market demands. As a result, the Company’s products, services, or expertise may become obsolete or unmarketable. The Company’s future success will depend on its ability to adapt to technological advances, anticipate customer and market demands, and enhance its current technology. The Company is also subject to risks which include, but are not limited to, dependence on key personnel, reliance on third parties, successful integration of business acquisitions, protection of proprietary technology, and compliance with regulatory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considers all highly liquid investments purchased with original maturities of 90 days or less to be cash equivalents. As of December 31, 2025 and 2024, respectively, the Company does not have any cash equivalents.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no significant off-balance-sheet concentration of credit risk such as foreign exchange contracts, option contracts or other hedging arrangements. The Company holds cash in banks in excess of federally insured limits. However, the Company believes risk of loss is minimal as the cash is held by large highly rated financial institutions. To reduce its risk associated with the failure of such financial institutions, the Company evaluates at least annually the rating of the financial institutions in which it holds cash. Any material loss that the Company may experience in the future could have an adverse effect on its ability to pay its operational expenses or make other payments and may require the Company to move its cash to other high quality financial institutions. Currently, the Company is reviewing its bank relationships in order to mitigate its risk to ensure that its exposure is limited or reduced to the FDIC protection limits.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Accounts Receivable and Allowance for Credit Losses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consist of balances due from customers as well as from payment service providers. Payment terms range from due upon receipt, to net 30 days. Accounts receivable are stated net of an allowance for credit losses.</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allowance for expected credit losses is based on the probability of future collection under the current expected credited loss (“CECL”) impairment model. Account balances are written off after all means of collection are exhausted and the balance is deemed uncollectible. Subsequent recoveries are credited to the allowance. Changes in the allowance are recorded as adjustments to credit losses in the period incurred.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changes in the allowance for credit losses for the year ended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Summary of Changes in Allowance for Credit Losses</w:t>
      </w:r>
    </w:p>
    <w:tbl>
      <w:tblPr>
        <w:tblW w:w="4425" w:type="dxa"/>
        <w:jc w:val="left"/>
        <w:tblInd w:w="0" w:type="dxa"/>
        <w:tblLayout w:type="fixed"/>
        <w:tblCellMar>
          <w:top w:w="0" w:type="dxa"/>
          <w:left w:w="0" w:type="dxa"/>
          <w:bottom w:w="0" w:type="dxa"/>
          <w:right w:w="0" w:type="dxa"/>
        </w:tblCellMar>
      </w:tblPr>
      <w:tblGrid>
        <w:gridCol w:w="3485"/>
        <w:gridCol w:w="60"/>
        <w:gridCol w:w="125"/>
        <w:gridCol w:w="680"/>
        <w:gridCol w:w="75"/>
      </w:tblGrid>
      <w:tr>
        <w:trPr/>
        <w:tc>
          <w:tcPr>
            <w:tcW w:w="3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center"/>
              <w:rPr/>
            </w:pPr>
            <w:r>
              <w:rPr/>
              <w:t> </w:t>
            </w:r>
          </w:p>
        </w:tc>
        <w:tc>
          <w:tcPr>
            <w:tcW w:w="125" w:type="dxa"/>
            <w:tcBorders/>
            <w:shd w:fill="CCEEFF" w:val="clear"/>
            <w:vAlign w:val="center"/>
          </w:tcPr>
          <w:p>
            <w:pPr>
              <w:pStyle w:val="TableContents"/>
              <w:bidi w:val="0"/>
              <w:spacing w:before="0" w:after="283"/>
              <w:jc w:val="center"/>
              <w:rPr/>
            </w:pPr>
            <w:r>
              <w:rPr/>
              <w:t> </w:t>
            </w:r>
          </w:p>
        </w:tc>
        <w:tc>
          <w:tcPr>
            <w:tcW w:w="680" w:type="dxa"/>
            <w:tcBorders/>
            <w:shd w:fill="CCEEFF" w:val="clear"/>
            <w:vAlign w:val="center"/>
          </w:tcPr>
          <w:p>
            <w:pPr>
              <w:pStyle w:val="TableContents"/>
              <w:bidi w:val="0"/>
              <w:spacing w:before="0" w:after="283"/>
              <w:jc w:val="center"/>
              <w:rPr/>
            </w:pPr>
            <w:r>
              <w:rPr/>
              <w:t> </w:t>
            </w:r>
          </w:p>
        </w:tc>
        <w:tc>
          <w:tcPr>
            <w:tcW w:w="75" w:type="dxa"/>
            <w:tcBorders/>
            <w:shd w:fill="CCEEFF" w:val="clear"/>
            <w:vAlign w:val="center"/>
          </w:tcPr>
          <w:p>
            <w:pPr>
              <w:pStyle w:val="TableContents"/>
              <w:bidi w:val="0"/>
              <w:spacing w:before="0" w:after="283"/>
              <w:jc w:val="center"/>
              <w:rPr/>
            </w:pPr>
            <w:r>
              <w:rPr/>
              <w:t> </w:t>
            </w:r>
          </w:p>
        </w:tc>
      </w:tr>
      <w:tr>
        <w:trPr/>
        <w:tc>
          <w:tcPr>
            <w:tcW w:w="34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 December 31, 2024</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24,210</w:t>
            </w:r>
          </w:p>
        </w:tc>
        <w:tc>
          <w:tcPr>
            <w:tcW w:w="75" w:type="dxa"/>
            <w:tcBorders/>
            <w:shd w:fill="CCEEFF" w:val="clear"/>
            <w:vAlign w:val="center"/>
          </w:tcPr>
          <w:p>
            <w:pPr>
              <w:pStyle w:val="TableContents"/>
              <w:bidi w:val="0"/>
              <w:spacing w:before="0" w:after="283"/>
              <w:jc w:val="left"/>
              <w:rPr/>
            </w:pPr>
            <w:r>
              <w:rPr/>
              <w:t> </w:t>
            </w:r>
          </w:p>
        </w:tc>
      </w:tr>
      <w:tr>
        <w:trPr/>
        <w:tc>
          <w:tcPr>
            <w:tcW w:w="34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provision for credit losses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17,131</w:t>
            </w:r>
          </w:p>
        </w:tc>
        <w:tc>
          <w:tcPr>
            <w:tcW w:w="75" w:type="dxa"/>
            <w:tcBorders/>
            <w:shd w:fill="FFFFFF" w:val="clear"/>
            <w:vAlign w:val="center"/>
          </w:tcPr>
          <w:p>
            <w:pPr>
              <w:pStyle w:val="TableContents"/>
              <w:bidi w:val="0"/>
              <w:spacing w:before="0" w:after="283"/>
              <w:jc w:val="left"/>
              <w:rPr/>
            </w:pPr>
            <w:r>
              <w:rPr/>
              <w:t> </w:t>
            </w:r>
          </w:p>
        </w:tc>
      </w:tr>
      <w:tr>
        <w:trPr/>
        <w:tc>
          <w:tcPr>
            <w:tcW w:w="34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 December 31, 2025</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41,341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Costs to Obtain a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commissions earned by the Company’s sales force are the primary costs incurred to obtain a contract with a customer, and are considered incremental and recoverable costs of obtaining a contract with a customer. Sales commissions for initial contracts are deferred and then amortized on a straight-line basis over a period of benefit the Company has determined to be three (3) years. The Company determined the period of benefit by taking into consideration the average contractual customer term, technology obsolescence and other factors. Certain commission expenses are not capitalized and are instead directly expensed. Capitalized commissions are included within prepaid expenses and other current assets on the consolidated balance sheets.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Property and Equipment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are recorded at cost and presented net of accumulated depreciation. Major additions and betterments are capitalized while maintenance and repairs, which do not improve or extend the life of the respective assets, are expensed. Property and equipment are depreciated on the straight-line basis over their estimated useful lives (3 years for computer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Goodwill and Intangible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Goodwill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represents the excess of the purchase price over the fair value of the net identifiable assets acquired in a business combination. Goodwill is reviewed for impairment at least annually, or more frequently if a triggering event occurs between impairment testing dates. Our annual impairment testing date is December 31.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identify our reporting units in accordance with the FASB ASC 280, </w:t>
      </w:r>
      <w:r>
        <w:rPr>
          <w:rFonts w:ascii="Times New Roman;Times;Serif" w:hAnsi="Times New Roman;Times;Serif"/>
          <w:b w:val="false"/>
          <w:i/>
          <w:caps w:val="false"/>
          <w:smallCaps w:val="false"/>
          <w:sz w:val="20"/>
        </w:rPr>
        <w:t>Segment Reporting</w:t>
      </w:r>
      <w:r>
        <w:rPr>
          <w:rFonts w:ascii="Times New Roman;Times;Serif" w:hAnsi="Times New Roman;Times;Serif"/>
          <w:b w:val="false"/>
          <w:i w:val="false"/>
          <w:caps w:val="false"/>
          <w:smallCaps w:val="false"/>
          <w:sz w:val="20"/>
        </w:rPr>
        <w:t>. At December 31, 2025, the Company has three operating segments which were deemed to be its reporting units, and goodwill is allocated to each reporting unit.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impairment assessment begins with a qualitative assessment to determine whether it is more likely than not that the fair value of the reporting unit is less than its carrying value. Qualitative factors may include, macroeconomic conditions, industry and market considerations, cost factors, and other relevant entity and Company specific events. If, based on the qualitative test, the Company determines that it is “more likely than not” that the fair value of a reporting unit is less than its carrying value, then we evaluate goodwill for impairment by comparing the fair value of our reporting unit to its respective carrying value, including its goodwill. If it is determined that it is not likely that the fair value of the reporting unit is less than its carrying value, then no further testing is required.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selection and assessment of qualitative factors used to determine whether it is more likely than not that the fair value of a reporting unit exceeds the carrying value involves significant judgment and estimates. Fair values may be determined using a combination of both income and market-based approaches.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Intangible assets,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net consists of identifiable intangible assets that are subject to amortization such as customer relationships, trade names and developed technology resulting from acquisitions. Intangible assets are initially recorded at fair value on the date of acquisition and subsequently amortized over their estimated economic lives on a straight-line basis which approximates the pattern in which the economic benefits of the assets will be consumed. Intangible assets are presented net of accumulated amortization in the consolidated balance sheets.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periodically evaluates its long-lived assets for potential impairment in accordance with FASB ASC 360, </w:t>
      </w:r>
      <w:r>
        <w:rPr>
          <w:rFonts w:ascii="Times New Roman;Times;Serif" w:hAnsi="Times New Roman;Times;Serif"/>
          <w:b w:val="false"/>
          <w:i/>
          <w:caps w:val="false"/>
          <w:smallCaps w:val="false"/>
          <w:sz w:val="20"/>
        </w:rPr>
        <w:t>Property, Plant and Equipment</w:t>
      </w:r>
      <w:r>
        <w:rPr>
          <w:rFonts w:ascii="Times New Roman;Times;Serif" w:hAnsi="Times New Roman;Times;Serif"/>
          <w:b w:val="false"/>
          <w:i w:val="false"/>
          <w:caps w:val="false"/>
          <w:smallCaps w:val="false"/>
          <w:sz w:val="20"/>
        </w:rPr>
        <w:t>. Potential impairment is assessed when there is evidence that events or changes in circumstances indicate that the carrying amount of an asset may not be recovered. The recoverability of these assets is assessed based on undiscounted expected future cash flows from the assets, considering a number of factors, including past operating results, budgets and economic projections, market trends and product development cycles. If impairments are identified, assets are written down to their estimated fair value. The Company has not recognized any impairment charges on intangible assets through December 31, 2025.</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Warrant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does not use derivative instruments to hedge exposures to cash flow, market, or foreign currency risks. The Company evaluates all of its financial instruments, including issued stock purchase warrants, to determine if such instruments are derivatives or contain features that qualify as embedded derivatives. The classification of derivative instruments, including whether such instruments should be recorded as liabilities or as equity, is re-assessed at the end of each reporting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Warrant Liability – related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warrants originally issued in 7GC’s initial public offering (the “Public Warrants”) are recognized as derivative liabilities in accordance with FASB ASC 815, </w:t>
      </w:r>
      <w:r>
        <w:rPr>
          <w:rFonts w:ascii="Times New Roman;Times;Serif" w:hAnsi="Times New Roman;Times;Serif"/>
          <w:b w:val="false"/>
          <w:i/>
          <w:caps w:val="false"/>
          <w:smallCaps w:val="false"/>
          <w:sz w:val="20"/>
        </w:rPr>
        <w:t>Derivatives and Hedging</w:t>
      </w:r>
      <w:r>
        <w:rPr>
          <w:rFonts w:ascii="Times New Roman;Times;Serif" w:hAnsi="Times New Roman;Times;Serif"/>
          <w:b w:val="false"/>
          <w:i w:val="false"/>
          <w:caps w:val="false"/>
          <w:smallCaps w:val="false"/>
          <w:sz w:val="20"/>
        </w:rPr>
        <w:t xml:space="preserve"> (“ASC 815”). Accordingly, the Company recognizes the warrant instruments as liabilities at fair value and adjusts the instruments to fair value at each reporting period. The liabilities are subject to re-measurement at each balance sheet date until exercise or expiration, and any change in fair value is recognized in the consolidated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Public Warrants were initially measured at fair value using a Monte Carlo simulation model and have subsequently been measured based on the listed market price of such warrants. Warrant liabilities are classified as current liabilities on the consolidated balance sheets. The changes in the fair value of the derivative warrant liability is presented in the line item “change in fair value of warrant liabilities – related party” in the accompanying consolidated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GEM Warrant Liability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GEM Warrants were not considered indexed to the issuer’s stock pursuant to ASC 815, as the holder’s ability to receive in lieu of the Warrant one percent of the total consideration received by the Company’s stockholders in connection with a Change of Control, where the surviving corporation is not publicly traded, adjusts the settlement value based on items outside the Company’s control in violation of the fixed-for-fixed option pricing model. As such, the Company recorded the Warrants as liabilities initially measured at fair value with subsequent changes in fair value recognized in earnings each reporting period. The changes in the fair value of the derivative warrant liability is presented in the line item “change in fair value of warrant liabilities” in the accompanying consolidated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Concentration of Business and Credit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instruments that potentially subject the Company to concentration of credit risk consist principally of cash and cash equivalents and accounts receivable. The Company has no financial instruments with off-balance sheet risk of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December 31, 2025, one customer accounted for 10% or more of accounts receivable with a concentration of 13% of the total accounts receivable balance. At December 31, 2024, one customer accounted for 10% or more of accounts receivable with a concentration of 14% of the total accounts receivable balance. For the years ended December 31, 2025 and 2024, no customers accounted for 10% or more of total 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December 31, 2025 and 2024, no suppliers and two suppliers accounted for 10% or more of accounts payable,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Loss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loss per share of common stock is computed by dividing net loss attributable to common stockholders by the weighted average number of shares of common stock outstanding and pre-funded warrants outstanding during the period. Diluted net loss per share excludes, when applicable, the potential impact of stock options and convertible preferred stock because their effect would be anti-dilutive due to the net loss. Since the Company had a net loss in each of the periods presented, basic and diluted net loss per common share are the same.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calculation of basic and diluted net loss per share attributable to common stock was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Basic and Diluted Net Loss Per Share</w:t>
      </w:r>
    </w:p>
    <w:tbl>
      <w:tblPr>
        <w:tblW w:w="10205" w:type="dxa"/>
        <w:jc w:val="left"/>
        <w:tblInd w:w="0" w:type="dxa"/>
        <w:tblLayout w:type="fixed"/>
        <w:tblCellMar>
          <w:top w:w="0" w:type="dxa"/>
          <w:left w:w="0" w:type="dxa"/>
          <w:bottom w:w="0" w:type="dxa"/>
          <w:right w:w="0" w:type="dxa"/>
        </w:tblCellMar>
      </w:tblPr>
      <w:tblGrid>
        <w:gridCol w:w="6568"/>
        <w:gridCol w:w="60"/>
        <w:gridCol w:w="173"/>
        <w:gridCol w:w="1463"/>
        <w:gridCol w:w="117"/>
        <w:gridCol w:w="74"/>
        <w:gridCol w:w="173"/>
        <w:gridCol w:w="1463"/>
        <w:gridCol w:w="114"/>
      </w:tblGrid>
      <w:tr>
        <w:trPr/>
        <w:tc>
          <w:tcPr>
            <w:tcW w:w="656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463"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For the Year Ended December 31,</w:t>
            </w:r>
          </w:p>
        </w:tc>
        <w:tc>
          <w:tcPr>
            <w:tcW w:w="114" w:type="dxa"/>
            <w:tcBorders/>
            <w:vAlign w:val="center"/>
          </w:tcPr>
          <w:p>
            <w:pPr>
              <w:pStyle w:val="TableContents"/>
              <w:bidi w:val="0"/>
              <w:spacing w:before="0" w:after="283"/>
              <w:jc w:val="left"/>
              <w:rPr/>
            </w:pPr>
            <w:r>
              <w:rPr/>
              <w:t> </w:t>
            </w:r>
          </w:p>
        </w:tc>
      </w:tr>
      <w:tr>
        <w:trPr/>
        <w:tc>
          <w:tcPr>
            <w:tcW w:w="656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63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17"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63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14" w:type="dxa"/>
            <w:tcBorders/>
            <w:vAlign w:val="center"/>
          </w:tcPr>
          <w:p>
            <w:pPr>
              <w:pStyle w:val="TableContents"/>
              <w:bidi w:val="0"/>
              <w:spacing w:before="0" w:after="283"/>
              <w:jc w:val="left"/>
              <w:rPr/>
            </w:pPr>
            <w:r>
              <w:rPr/>
              <w:t> </w:t>
            </w:r>
          </w:p>
        </w:tc>
      </w:tr>
      <w:tr>
        <w:trPr/>
        <w:tc>
          <w:tcPr>
            <w:tcW w:w="6568"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Numerator:</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463" w:type="dxa"/>
            <w:tcBorders/>
            <w:shd w:fill="CCEEFF" w:val="clear"/>
            <w:vAlign w:val="center"/>
          </w:tcPr>
          <w:p>
            <w:pPr>
              <w:pStyle w:val="TableContents"/>
              <w:bidi w:val="0"/>
              <w:spacing w:before="0" w:after="283"/>
              <w:jc w:val="right"/>
              <w:rPr/>
            </w:pPr>
            <w:r>
              <w:rPr/>
              <w:t> </w:t>
            </w:r>
          </w:p>
        </w:tc>
        <w:tc>
          <w:tcPr>
            <w:tcW w:w="117"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463"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r>
      <w:tr>
        <w:trPr/>
        <w:tc>
          <w:tcPr>
            <w:tcW w:w="656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 attributable to common shareholders—basic and diluted</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6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(22,492,075</w:t>
            </w:r>
          </w:p>
        </w:tc>
        <w:tc>
          <w:tcPr>
            <w:tcW w:w="11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4"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6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(31,095,029</w:t>
            </w:r>
          </w:p>
        </w:tc>
        <w:tc>
          <w:tcPr>
            <w:tcW w:w="11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56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463" w:type="dxa"/>
            <w:tcBorders/>
            <w:shd w:fill="CCEEFF" w:val="clear"/>
            <w:vAlign w:val="center"/>
          </w:tcPr>
          <w:p>
            <w:pPr>
              <w:pStyle w:val="TableContents"/>
              <w:bidi w:val="0"/>
              <w:spacing w:before="0" w:after="283"/>
              <w:jc w:val="right"/>
              <w:rPr/>
            </w:pPr>
            <w:r>
              <w:rPr/>
              <w:t> </w:t>
            </w:r>
          </w:p>
        </w:tc>
        <w:tc>
          <w:tcPr>
            <w:tcW w:w="117"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463"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r>
      <w:tr>
        <w:trPr/>
        <w:tc>
          <w:tcPr>
            <w:tcW w:w="6568"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Denominator:</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463" w:type="dxa"/>
            <w:tcBorders/>
            <w:shd w:fill="FFFFFF" w:val="clear"/>
            <w:vAlign w:val="center"/>
          </w:tcPr>
          <w:p>
            <w:pPr>
              <w:pStyle w:val="TableContents"/>
              <w:bidi w:val="0"/>
              <w:spacing w:before="0" w:after="283"/>
              <w:jc w:val="right"/>
              <w:rPr/>
            </w:pPr>
            <w:r>
              <w:rPr/>
              <w:t> </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463"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p>
        </w:tc>
      </w:tr>
      <w:tr>
        <w:trPr/>
        <w:tc>
          <w:tcPr>
            <w:tcW w:w="656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Weighted average shares—basic and diluted</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46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3,782,998</w:t>
            </w:r>
          </w:p>
        </w:tc>
        <w:tc>
          <w:tcPr>
            <w:tcW w:w="117"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46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445,817</w:t>
            </w:r>
          </w:p>
        </w:tc>
        <w:tc>
          <w:tcPr>
            <w:tcW w:w="114" w:type="dxa"/>
            <w:tcBorders/>
            <w:shd w:fill="CCEEFF" w:val="clear"/>
            <w:vAlign w:val="center"/>
          </w:tcPr>
          <w:p>
            <w:pPr>
              <w:pStyle w:val="TableContents"/>
              <w:bidi w:val="0"/>
              <w:spacing w:before="0" w:after="283"/>
              <w:jc w:val="left"/>
              <w:rPr/>
            </w:pPr>
            <w:r>
              <w:rPr/>
              <w:t> </w:t>
            </w:r>
          </w:p>
        </w:tc>
      </w:tr>
      <w:tr>
        <w:trPr/>
        <w:tc>
          <w:tcPr>
            <w:tcW w:w="656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 per share attributable to common shareholders—basic and diluted</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6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(5.95</w:t>
            </w:r>
          </w:p>
        </w:tc>
        <w:tc>
          <w:tcPr>
            <w:tcW w:w="11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4"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6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(69.75</w:t>
            </w:r>
          </w:p>
        </w:tc>
        <w:tc>
          <w:tcPr>
            <w:tcW w:w="11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that were excluded from loss per share as their effect would be anti-dilutive due to the net loss that could potentially be dilutive in future periods are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Antidilutive Securities Excluded from Computation of Earnings Per Share</w:t>
      </w:r>
    </w:p>
    <w:tbl>
      <w:tblPr>
        <w:tblW w:w="5160" w:type="dxa"/>
        <w:jc w:val="left"/>
        <w:tblInd w:w="0" w:type="dxa"/>
        <w:tblLayout w:type="fixed"/>
        <w:tblCellMar>
          <w:top w:w="0" w:type="dxa"/>
          <w:left w:w="0" w:type="dxa"/>
          <w:bottom w:w="0" w:type="dxa"/>
          <w:right w:w="0" w:type="dxa"/>
        </w:tblCellMar>
      </w:tblPr>
      <w:tblGrid>
        <w:gridCol w:w="3005"/>
        <w:gridCol w:w="60"/>
        <w:gridCol w:w="60"/>
        <w:gridCol w:w="980"/>
        <w:gridCol w:w="60"/>
        <w:gridCol w:w="60"/>
        <w:gridCol w:w="60"/>
        <w:gridCol w:w="800"/>
        <w:gridCol w:w="75"/>
      </w:tblGrid>
      <w:tr>
        <w:trPr/>
        <w:tc>
          <w:tcPr>
            <w:tcW w:w="30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center"/>
              <w:rPr/>
            </w:pPr>
            <w:r>
              <w:rPr/>
              <w:t> </w:t>
            </w:r>
          </w:p>
        </w:tc>
      </w:tr>
      <w:tr>
        <w:trPr/>
        <w:tc>
          <w:tcPr>
            <w:tcW w:w="3005" w:type="dxa"/>
            <w:tcBorders/>
            <w:vAlign w:val="center"/>
          </w:tcPr>
          <w:p>
            <w:pPr>
              <w:pStyle w:val="TableContents"/>
              <w:bidi w:val="0"/>
              <w:spacing w:before="0" w:after="283"/>
              <w:jc w:val="center"/>
              <w:rPr>
                <w:rFonts w:cs="Times New Roman;Times;Serif"/>
                <w:bCs/>
              </w:rPr>
            </w:pPr>
            <w:r>
              <w:rPr>
                <w:rFonts w:cs="Times New Roman;Times;Serif"/>
                <w:bCs/>
              </w:rPr>
              <w:t>﻿</w:t>
            </w:r>
          </w:p>
        </w:tc>
        <w:tc>
          <w:tcPr>
            <w:tcW w:w="60" w:type="dxa"/>
            <w:tcBorders/>
            <w:vAlign w:val="center"/>
          </w:tcPr>
          <w:p>
            <w:pPr>
              <w:pStyle w:val="TableContents"/>
              <w:bidi w:val="0"/>
              <w:spacing w:before="0" w:after="283"/>
              <w:jc w:val="left"/>
              <w:rPr/>
            </w:pPr>
            <w:r>
              <w:rPr/>
              <w:t> </w:t>
            </w:r>
          </w:p>
        </w:tc>
        <w:tc>
          <w:tcPr>
            <w:tcW w:w="202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 of December 31,</w:t>
            </w:r>
          </w:p>
        </w:tc>
        <w:tc>
          <w:tcPr>
            <w:tcW w:w="75" w:type="dxa"/>
            <w:tcBorders/>
            <w:vAlign w:val="center"/>
          </w:tcPr>
          <w:p>
            <w:pPr>
              <w:pStyle w:val="TableContents"/>
              <w:bidi w:val="0"/>
              <w:spacing w:before="0" w:after="283"/>
              <w:jc w:val="left"/>
              <w:rPr/>
            </w:pPr>
            <w:r>
              <w:rPr/>
              <w:t> </w:t>
            </w:r>
          </w:p>
        </w:tc>
      </w:tr>
      <w:tr>
        <w:trPr/>
        <w:tc>
          <w:tcPr>
            <w:tcW w:w="30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75" w:type="dxa"/>
            <w:tcBorders/>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Options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12,553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2,566</w:t>
            </w:r>
          </w:p>
        </w:tc>
        <w:tc>
          <w:tcPr>
            <w:tcW w:w="75" w:type="dxa"/>
            <w:tcBorders/>
            <w:shd w:fill="CCEEFF" w:val="clear"/>
            <w:vAlign w:val="center"/>
          </w:tcPr>
          <w:p>
            <w:pPr>
              <w:pStyle w:val="TableContents"/>
              <w:bidi w:val="0"/>
              <w:spacing w:before="0" w:after="283"/>
              <w:jc w:val="left"/>
              <w:rPr/>
            </w:pPr>
            <w:r>
              <w:rPr/>
              <w:t> </w:t>
            </w:r>
          </w:p>
        </w:tc>
      </w:tr>
      <w:tr>
        <w:trPr/>
        <w:tc>
          <w:tcPr>
            <w:tcW w:w="30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RSUs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413,902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34,078</w:t>
            </w:r>
          </w:p>
        </w:tc>
        <w:tc>
          <w:tcPr>
            <w:tcW w:w="75" w:type="dxa"/>
            <w:tcBorders/>
            <w:shd w:fill="FFFFFF" w:val="clear"/>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Public warrant shares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23,000</w:t>
            </w:r>
          </w:p>
        </w:tc>
        <w:tc>
          <w:tcPr>
            <w:tcW w:w="75" w:type="dxa"/>
            <w:tcBorders/>
            <w:shd w:fill="CCEEFF" w:val="clear"/>
            <w:vAlign w:val="center"/>
          </w:tcPr>
          <w:p>
            <w:pPr>
              <w:pStyle w:val="TableContents"/>
              <w:bidi w:val="0"/>
              <w:spacing w:before="0" w:after="283"/>
              <w:jc w:val="left"/>
              <w:rPr/>
            </w:pPr>
            <w:r>
              <w:rPr/>
              <w:t> </w:t>
            </w:r>
          </w:p>
        </w:tc>
      </w:tr>
      <w:tr>
        <w:trPr/>
        <w:tc>
          <w:tcPr>
            <w:tcW w:w="30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GEM warrant 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1,657</w:t>
            </w:r>
          </w:p>
        </w:tc>
        <w:tc>
          <w:tcPr>
            <w:tcW w:w="75" w:type="dxa"/>
            <w:tcBorders/>
            <w:shd w:fill="FFFFFF" w:val="clear"/>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Common warrant shares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736,000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452,761</w:t>
            </w:r>
          </w:p>
        </w:tc>
        <w:tc>
          <w:tcPr>
            <w:tcW w:w="75" w:type="dxa"/>
            <w:tcBorders/>
            <w:shd w:fill="CCEEFF" w:val="clear"/>
            <w:vAlign w:val="center"/>
          </w:tcPr>
          <w:p>
            <w:pPr>
              <w:pStyle w:val="TableContents"/>
              <w:bidi w:val="0"/>
              <w:spacing w:before="0" w:after="283"/>
              <w:jc w:val="left"/>
              <w:rPr/>
            </w:pPr>
            <w:r>
              <w:rPr/>
              <w:t> </w:t>
            </w:r>
          </w:p>
        </w:tc>
      </w:tr>
      <w:tr>
        <w:trPr/>
        <w:tc>
          <w:tcPr>
            <w:tcW w:w="30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Placement agent warrant 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71,827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10,490</w:t>
            </w:r>
          </w:p>
        </w:tc>
        <w:tc>
          <w:tcPr>
            <w:tcW w:w="75" w:type="dxa"/>
            <w:tcBorders/>
            <w:shd w:fill="FFFFFF" w:val="clear"/>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Pre-funded warrants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00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1,258,940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524,552</w:t>
            </w:r>
          </w:p>
        </w:tc>
        <w:tc>
          <w:tcPr>
            <w:tcW w:w="75" w:type="dxa"/>
            <w:tcBorders/>
            <w:shd w:fill="FFFFFF" w:val="clear"/>
            <w:vAlign w:val="center"/>
          </w:tcPr>
          <w:p>
            <w:pPr>
              <w:pStyle w:val="TableContents"/>
              <w:bidi w:val="0"/>
              <w:spacing w:before="0" w:after="283"/>
              <w:jc w:val="left"/>
              <w:rPr/>
            </w:pPr>
            <w:r>
              <w:rPr/>
              <w:t> </w:t>
            </w:r>
          </w:p>
        </w:tc>
      </w:tr>
      <w:tr>
        <w:trPr/>
        <w:tc>
          <w:tcPr>
            <w:tcW w:w="300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Antidilutive Securities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1,258,940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524,552</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Costs of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of revenue consist primarily of infrastructure, streaming service, data license and contracted services costs, as well as merchant fees and payroll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Advertising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Advertising costs are expensed as incurred. Advertising costs were $659,877 and $467,897 for the years ended December 31, 2025 and 2024, respectively, which are included in general and administrative expenses on the consolidated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Stock-Based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expenses stock-based compensation to employees and non-employees over the requisite service period based on the estimated grant-date fair value of the awards in accordance with FASB ASC 718, </w:t>
      </w:r>
      <w:r>
        <w:rPr>
          <w:rFonts w:ascii="Times New Roman;Times;Serif" w:hAnsi="Times New Roman;Times;Serif"/>
          <w:b w:val="false"/>
          <w:i/>
          <w:caps w:val="false"/>
          <w:smallCaps w:val="false"/>
          <w:sz w:val="20"/>
        </w:rPr>
        <w:t>Stock Compensation</w:t>
      </w:r>
      <w:r>
        <w:rPr>
          <w:rFonts w:ascii="Times New Roman;Times;Serif" w:hAnsi="Times New Roman;Times;Serif"/>
          <w:b w:val="false"/>
          <w:i w:val="false"/>
          <w:caps w:val="false"/>
          <w:smallCaps w:val="false"/>
          <w:sz w:val="20"/>
        </w:rPr>
        <w:t>. The Company accounts for forfeitures as they occur. The Company estimates the fair value of stock option grants using the Black-Scholes option pricing model, and the assumptions used in calculating the fair value of stock-based awards represent management’s best estimates and involve inherent uncertainties and the application of management’s judgment.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Income taxes are recorded in accordance with FASB ASC 740, </w:t>
      </w:r>
      <w:r>
        <w:rPr>
          <w:rFonts w:ascii="Times New Roman;Times;Serif" w:hAnsi="Times New Roman;Times;Serif"/>
          <w:b w:val="false"/>
          <w:i/>
          <w:caps w:val="false"/>
          <w:smallCaps w:val="false"/>
          <w:sz w:val="20"/>
        </w:rPr>
        <w:t xml:space="preserve">Income Taxes </w:t>
      </w:r>
      <w:r>
        <w:rPr>
          <w:rFonts w:ascii="Times New Roman;Times;Serif" w:hAnsi="Times New Roman;Times;Serif"/>
          <w:b w:val="false"/>
          <w:i w:val="false"/>
          <w:caps w:val="false"/>
          <w:smallCaps w:val="false"/>
          <w:sz w:val="20"/>
        </w:rPr>
        <w:t>(“ASC 740”), which provides for deferred taxes using an asset and liability approach. The Company recognizes deferred tax assets and liabilities for the expected future tax consequences of events that have been included in the financial statements or tax returns. Deferred tax assets and liabilities are determined based on the difference between the financial statement and tax basis of assets and liabilities using enacted tax rates in effect for the year in which the differences are expected to reverse. Valuation allowances are provided, if based upon the weight of available evidence, it is more likely than not that some or all of the deferred tax assets will not be realized. The Company accounts for uncertain tax positions in accordance with the provisions of ASC 740. When uncertain tax positions exist, the Company recognizes the tax benefit of tax positions to the extent that the benefit would more likely than not be realized assuming examination by the taxing authority. The determination as to whether the tax benefit will more likely than not be realized is based upon the technical merits of the tax position as well as consideration of the available facts and circumstances. The Company recognizes any interest and penalties accrued related to unrecognized tax benefits as income tax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Derivative Financial Instruments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evaluates all its financial instruments to determine if such instruments contain features that qualify as embedded derivatives. Embedded derivatives must be separately measured from the host contract if all the requirements for bifurcation are met. The assessment of the conditions surrounding the bifurcation of embedded derivatives depends on the nature of the host contract. Bifurcated embedded derivatives are recognized at fair value, with changes in fair value recognized in the consolidated statements of operations each period. Bifurcated embedded derivatives are classified with the related host contract in the consolidated balance sheets. Refer to </w:t>
      </w:r>
      <w:r>
        <w:rPr>
          <w:rFonts w:ascii="Times New Roman;Times;Serif" w:hAnsi="Times New Roman;Times;Serif"/>
          <w:b w:val="false"/>
          <w:i/>
          <w:caps w:val="false"/>
          <w:smallCaps w:val="false"/>
          <w:sz w:val="20"/>
        </w:rPr>
        <w:t>Note 7 – Fair Value Measurements</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caps w:val="false"/>
          <w:smallCaps w:val="false"/>
          <w:sz w:val="20"/>
        </w:rPr>
        <w:t>Note 12 – Debt</w:t>
      </w:r>
      <w:r>
        <w:rPr>
          <w:rFonts w:ascii="Times New Roman;Times;Serif" w:hAnsi="Times New Roman;Times;Serif"/>
          <w:b w:val="false"/>
          <w:i w:val="false"/>
          <w:caps w:val="false"/>
          <w:smallCaps w:val="false"/>
          <w:sz w:val="20"/>
        </w:rPr>
        <w:t xml:space="preserve"> for further detail.</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Fair Value of Financial Instruments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accordance with FASB ASC 820, </w:t>
      </w:r>
      <w:r>
        <w:rPr>
          <w:rFonts w:ascii="Times New Roman;Times;Serif" w:hAnsi="Times New Roman;Times;Serif"/>
          <w:b w:val="false"/>
          <w:i/>
          <w:caps w:val="false"/>
          <w:smallCaps w:val="false"/>
          <w:sz w:val="20"/>
        </w:rPr>
        <w:t>Fair Value Measurement</w:t>
      </w:r>
      <w:r>
        <w:rPr>
          <w:rFonts w:ascii="Times New Roman;Times;Serif" w:hAnsi="Times New Roman;Times;Serif"/>
          <w:b w:val="false"/>
          <w:i w:val="false"/>
          <w:caps w:val="false"/>
          <w:smallCaps w:val="false"/>
          <w:sz w:val="20"/>
        </w:rPr>
        <w:t>, the Company uses a three-level hierarchy for fair value measurements of certain assets and liabilities for financial reporting purposes that distinguishes between market participant assumptions developed from market data obtained from outside sources (observable inputs) and the Company’s own assumptions about market participant assumptions developed from the best information available to us in the circumstances (unobservable inputs). The fair value hierarchy is divided into three levels based on the source of inputs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432"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 Quoted prices in active markets for identical assets or liabilities.</w:t>
      </w:r>
    </w:p>
    <w:p>
      <w:pPr>
        <w:pStyle w:val="TextBody"/>
        <w:bidi w:val="0"/>
        <w:spacing w:before="0" w:after="0"/>
        <w:ind w:left="432" w:right="0" w:hanging="0"/>
        <w:jc w:val="both"/>
        <w:rPr>
          <w:caps w:val="false"/>
          <w:smallCaps w:val="false"/>
        </w:rPr>
      </w:pPr>
      <w:r>
        <w:rPr>
          <w:caps w:val="false"/>
          <w:smallCaps w:val="false"/>
        </w:rPr>
        <w:t> </w:t>
      </w:r>
    </w:p>
    <w:p>
      <w:pPr>
        <w:pStyle w:val="TextBody"/>
        <w:bidi w:val="0"/>
        <w:spacing w:before="0" w:after="0"/>
        <w:ind w:left="432"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 Inputs other than Level 1 prices for similar assets or liabilities that are directly or indirectly observable in the marketplace.</w:t>
      </w:r>
    </w:p>
    <w:p>
      <w:pPr>
        <w:pStyle w:val="TextBody"/>
        <w:bidi w:val="0"/>
        <w:spacing w:before="0" w:after="0"/>
        <w:ind w:left="432" w:right="0" w:hanging="0"/>
        <w:jc w:val="both"/>
        <w:rPr>
          <w:caps w:val="false"/>
          <w:smallCaps w:val="false"/>
        </w:rPr>
      </w:pPr>
      <w:r>
        <w:rPr>
          <w:caps w:val="false"/>
          <w:smallCaps w:val="false"/>
        </w:rPr>
        <w:t> </w:t>
      </w:r>
    </w:p>
    <w:p>
      <w:pPr>
        <w:pStyle w:val="TextBody"/>
        <w:bidi w:val="0"/>
        <w:spacing w:before="0" w:after="0"/>
        <w:ind w:left="432"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 Unobservable inputs which are supported by little or no market activity and values determined using pricing models, discounted cash flow methodologies, or similar techniques, as well as instruments for which the determination of fair value requires significant judgment or estimation.</w:t>
      </w:r>
    </w:p>
    <w:p>
      <w:pPr>
        <w:pStyle w:val="TextBody"/>
        <w:bidi w:val="0"/>
        <w:spacing w:before="0" w:after="0"/>
        <w:ind w:left="432"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measurements discussed herein are based upon certain market assumptions and pertinent information available to management during the years ended December 31, 2025 and 2024. The carrying amount of cash, accounts receivable, prepaid expenses and other current assets, accounts payable, accrued expenses, deferred revenue, and other current liabilities approximated their fair values as of December 31, 2025 and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Fair Value Option Election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determined the January 2025 Yorkville Note, the September 2025 Yorkville Note, the Agile Notes, the 1800 Diagonal Notes, the Private Placement Convertible Notes, and the Boot Capital Convertible Notes (each as defined in </w:t>
      </w:r>
      <w:r>
        <w:rPr>
          <w:rFonts w:ascii="Times New Roman;Times;Serif" w:hAnsi="Times New Roman;Times;Serif"/>
          <w:b w:val="false"/>
          <w:i/>
          <w:caps w:val="false"/>
          <w:smallCaps w:val="false"/>
          <w:sz w:val="20"/>
        </w:rPr>
        <w:t>Note 12 – Debt</w:t>
      </w:r>
      <w:r>
        <w:rPr>
          <w:rFonts w:ascii="Times New Roman;Times;Serif" w:hAnsi="Times New Roman;Times;Serif"/>
          <w:b w:val="false"/>
          <w:i w:val="false"/>
          <w:caps w:val="false"/>
          <w:smallCaps w:val="false"/>
          <w:sz w:val="20"/>
        </w:rPr>
        <w:t>, and together the “FVO Notes”) were eligible for the fair value option, in accordance with FASB ASC 825-10-50-28, and made such election to account for these instruments at fair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option may be elected on an instrument-by-instrument basis and is irrevocable unless a new election date occurs. Additional term or other notes may be issued in subsequent periods where the Company would be able to make a fair value option election upon issuance provided eligibility criteria are met. The fair value option election was made to align the accounting for the FVO Notes with the Company’s financial reporting objectives and reduce operational effort to account for embedded features that otherwise would require bifurcation as a separate unit of account.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fair value option election, direct and incremental debt issuance costs and consideration paid to the respective lender were expensed as incurred and recorded in other income (expense), net in the consolidated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Losses recognized upon issuance of debt represent the difference between issuance date fair value and the proceeds received net of discount or premium, which are recorded in loss on debt issuance in the consolidated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records the portion of the FVO Notes that are issued and outstanding for accounting purposes at fair value with changes in fair value recorded in change in fair value in the consolidated statements of operations, except for the portion of the total change in fair value that results from a change in the instrument-specific credit risk of FVO Notes, which is recorded in other comprehensive income (loss), if applicable. Measurement of the change in fair value of the FVO Notes includes accrued interest, whether paid-in-kind or cash.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interest on the FVO Notes is included in the respective debt instrument’s balance on the consolidated balance sheets.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determines if an arrangement is a lease at inception and classifies its leases at commencement. Operating leases are presented as right-of-use (“ROU”) assets and the corresponding lease liabilities are included in operating lease liabilities, current and operating lease liabilities, non-current on the Company’s balance sheets. ROU assets represent the Company’s right to use an underlying asset, and lease liabilities represent the Company’s obligation for lease payments in exchange for the ability to use the asset for the duration of the lease term.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ROU assets and lease liabilities are recognized at commencement date and determined using the present value of the future minimum lease payments over the lease term. The Company uses an incremental borrowing rate based on estimated rate of interest for collateralized borrowing since the Company’s leases do not include an implicit interest rate. The estimated incremental borrowing rate considers market data, actual lease economic environment, and actual lease term at commencement date. The lease term may include options to extend when it is reasonably certain that the Company will exercise that option. In addition, the Company does not recognize short-term leases that have a term of twelve months or less as ROU assets or lease liabilities. The Company recognizes operating lease expense on a straight-line basis over the lease term.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lease agreements which contain both lease and non-lease components, which it has elected to account for as a single lease component when the payments are fixed. As such, variable lease payments, including those not dependent on an index or rate, such as real estate taxes, common area maintenance, and other costs that are subject to fluctuation from period to period are not included in lease measurement.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evaluates long-lived assets for recoverability if there are indicators of potential impairment. Indicators of potential impairment may include subleasing a location for less than the head lease cost. If there are indicators of potential impairment, the Company will test the assets for recoverability. If the undiscounted cash flows estimated to be generated are less than the carrying value of the underlying assets, the assets are deemed impaired. If it is determined that assets are impaired, an impairment loss is calculated based on the amount that the asset’s book value exceeds its fair value.</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Recent accounting pronouncements not yet effective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November 2024, the </w:t>
      </w:r>
      <w:r>
        <w:rPr>
          <w:rFonts w:ascii="Times New Roman;Times;Serif" w:hAnsi="Times New Roman;Times;Serif"/>
          <w:b w:val="false"/>
          <w:i w:val="false"/>
          <w:caps w:val="false"/>
          <w:smallCaps w:val="false"/>
          <w:sz w:val="20"/>
          <w:shd w:fill="FFFFFF" w:val="clear"/>
        </w:rPr>
        <w:t>FASB</w:t>
      </w:r>
      <w:r>
        <w:rPr>
          <w:rFonts w:ascii="Times New Roman;Times;Serif" w:hAnsi="Times New Roman;Times;Serif"/>
          <w:b w:val="false"/>
          <w:i w:val="false"/>
          <w:caps w:val="false"/>
          <w:smallCaps w:val="false"/>
          <w:sz w:val="20"/>
        </w:rPr>
        <w:t xml:space="preserve"> issued </w:t>
      </w:r>
      <w:r>
        <w:rPr>
          <w:rFonts w:ascii="Times New Roman;Times;Serif" w:hAnsi="Times New Roman;Times;Serif"/>
          <w:b w:val="false"/>
          <w:i w:val="false"/>
          <w:caps w:val="false"/>
          <w:smallCaps w:val="false"/>
          <w:sz w:val="20"/>
          <w:shd w:fill="FFFFFF" w:val="clear"/>
        </w:rPr>
        <w:t>Accounting Standards Update (“</w:t>
      </w:r>
      <w:r>
        <w:rPr>
          <w:rFonts w:ascii="Times New Roman;Times;Serif" w:hAnsi="Times New Roman;Times;Serif"/>
          <w:b w:val="false"/>
          <w:i w:val="false"/>
          <w:caps w:val="false"/>
          <w:smallCaps w:val="false"/>
          <w:sz w:val="20"/>
        </w:rPr>
        <w:t xml:space="preserve">ASU”) ASU No. 2024-03, </w:t>
      </w:r>
      <w:r>
        <w:rPr>
          <w:rFonts w:ascii="Times New Roman;Times;Serif" w:hAnsi="Times New Roman;Times;Serif"/>
          <w:b w:val="false"/>
          <w:i/>
          <w:caps w:val="false"/>
          <w:smallCaps w:val="false"/>
          <w:sz w:val="20"/>
        </w:rPr>
        <w:t>Disaggregation of Income Statement Expenses (Subtopic 220-40)</w:t>
      </w:r>
      <w:r>
        <w:rPr>
          <w:rFonts w:ascii="Times New Roman;Times;Serif" w:hAnsi="Times New Roman;Times;Serif"/>
          <w:b w:val="false"/>
          <w:i w:val="false"/>
          <w:caps w:val="false"/>
          <w:smallCaps w:val="false"/>
          <w:sz w:val="20"/>
        </w:rPr>
        <w:t>. The ASU requires the disaggregated disclosure of specific expense categories, including purchases of inventory, employee compensation, depreciation, and amortization included in each relevant expense caption presented on the statement of operations. The guidance also requires disclosure of a qualitative description of the amounts remaining in relevant expense captions that are not separately disaggregated quantitatively, as well as the total amount of selling expenses and an entity’s definition of selling expenses. This guidance is effective for annual reporting periods beginning after December 15, 2026 and interim reporting periods beginning after December 15, 2027. Early adoption of the amendment is permitted. The Company is currently evaluating the guidance and its impact to its consolidated financial statements and related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In July 2025, the </w:t>
      </w:r>
      <w:r>
        <w:rPr>
          <w:rFonts w:ascii="Times New Roman;Times;Serif" w:hAnsi="Times New Roman;Times;Serif"/>
          <w:b w:val="false"/>
          <w:i w:val="false"/>
          <w:caps w:val="false"/>
          <w:smallCaps w:val="false"/>
          <w:sz w:val="20"/>
        </w:rPr>
        <w:t xml:space="preserve">FASB </w:t>
      </w:r>
      <w:r>
        <w:rPr>
          <w:rFonts w:ascii="Times New Roman;Times;Serif" w:hAnsi="Times New Roman;Times;Serif"/>
          <w:b w:val="false"/>
          <w:i w:val="false"/>
          <w:caps w:val="false"/>
          <w:smallCaps w:val="false"/>
          <w:sz w:val="20"/>
          <w:shd w:fill="FFFFFF" w:val="clear"/>
        </w:rPr>
        <w:t xml:space="preserve">issued </w:t>
      </w:r>
      <w:r>
        <w:rPr>
          <w:rFonts w:ascii="Times New Roman;Times;Serif" w:hAnsi="Times New Roman;Times;Serif"/>
          <w:b w:val="false"/>
          <w:i w:val="false"/>
          <w:caps w:val="false"/>
          <w:smallCaps w:val="false"/>
          <w:sz w:val="20"/>
        </w:rPr>
        <w:t>ASU 2025-05</w:t>
      </w:r>
      <w:r>
        <w:rPr>
          <w:rFonts w:ascii="Times New Roman;Times;Serif" w:hAnsi="Times New Roman;Times;Serif"/>
          <w:b w:val="false"/>
          <w:i w:val="false"/>
          <w:caps w:val="false"/>
          <w:smallCaps w:val="false"/>
          <w:sz w:val="20"/>
          <w:shd w:fill="FFFFFF" w:val="clear"/>
        </w:rPr>
        <w:t xml:space="preserve">, </w:t>
      </w:r>
      <w:r>
        <w:rPr>
          <w:rFonts w:ascii="Times New Roman;Times;Serif" w:hAnsi="Times New Roman;Times;Serif"/>
          <w:b w:val="false"/>
          <w:i/>
          <w:caps w:val="false"/>
          <w:smallCaps w:val="false"/>
          <w:sz w:val="20"/>
          <w:shd w:fill="FFFFFF" w:val="clear"/>
        </w:rPr>
        <w:t>Financial Instruments-Credit Losses (Topic 326): Measurement of Credit Losses for Accounts Receivable and Contract Assets,</w:t>
      </w:r>
      <w:r>
        <w:rPr>
          <w:rFonts w:ascii="Times New Roman;Times;Serif" w:hAnsi="Times New Roman;Times;Serif"/>
          <w:b w:val="false"/>
          <w:i w:val="false"/>
          <w:caps w:val="false"/>
          <w:smallCaps w:val="false"/>
          <w:sz w:val="20"/>
          <w:shd w:fill="FFFFFF" w:val="clear"/>
        </w:rPr>
        <w:t xml:space="preserve"> which provides a practical expedient to measure credit losses on accounts receivable and contract assets. This guidance is effective for periods beginning after December 15, 2025 and will be adopted prospectively. Early adoption is permitted. The Company is currently evaluating the impact of this guidance on our consolidated financial statements and related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Recently adopted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December 2023, the FASB issued ASU 2023-09, </w:t>
      </w:r>
      <w:r>
        <w:rPr>
          <w:rFonts w:ascii="Times New Roman;Times;Serif" w:hAnsi="Times New Roman;Times;Serif"/>
          <w:b w:val="false"/>
          <w:i/>
          <w:caps w:val="false"/>
          <w:smallCaps w:val="false"/>
          <w:sz w:val="20"/>
        </w:rPr>
        <w:t>Income Taxes (Topic 740), Improvements to Income Tax Disclosures</w:t>
      </w:r>
      <w:r>
        <w:rPr>
          <w:rFonts w:ascii="Times New Roman;Times;Serif" w:hAnsi="Times New Roman;Times;Serif"/>
          <w:b w:val="false"/>
          <w:i w:val="false"/>
          <w:caps w:val="false"/>
          <w:smallCaps w:val="false"/>
          <w:sz w:val="20"/>
        </w:rPr>
        <w:t>, which enhances the disclosure requirements for the income tax rate reconciliation, domestic and foreign income taxes paid, requiring disclosure of disaggregated income taxes paid by jurisdiction, unrecognized tax benefits, and modifies other income tax-related disclosures. The Company adopted this guidance effective January 1, 2025, on a prospective basis. The adoption of this guidance did not have a material impact on the Company’s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 Acquisitions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Vidello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31, 2025, the Company closed a previously announced merger with Vidello Limited (“Vidello”), a private limited company registered in England and Wales (the “Vidello Merger”), pursuant to an Agreement and Plan of Merger (the “Vidello Merger Agreement”), dated December 19, 2024, by and among the Company, Vidello, and certain shareholders of Vidello (the “Vidello Shareholders”). At the closing, Vidello Shareholders transferred all the outstanding shares of Vidello to the Company, and Vidello became a direct and wholly owned subsidiary of the Company. At the closing, the Company paid to the Vidello Shareholders, $2,745,031 in cash (the “Vidello Cash Consideration”), whereby $2,500,000 are withheld for indemnification expenses and other holdback provisions in accordance with the Vidello Merger Agreement, and issued 89,820 shares of Class A Common Stock (the “Share Consideration,” together with the Cash Consideration, the “Vidello Closing Consideration”). The Company’s primary reason for acquiring Vidello was to enhance revenue growth and strengthen the Company’s competitive market position through cross selling opportunities. Vidello is a video hosting and marketing platform designed to help businesses manage, customize, and optimize their video content.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holdback amount, this consists of three distinct components, being (1) the withholding of $1,000,000 as security for the obligations of Company Shareholders for a period of twelve months (the “Indemnification Holdback Amount”), (2) the withholding of $500,000 as security for the obligations of Company Shareholders to cooperate with best efforts and in good faith with to complete the transition, integration and related matters of Vidello’s business with Banzai, including, but not limited to (a) the transition of data of Vidello managed and/or held by Vidello to Banzai, (b) certain services relating to the continued operations of Vidello, and (c) the training of certain employees of Banzai regarding the operations of Vidello including any proprietary business processes and trade secrets following the Closing, during the six months following the Closing (the “Transition Holdback Period”), and (3) the withholding of $1,000,000 subject to certain revenue related conditions being met during the 180 day period following the Closing (the “Revenue Holdback Amount” and together with the Indemnification Holdback Amount and the Transition Holdback Amount, the “Holdback Amount”).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Company recognized $485,720 of expense after foreign currency translation in the consolidated statements of operations related to the Transition Holdback Amount in the line Vidello earnout expense. As of December 31, 2025, the Company had paid the contractual amount of $500,000 to the Vidello Shareholders for the Transition Holdback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180 day measurement period for the Revenue Holdback had lapsed and the revenue conditions as defined in the Vidello Merger Agreement had not been met. As such the Company recognized a gain on the extinguishment of Vidello revenue holdback of $973,000 for the year ended December 31, 2025.</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and as a condition of closing pursuant to the Vidello Merger Agreement, the Company executed and delivered to each Vidello Shareholder a lock-up agreement (the “Vidello Lock-Up Agreement”), pursuant to which, the shareholders of Class A Common Stock and any other securities convertible or exercisable into the shares of Class A Common Stock beneficially owned by them, during the 180-day period following the closing of the Vidello Merger, cannot complete any Prohibited Transfer (as defined in the Vidello Merger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Immediately prior to the closing of the Vidello Merger, the directors, and officers of Vidello tendered their resignation, effective at the closing. Pursuant to the Vidello Merger Agreement, the CEO of the Company shall be the sole member of the board of directors of Vidello effective upon the closing of the Vidello Merger.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incurred transaction costs of approximately $730,000 which are included in the consolidated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Vidello Merger was accounted for as a business combination under the acquisition method pursuant to FASB ASC 805, </w:t>
      </w:r>
      <w:r>
        <w:rPr>
          <w:rFonts w:ascii="Times New Roman;Times;Serif" w:hAnsi="Times New Roman;Times;Serif"/>
          <w:b w:val="false"/>
          <w:i/>
          <w:caps w:val="false"/>
          <w:smallCaps w:val="false"/>
          <w:sz w:val="20"/>
        </w:rPr>
        <w:t>Business Combinations</w:t>
      </w:r>
      <w:r>
        <w:rPr>
          <w:rFonts w:ascii="Times New Roman;Times;Serif" w:hAnsi="Times New Roman;Times;Serif"/>
          <w:b w:val="false"/>
          <w:i w:val="false"/>
          <w:caps w:val="false"/>
          <w:smallCaps w:val="false"/>
          <w:sz w:val="20"/>
        </w:rPr>
        <w:t xml:space="preserve"> (“ASC 805”), with the Company as the accounting acquirer. Under the acquisition method, the total purchase price of the acquisition is allocated to the net identifiable tangible and intangible assets acquired and liabilities assumed based on the fair values as of the acquisition date. The preliminary fair value of the consideration transferred totaled $6,267,747 summarized as follows: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Summary of Preliminary Fair Value of the Consideration Transferred </w:t>
      </w:r>
    </w:p>
    <w:tbl>
      <w:tblPr>
        <w:tblW w:w="5670" w:type="dxa"/>
        <w:jc w:val="left"/>
        <w:tblInd w:w="0" w:type="dxa"/>
        <w:tblLayout w:type="fixed"/>
        <w:tblCellMar>
          <w:top w:w="0" w:type="dxa"/>
          <w:left w:w="0" w:type="dxa"/>
          <w:bottom w:w="0" w:type="dxa"/>
          <w:right w:w="0" w:type="dxa"/>
        </w:tblCellMar>
      </w:tblPr>
      <w:tblGrid>
        <w:gridCol w:w="4415"/>
        <w:gridCol w:w="60"/>
        <w:gridCol w:w="140"/>
        <w:gridCol w:w="980"/>
        <w:gridCol w:w="75"/>
      </w:tblGrid>
      <w:tr>
        <w:trPr/>
        <w:tc>
          <w:tcPr>
            <w:tcW w:w="44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75" w:type="dxa"/>
            <w:tcBorders/>
            <w:vAlign w:val="center"/>
          </w:tcPr>
          <w:p>
            <w:pPr>
              <w:pStyle w:val="TableContents"/>
              <w:bidi w:val="0"/>
              <w:spacing w:before="0" w:after="283"/>
              <w:jc w:val="left"/>
              <w:rPr/>
            </w:pPr>
            <w:r>
              <w:rPr/>
              <w:t> </w:t>
            </w:r>
          </w:p>
        </w:tc>
      </w:tr>
      <w:tr>
        <w:trPr/>
        <w:tc>
          <w:tcPr>
            <w:tcW w:w="44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paid at closing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2,745,031</w:t>
            </w:r>
          </w:p>
        </w:tc>
        <w:tc>
          <w:tcPr>
            <w:tcW w:w="75" w:type="dxa"/>
            <w:tcBorders/>
            <w:shd w:fill="CCEEFF" w:val="clear"/>
            <w:vAlign w:val="center"/>
          </w:tcPr>
          <w:p>
            <w:pPr>
              <w:pStyle w:val="TableContents"/>
              <w:bidi w:val="0"/>
              <w:spacing w:before="0" w:after="283"/>
              <w:jc w:val="left"/>
              <w:rPr/>
            </w:pPr>
            <w:r>
              <w:rPr/>
              <w:t> </w:t>
            </w:r>
          </w:p>
        </w:tc>
      </w:tr>
      <w:tr>
        <w:trPr/>
        <w:tc>
          <w:tcPr>
            <w:tcW w:w="44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Common stock issued to Vidello Stockholders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1,661,677</w:t>
            </w:r>
          </w:p>
        </w:tc>
        <w:tc>
          <w:tcPr>
            <w:tcW w:w="75" w:type="dxa"/>
            <w:tcBorders/>
            <w:shd w:fill="FFFFFF" w:val="clear"/>
            <w:vAlign w:val="center"/>
          </w:tcPr>
          <w:p>
            <w:pPr>
              <w:pStyle w:val="TableContents"/>
              <w:bidi w:val="0"/>
              <w:spacing w:before="0" w:after="283"/>
              <w:jc w:val="left"/>
              <w:rPr/>
            </w:pPr>
            <w:r>
              <w:rPr/>
              <w:t> </w:t>
            </w:r>
          </w:p>
        </w:tc>
      </w:tr>
      <w:tr>
        <w:trPr/>
        <w:tc>
          <w:tcPr>
            <w:tcW w:w="44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Fair value of Holdback Amount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1,861,039</w:t>
            </w:r>
          </w:p>
        </w:tc>
        <w:tc>
          <w:tcPr>
            <w:tcW w:w="75" w:type="dxa"/>
            <w:tcBorders/>
            <w:shd w:fill="CCEEFF" w:val="clear"/>
            <w:vAlign w:val="center"/>
          </w:tcPr>
          <w:p>
            <w:pPr>
              <w:pStyle w:val="TableContents"/>
              <w:bidi w:val="0"/>
              <w:spacing w:before="0" w:after="283"/>
              <w:jc w:val="left"/>
              <w:rPr/>
            </w:pPr>
            <w:r>
              <w:rPr/>
              <w:t> </w:t>
            </w:r>
          </w:p>
        </w:tc>
      </w:tr>
      <w:tr>
        <w:trPr/>
        <w:tc>
          <w:tcPr>
            <w:tcW w:w="44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consideration paid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6,267,747</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made a provisional allocation of the purchase price of the Vidello Merger to the assets acquired and liabilities assumed as of the acquisition date. The following table summarizes the provisional purchase price allocation relating to the Vidello Merger:</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Summary of Provisional Purchase Price Allocation Relating to Vidello Merger</w:t>
      </w:r>
    </w:p>
    <w:tbl>
      <w:tblPr>
        <w:tblW w:w="5580" w:type="dxa"/>
        <w:jc w:val="left"/>
        <w:tblInd w:w="0" w:type="dxa"/>
        <w:tblLayout w:type="fixed"/>
        <w:tblCellMar>
          <w:top w:w="0" w:type="dxa"/>
          <w:left w:w="0" w:type="dxa"/>
          <w:bottom w:w="0" w:type="dxa"/>
          <w:right w:w="0" w:type="dxa"/>
        </w:tblCellMar>
      </w:tblPr>
      <w:tblGrid>
        <w:gridCol w:w="4325"/>
        <w:gridCol w:w="60"/>
        <w:gridCol w:w="140"/>
        <w:gridCol w:w="980"/>
        <w:gridCol w:w="75"/>
      </w:tblGrid>
      <w:tr>
        <w:trPr/>
        <w:tc>
          <w:tcPr>
            <w:tcW w:w="432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Assets acquired: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and cash equivalents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67,551</w:t>
            </w:r>
          </w:p>
        </w:tc>
        <w:tc>
          <w:tcPr>
            <w:tcW w:w="75"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Property and equipment,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9,375</w:t>
            </w:r>
          </w:p>
        </w:tc>
        <w:tc>
          <w:tcPr>
            <w:tcW w:w="75"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Intangible assets – customer relationships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551,000</w:t>
            </w:r>
          </w:p>
        </w:tc>
        <w:tc>
          <w:tcPr>
            <w:tcW w:w="75"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Intangible Assets – trade name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736,000</w:t>
            </w:r>
          </w:p>
        </w:tc>
        <w:tc>
          <w:tcPr>
            <w:tcW w:w="75"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Intangible Assets – developed technology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4,010,000</w:t>
            </w:r>
          </w:p>
        </w:tc>
        <w:tc>
          <w:tcPr>
            <w:tcW w:w="75"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5,373,926</w:t>
            </w:r>
          </w:p>
        </w:tc>
        <w:tc>
          <w:tcPr>
            <w:tcW w:w="75"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Liabilities assumed: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705</w:t>
            </w:r>
          </w:p>
        </w:tc>
        <w:tc>
          <w:tcPr>
            <w:tcW w:w="75"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expenses and other 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15,377</w:t>
            </w:r>
          </w:p>
        </w:tc>
        <w:tc>
          <w:tcPr>
            <w:tcW w:w="75"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Unearned revenue, current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447,966</w:t>
            </w:r>
          </w:p>
        </w:tc>
        <w:tc>
          <w:tcPr>
            <w:tcW w:w="75"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tax liability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1,324,250</w:t>
            </w:r>
          </w:p>
        </w:tc>
        <w:tc>
          <w:tcPr>
            <w:tcW w:w="75"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Taxes payable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337,127</w:t>
            </w:r>
          </w:p>
        </w:tc>
        <w:tc>
          <w:tcPr>
            <w:tcW w:w="75"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2,125,425</w:t>
            </w:r>
          </w:p>
        </w:tc>
        <w:tc>
          <w:tcPr>
            <w:tcW w:w="75"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identifiable net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3,248,501</w:t>
            </w:r>
          </w:p>
        </w:tc>
        <w:tc>
          <w:tcPr>
            <w:tcW w:w="75"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Goodwill recorded: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Goodwill</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3,019,246</w:t>
            </w:r>
          </w:p>
        </w:tc>
        <w:tc>
          <w:tcPr>
            <w:tcW w:w="75"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consideration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6,267,747</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recognized is not expected to be deductible for tax purposes. We believe that in this acquisition goodwill represents the value of Vidello’s existing products, combined with the added business synergies of integrating with the existing Banzai products and customer base.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these consolidated financial statements were issued, the purchase accounting related to this acquisition was incomplete as certain working capital balances were subject to potential change. The Company has reflected the provisional amounts in these consolidated financial statements. As such, the above balances may be adjusted in a future period, not to exceed one (1) year from the acquisition date pursuant to ASC 805, as the Company finalizes and/or updates for any identified working capital adjustments, which may be material to the consolidated financial statements.</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intangible assets acquired are subject to amortization and their associated estimated useful lives are as follows:</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Summary of Intangible Assets Acquired and their Associated Estimated Useful Lives</w:t>
      </w:r>
    </w:p>
    <w:tbl>
      <w:tblPr>
        <w:tblW w:w="3400" w:type="dxa"/>
        <w:jc w:val="left"/>
        <w:tblInd w:w="0" w:type="dxa"/>
        <w:tblLayout w:type="fixed"/>
        <w:tblCellMar>
          <w:top w:w="0" w:type="dxa"/>
          <w:left w:w="0" w:type="dxa"/>
          <w:bottom w:w="0" w:type="dxa"/>
          <w:right w:w="0" w:type="dxa"/>
        </w:tblCellMar>
      </w:tblPr>
      <w:tblGrid>
        <w:gridCol w:w="2195"/>
        <w:gridCol w:w="60"/>
        <w:gridCol w:w="1145"/>
      </w:tblGrid>
      <w:tr>
        <w:trPr/>
        <w:tc>
          <w:tcPr>
            <w:tcW w:w="21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Estimated</w:t>
            </w:r>
          </w:p>
        </w:tc>
      </w:tr>
      <w:tr>
        <w:trPr/>
        <w:tc>
          <w:tcPr>
            <w:tcW w:w="219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Intangible Assets</w:t>
            </w:r>
          </w:p>
        </w:tc>
        <w:tc>
          <w:tcPr>
            <w:tcW w:w="60" w:type="dxa"/>
            <w:tcBorders/>
            <w:shd w:fill="FFFFFF" w:val="clear"/>
            <w:vAlign w:val="center"/>
          </w:tcPr>
          <w:p>
            <w:pPr>
              <w:pStyle w:val="TableContents"/>
              <w:bidi w:val="0"/>
              <w:spacing w:before="0" w:after="283"/>
              <w:jc w:val="left"/>
              <w:rPr/>
            </w:pPr>
            <w:r>
              <w:rPr/>
              <w:t> </w:t>
            </w:r>
          </w:p>
        </w:tc>
        <w:tc>
          <w:tcPr>
            <w:tcW w:w="114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Useful Life</w:t>
            </w:r>
          </w:p>
        </w:tc>
      </w:tr>
      <w:tr>
        <w:trPr/>
        <w:tc>
          <w:tcPr>
            <w:tcW w:w="21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Customer relationships</w:t>
            </w:r>
          </w:p>
        </w:tc>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6 years</w:t>
            </w:r>
          </w:p>
        </w:tc>
      </w:tr>
      <w:tr>
        <w:trPr/>
        <w:tc>
          <w:tcPr>
            <w:tcW w:w="21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Trade name</w:t>
            </w:r>
          </w:p>
        </w:tc>
        <w:tc>
          <w:tcPr>
            <w:tcW w:w="60"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10 years</w:t>
            </w:r>
          </w:p>
        </w:tc>
      </w:tr>
      <w:tr>
        <w:trPr/>
        <w:tc>
          <w:tcPr>
            <w:tcW w:w="21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Developed technology</w:t>
            </w:r>
          </w:p>
        </w:tc>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7 - 8 years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in the consolidated statements of operations for the year ended December 31, 2025 and 2024 includes net loss of approximately $250 thousand and net income of $734 thousand, respectively, of Vidello from the date of acquisition to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 forma disclosure for the Vidello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unaudited pro forma financial information reflects the consolidated results of operations of the Company as if the Merger with Vidello had taken place on January 1, 2024. The pro forma results presented are the result of combining the revenues and earnings of the Company with the revenues and earnings of Vidello. The Company did not have any material, non-recurring pro forma adjustments directly attributable to the business combination included in the reported pro forma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 forma financial information is not necessarily indicative of the results of operations as they would have been had the transactions been effected on the assumed date:</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Summary of Pro Forma Financial Information</w:t>
      </w:r>
    </w:p>
    <w:tbl>
      <w:tblPr>
        <w:tblW w:w="9492" w:type="dxa"/>
        <w:jc w:val="left"/>
        <w:tblInd w:w="0" w:type="dxa"/>
        <w:tblLayout w:type="fixed"/>
        <w:tblCellMar>
          <w:top w:w="0" w:type="dxa"/>
          <w:left w:w="0" w:type="dxa"/>
          <w:bottom w:w="0" w:type="dxa"/>
          <w:right w:w="0" w:type="dxa"/>
        </w:tblCellMar>
      </w:tblPr>
      <w:tblGrid>
        <w:gridCol w:w="5915"/>
        <w:gridCol w:w="60"/>
        <w:gridCol w:w="171"/>
        <w:gridCol w:w="1438"/>
        <w:gridCol w:w="116"/>
        <w:gridCol w:w="73"/>
        <w:gridCol w:w="171"/>
        <w:gridCol w:w="1438"/>
        <w:gridCol w:w="110"/>
      </w:tblGrid>
      <w:tr>
        <w:trPr/>
        <w:tc>
          <w:tcPr>
            <w:tcW w:w="59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438" w:type="dxa"/>
            <w:tcBorders/>
            <w:shd w:fill="FFFFFF" w:val="clear"/>
            <w:vAlign w:val="center"/>
          </w:tcPr>
          <w:p>
            <w:pPr>
              <w:pStyle w:val="TableContents"/>
              <w:bidi w:val="0"/>
              <w:spacing w:before="0" w:after="283"/>
              <w:jc w:val="right"/>
              <w:rPr/>
            </w:pPr>
            <w:r>
              <w:rPr/>
              <w:t> </w:t>
            </w:r>
          </w:p>
        </w:tc>
        <w:tc>
          <w:tcPr>
            <w:tcW w:w="116"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438"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9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07"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For the year ended December 31,</w:t>
            </w:r>
          </w:p>
        </w:tc>
        <w:tc>
          <w:tcPr>
            <w:tcW w:w="110" w:type="dxa"/>
            <w:tcBorders/>
            <w:vAlign w:val="center"/>
          </w:tcPr>
          <w:p>
            <w:pPr>
              <w:pStyle w:val="TableContents"/>
              <w:bidi w:val="0"/>
              <w:spacing w:before="0" w:after="283"/>
              <w:jc w:val="left"/>
              <w:rPr/>
            </w:pPr>
            <w:r>
              <w:rPr/>
              <w:t> </w:t>
            </w:r>
          </w:p>
        </w:tc>
      </w:tr>
      <w:tr>
        <w:trPr/>
        <w:tc>
          <w:tcPr>
            <w:tcW w:w="59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16"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60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10" w:type="dxa"/>
            <w:tcBorders/>
            <w:vAlign w:val="center"/>
          </w:tcPr>
          <w:p>
            <w:pPr>
              <w:pStyle w:val="TableContents"/>
              <w:bidi w:val="0"/>
              <w:spacing w:before="0" w:after="283"/>
              <w:jc w:val="left"/>
              <w:rPr/>
            </w:pPr>
            <w:r>
              <w:rPr/>
              <w:t> </w:t>
            </w:r>
          </w:p>
        </w:tc>
      </w:tr>
      <w:tr>
        <w:trPr/>
        <w:tc>
          <w:tcPr>
            <w:tcW w:w="59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Revenue</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3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12,391,854</w:t>
            </w:r>
          </w:p>
        </w:tc>
        <w:tc>
          <w:tcPr>
            <w:tcW w:w="116"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3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10,006,674</w:t>
            </w:r>
          </w:p>
        </w:tc>
        <w:tc>
          <w:tcPr>
            <w:tcW w:w="110" w:type="dxa"/>
            <w:tcBorders/>
            <w:shd w:fill="CCEEFF" w:val="clear"/>
            <w:vAlign w:val="center"/>
          </w:tcPr>
          <w:p>
            <w:pPr>
              <w:pStyle w:val="TableContents"/>
              <w:bidi w:val="0"/>
              <w:spacing w:before="0" w:after="283"/>
              <w:jc w:val="left"/>
              <w:rPr/>
            </w:pPr>
            <w:r>
              <w:rPr/>
              <w:t> </w:t>
            </w:r>
          </w:p>
        </w:tc>
      </w:tr>
      <w:tr>
        <w:trPr/>
        <w:tc>
          <w:tcPr>
            <w:tcW w:w="59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Cost of revenue</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43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2,379,038</w:t>
            </w:r>
          </w:p>
        </w:tc>
        <w:tc>
          <w:tcPr>
            <w:tcW w:w="116"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43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2,114,675</w:t>
            </w:r>
          </w:p>
        </w:tc>
        <w:tc>
          <w:tcPr>
            <w:tcW w:w="110" w:type="dxa"/>
            <w:tcBorders/>
            <w:shd w:fill="FFFFFF" w:val="clear"/>
            <w:vAlign w:val="center"/>
          </w:tcPr>
          <w:p>
            <w:pPr>
              <w:pStyle w:val="TableContents"/>
              <w:bidi w:val="0"/>
              <w:spacing w:before="0" w:after="283"/>
              <w:jc w:val="left"/>
              <w:rPr/>
            </w:pPr>
            <w:r>
              <w:rPr/>
              <w:t> </w:t>
            </w:r>
          </w:p>
        </w:tc>
      </w:tr>
      <w:tr>
        <w:trPr/>
        <w:tc>
          <w:tcPr>
            <w:tcW w:w="59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expenses</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43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28,511,163</w:t>
            </w:r>
          </w:p>
        </w:tc>
        <w:tc>
          <w:tcPr>
            <w:tcW w:w="116"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43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19,795,088</w:t>
            </w:r>
          </w:p>
        </w:tc>
        <w:tc>
          <w:tcPr>
            <w:tcW w:w="110" w:type="dxa"/>
            <w:tcBorders/>
            <w:shd w:fill="CCEEFF" w:val="clear"/>
            <w:vAlign w:val="center"/>
          </w:tcPr>
          <w:p>
            <w:pPr>
              <w:pStyle w:val="TableContents"/>
              <w:bidi w:val="0"/>
              <w:spacing w:before="0" w:after="283"/>
              <w:jc w:val="left"/>
              <w:rPr/>
            </w:pPr>
            <w:r>
              <w:rPr/>
              <w:t> </w:t>
            </w:r>
          </w:p>
        </w:tc>
      </w:tr>
      <w:tr>
        <w:trPr/>
        <w:tc>
          <w:tcPr>
            <w:tcW w:w="59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other expenses (income), net</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43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3,966,478</w:t>
            </w:r>
          </w:p>
        </w:tc>
        <w:tc>
          <w:tcPr>
            <w:tcW w:w="116"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43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18,045,645</w:t>
            </w:r>
          </w:p>
        </w:tc>
        <w:tc>
          <w:tcPr>
            <w:tcW w:w="110" w:type="dxa"/>
            <w:tcBorders/>
            <w:shd w:fill="FFFFFF" w:val="clear"/>
            <w:vAlign w:val="center"/>
          </w:tcPr>
          <w:p>
            <w:pPr>
              <w:pStyle w:val="TableContents"/>
              <w:bidi w:val="0"/>
              <w:spacing w:before="0" w:after="283"/>
              <w:jc w:val="left"/>
              <w:rPr/>
            </w:pPr>
            <w:r>
              <w:rPr/>
              <w:t> </w:t>
            </w:r>
          </w:p>
        </w:tc>
      </w:tr>
      <w:tr>
        <w:trPr/>
        <w:tc>
          <w:tcPr>
            <w:tcW w:w="59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before income taxes attributable to common stockholders</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43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(22,464,825</w:t>
            </w:r>
          </w:p>
        </w:tc>
        <w:tc>
          <w:tcPr>
            <w:tcW w:w="11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3"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43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(29,948,734</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 Related Party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Due to Related Party of 7GC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2023, the Sponsor paid certain expenses on behalf of 7GC. Upon Closing of the Merger, Banzai assumed the $67,118 liability. As of December 31, 2025, there is no remaining balance outstanding related to this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Legacy Banzai Related Party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2023, Legacy Banzai issued Promissory Notes and Convertible Notes to related parties. See </w:t>
      </w:r>
      <w:r>
        <w:rPr>
          <w:rFonts w:ascii="Times New Roman;Times;Serif" w:hAnsi="Times New Roman;Times;Serif"/>
          <w:b w:val="false"/>
          <w:i/>
          <w:caps w:val="false"/>
          <w:smallCaps w:val="false"/>
          <w:sz w:val="20"/>
        </w:rPr>
        <w:t xml:space="preserve">Note 12 – Debt </w:t>
      </w:r>
      <w:r>
        <w:rPr>
          <w:rFonts w:ascii="Times New Roman;Times;Serif" w:hAnsi="Times New Roman;Times;Serif"/>
          <w:b w:val="false"/>
          <w:i w:val="false"/>
          <w:caps w:val="false"/>
          <w:smallCaps w:val="false"/>
          <w:sz w:val="20"/>
        </w:rPr>
        <w:t>for further details related to these transactions and associated balances.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Debt Restructuring Agreement with CP BF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September 5, 2024, the Company and CP BF agreed to amend the outstanding balance of all debt previously in the form of 1one term note and 2two convertible notes into 1one new consolidated convertible note. The newly issued consolidated convertible note was issued on September 23, 2024. Additionally on September 23, 2024, the Company and CP BF entered into a share purchase agreement where the Company issued equity in the form of common stock, common stock warrants and pre-funded warrants to CP BF for the reduction of $2 million of debt under the newly issued consolidated convertible note. See </w:t>
      </w:r>
      <w:r>
        <w:rPr>
          <w:rFonts w:ascii="Times New Roman;Times;Serif" w:hAnsi="Times New Roman;Times;Serif"/>
          <w:b w:val="false"/>
          <w:i/>
          <w:caps w:val="false"/>
          <w:smallCaps w:val="false"/>
          <w:sz w:val="20"/>
        </w:rPr>
        <w:t>Note 12 – Debt</w:t>
      </w:r>
      <w:r>
        <w:rPr>
          <w:rFonts w:ascii="Times New Roman;Times;Serif" w:hAnsi="Times New Roman;Times;Serif"/>
          <w:b w:val="false"/>
          <w:i w:val="false"/>
          <w:caps w:val="false"/>
          <w:smallCaps w:val="false"/>
          <w:sz w:val="20"/>
        </w:rPr>
        <w:t>, for further details related to the transaction and associated balances.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Due to Related Party of Company CEO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12, 2024, the CEO of the Company loaned the Company an advance of $100,000. The advance is non-interest bearing, and matures one year from issuance. During the year ended December 31, 2025, the outstanding balance was repaid.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is generated through Banzai providing marketing and webinar platform subscription software service for a set period of time. The Company’s services include providing end-to-end video engagement solutions that provide a fast, intuitive and powerful platform of marketing tools that create more intent-driven videos, webinars, virtual events and other digital and in-person marketing campaigns. As noted within the statements of work and/or invoices, agreements range from monthly, to annual, to multi-year and Banzai generally provides for net 30-day payment terms with the payment made directly through check or electronic means. Banzai’s Management believes its exposure to credit risk is sufficiently mitigated by collection through credit card sales or direct payment from established clients.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 contract inception, once the contract is determined to be within the scope of FASB ASC 606, </w:t>
      </w:r>
      <w:r>
        <w:rPr>
          <w:rFonts w:ascii="Times New Roman;Times;Serif" w:hAnsi="Times New Roman;Times;Serif"/>
          <w:b w:val="false"/>
          <w:i/>
          <w:caps w:val="false"/>
          <w:smallCaps w:val="false"/>
          <w:sz w:val="20"/>
        </w:rPr>
        <w:t>Revenue from Contracts with Customers</w:t>
      </w:r>
      <w:r>
        <w:rPr>
          <w:rFonts w:ascii="Times New Roman;Times;Serif" w:hAnsi="Times New Roman;Times;Serif"/>
          <w:b w:val="false"/>
          <w:i w:val="false"/>
          <w:caps w:val="false"/>
          <w:smallCaps w:val="false"/>
          <w:sz w:val="20"/>
        </w:rPr>
        <w:t>, (“ASC 606”), the Company only applies the five-step model to contracts when it is probable that the entity will collect the consideration it is entitled to in exchange for the goods or services it transfers to the customer. The Company recognizes revenues following the five-step model prescribed under ASC 606:</w:t>
      </w:r>
    </w:p>
    <w:p>
      <w:pPr>
        <w:pStyle w:val="TextBody"/>
        <w:bidi w:val="0"/>
        <w:spacing w:before="0" w:after="0"/>
        <w:ind w:left="0" w:right="0" w:hanging="0"/>
        <w:jc w:val="both"/>
        <w:rPr>
          <w:caps w:val="false"/>
          <w:smallCaps w:val="false"/>
        </w:rPr>
      </w:pPr>
      <w:r>
        <w:rPr>
          <w:caps w:val="false"/>
          <w:smallCaps w:val="false"/>
        </w:rPr>
        <w:t> </w:t>
      </w:r>
    </w:p>
    <w:tbl>
      <w:tblPr>
        <w:tblW w:w="6895" w:type="dxa"/>
        <w:jc w:val="left"/>
        <w:tblInd w:w="0" w:type="dxa"/>
        <w:tblLayout w:type="fixed"/>
        <w:tblCellMar>
          <w:top w:w="0" w:type="dxa"/>
          <w:left w:w="0" w:type="dxa"/>
          <w:bottom w:w="0" w:type="dxa"/>
          <w:right w:w="0" w:type="dxa"/>
        </w:tblCellMar>
      </w:tblPr>
      <w:tblGrid>
        <w:gridCol w:w="185"/>
        <w:gridCol w:w="60"/>
        <w:gridCol w:w="6650"/>
      </w:tblGrid>
      <w:tr>
        <w:trPr/>
        <w:tc>
          <w:tcPr>
            <w:tcW w:w="1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identify contract(s) with a customer;</w:t>
            </w:r>
          </w:p>
        </w:tc>
      </w:tr>
      <w:tr>
        <w:trPr/>
        <w:tc>
          <w:tcPr>
            <w:tcW w:w="1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identify the performance obligation(s) in the contract;</w:t>
            </w:r>
          </w:p>
        </w:tc>
      </w:tr>
      <w:tr>
        <w:trPr/>
        <w:tc>
          <w:tcPr>
            <w:tcW w:w="1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determine the transaction price;</w:t>
            </w:r>
          </w:p>
        </w:tc>
      </w:tr>
      <w:tr>
        <w:trPr/>
        <w:tc>
          <w:tcPr>
            <w:tcW w:w="1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allocate the transaction price to the performance obligation(s) in the contract; and</w:t>
            </w:r>
          </w:p>
        </w:tc>
      </w:tr>
      <w:tr>
        <w:trPr/>
        <w:tc>
          <w:tcPr>
            <w:tcW w:w="1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recognize revenues when (or as) the Company satisfies a performance obligation.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from contracts with customers are not recorded until the Company has the approval and commitment from the parties, the rights of the parties are identified, payment terms are established, the contract has commercial substance and collectability of the consideration is probable.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assesses the goods or services promised within each contract and determines those that are performance obligations and assesses whether each promised good or service is distinct. When an arrangement contains more than one performance obligation, the Company will allocate the transaction price to each performance obligation on a relative standalone selling price basis. The Company utilizes the observable price of products and services when they are sold separately to similar customers in order to estimate standalone selling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revenue in an amount that reflects the consideration to which it expects to be entitled in exchange for the transfer of promised services to its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is recognized when a performance obligation is satisfied by transferring control of the service to the customer, which occurs over time. The Company considers this method a faithful depiction of the transfer of control as services are substantially the same and have the same pattern of transfer over the life of the contract. Sales, value add, and other taxes collected on behalf of third parties are excluded from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indicators are evaluated in determining when control has passed to the customer: (i) whether the Company has a right to payment for the product or service, (ii) whether the customer has legal title to the product or service, (iii) whether the Company has transferred physical possession of the product or service to the customer, (iv) whether the customer has the significant risk and rewards of ownership of the product or service and (v) whether the customer has accepted the product or service.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also evaluates the following indicators, amongst others, when determining whether it is acting as a principal in the transaction (and therefore whether to record revenue on a gross basis): (i) whether the Company is primarily responsible for fulfilling the promise to provide the specified good or service, (ii) whether the Company has the inventory risk before the specified good or service has been transferred to a customer or after transfer of control to the customer and (iii) whether the Company has the discretion to establish the price for the specified good or service. If the terms of a transaction do not indicate that the Company is acting as a principal in the transaction, then the Company is acting as an agent in the transaction and therefore, the associated revenue is recognized on a net basis (that is revenue net of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Nature of Products and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description of the Company’s products and services from which the Company generates revenue, as well as the nature, timing of satisfaction of performance obligations, and significant payment terms for each, as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Demio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Demio product is a full-stack technology that marketers can leverage live and automated for video marketing content such as webinars and virtual events. Software products are provided to Demio customers for a range of attendees and hosts within a specified time frame at a specified established price. The performance obligations identified include access to the suite and platform, within the parameters established, and within the standards established in the agreement. Contracts include a standalone selling price for the number of webinars and hosts as a performance obligation. There are no financing components and payments are typically net 30 of date or receipt of invoice. It is nearly 100% certain that a significant revenue reversal will not occur. The Company recognizes revenue for its sale of Demio services over time which corresponds with the period of time that access to the service is provided.</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Reach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the Reach product is in the process of being phased out, the Company continues to generate revenues from the product. The Reach product provides a multi-channel targeted audience acquisition (via Reach) to bolster engagement and Return on Investment (ROI). Banzai enables marketing teams to create winning webinars and virtual and in-person events that increase marketing efficiency and drive additional revenue. Software products are provided to Reach customers for a range of simultaneous events and registrations within a specified time frame at a specified established price. The performance obligations identified include access to the suite and platform, within the parameters established, and within the standards established in the agreement. Contracts include a standalone selling price for the number of simultaneous published events as a performance obligation. There are no financing components and payments are typically net 30 of date or receipt of invoice. It is nearly 100% certain that a significant revenue reversal will not occur. The Company recognizes revenue for its sale of Reach services over time which corresponds with the timing the service is rendered.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OpenReel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OpenReel product offers subscription-based software as a service (SaaS) offerings to enterprise, media, entertainment and agency teams to remotely control, direct, script, film, and collaborate on high definition video projects from a mobile device or webcam. The Company enters into fixed price subscription contracts with customers, which can be monthly, annual, or multi-year agreements which auto-renew without discount for additional periods of the same duration as the initial term, unless either party requests termination in writing at least thirty (30) days prior to the end of the initial service term. The subscription revenues are recognized ratably over the term of the service agreement, which is considered an output method, as the obligation of hosting the SaaS product is fulfilled over the course of the agreement. The Company does not charge for implementation or recognize any revenues upfront due to minimal effort required. There are no financing components and payments are typically net 30 of date of receipt of invoice, or typically net 90 date of receipt of invoice for customers on multi-year subscription agreement contracts. It is nearly 100% certain that a significant revenue reversal will not occur.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Vidello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Vidello product is a video hosting and marketing platform designed to help businesses manage, customize, and optimize their video content. Revenue is generated through Vidello providing video hosting and marketing platform subscription software service for a set period of time. Customer contracting is achieved via self-service and invoicing is initiated automatically once the customer accepts the terms and conditions on the platform, based on their selection of the desired subscription product. When execution or completion of the contract occurs, the contract is valid and revenue is earned when the service is provided for each period of performance, daily. The amount is paid by the customer based on the contract terms monthly, annually or indefinite with the majority paid via credit card processing.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Service Trade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one customer for which the customer is also a vendor. For this one customer, the Company exchanged services for approximately $125,000 and $239,000, during the years ended December 31, 2025 and 2024,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Disaggregation of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revenue by region based on the billing address of customers for the years ended December 31, 2025 and 2024:</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Summary of Revenue by Region</w:t>
      </w:r>
    </w:p>
    <w:tbl>
      <w:tblPr>
        <w:tblW w:w="10205" w:type="dxa"/>
        <w:jc w:val="left"/>
        <w:tblInd w:w="0" w:type="dxa"/>
        <w:tblLayout w:type="fixed"/>
        <w:tblCellMar>
          <w:top w:w="0" w:type="dxa"/>
          <w:left w:w="0" w:type="dxa"/>
          <w:bottom w:w="0" w:type="dxa"/>
          <w:right w:w="0" w:type="dxa"/>
        </w:tblCellMar>
      </w:tblPr>
      <w:tblGrid>
        <w:gridCol w:w="3059"/>
        <w:gridCol w:w="60"/>
        <w:gridCol w:w="140"/>
        <w:gridCol w:w="1100"/>
        <w:gridCol w:w="60"/>
        <w:gridCol w:w="60"/>
        <w:gridCol w:w="270"/>
        <w:gridCol w:w="1719"/>
        <w:gridCol w:w="215"/>
        <w:gridCol w:w="60"/>
        <w:gridCol w:w="140"/>
        <w:gridCol w:w="980"/>
        <w:gridCol w:w="60"/>
        <w:gridCol w:w="60"/>
        <w:gridCol w:w="270"/>
        <w:gridCol w:w="1719"/>
        <w:gridCol w:w="233"/>
      </w:tblGrid>
      <w:tr>
        <w:trPr/>
        <w:tc>
          <w:tcPr>
            <w:tcW w:w="305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853"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Year Ended December 31,</w:t>
            </w:r>
          </w:p>
        </w:tc>
        <w:tc>
          <w:tcPr>
            <w:tcW w:w="233" w:type="dxa"/>
            <w:tcBorders/>
            <w:vAlign w:val="center"/>
          </w:tcPr>
          <w:p>
            <w:pPr>
              <w:pStyle w:val="TableContents"/>
              <w:bidi w:val="0"/>
              <w:spacing w:before="0" w:after="283"/>
              <w:jc w:val="left"/>
              <w:rPr/>
            </w:pPr>
            <w:r>
              <w:rPr/>
              <w:t> </w:t>
            </w:r>
          </w:p>
        </w:tc>
      </w:tr>
      <w:tr>
        <w:trPr/>
        <w:tc>
          <w:tcPr>
            <w:tcW w:w="305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349"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29"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233" w:type="dxa"/>
            <w:tcBorders/>
            <w:vAlign w:val="center"/>
          </w:tcPr>
          <w:p>
            <w:pPr>
              <w:pStyle w:val="TableContents"/>
              <w:bidi w:val="0"/>
              <w:spacing w:before="0" w:after="283"/>
              <w:jc w:val="left"/>
              <w:rPr/>
            </w:pPr>
            <w:r>
              <w:rPr/>
              <w:t> </w:t>
            </w:r>
          </w:p>
        </w:tc>
      </w:tr>
      <w:tr>
        <w:trPr/>
        <w:tc>
          <w:tcPr>
            <w:tcW w:w="305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8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Percentage of Revenue</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8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Percentage of Revenue</w:t>
            </w:r>
          </w:p>
        </w:tc>
        <w:tc>
          <w:tcPr>
            <w:tcW w:w="233" w:type="dxa"/>
            <w:tcBorders/>
            <w:vAlign w:val="center"/>
          </w:tcPr>
          <w:p>
            <w:pPr>
              <w:pStyle w:val="TableContents"/>
              <w:bidi w:val="0"/>
              <w:spacing w:before="0" w:after="283"/>
              <w:jc w:val="left"/>
              <w:rPr/>
            </w:pPr>
            <w:r>
              <w:rPr/>
              <w:t> </w:t>
            </w:r>
          </w:p>
        </w:tc>
      </w:tr>
      <w:tr>
        <w:trPr/>
        <w:tc>
          <w:tcPr>
            <w:tcW w:w="305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Americas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9,193,173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pPr>
            <w:r>
              <w:rPr/>
              <w:t> </w:t>
            </w:r>
          </w:p>
        </w:tc>
        <w:tc>
          <w:tcPr>
            <w:tcW w:w="171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76</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2,564,074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pPr>
            <w:r>
              <w:rPr/>
              <w:t> </w:t>
            </w:r>
          </w:p>
        </w:tc>
        <w:tc>
          <w:tcPr>
            <w:tcW w:w="171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w:t>
            </w:r>
          </w:p>
        </w:tc>
        <w:tc>
          <w:tcPr>
            <w:tcW w:w="23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05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Europe, Middle East and Africa (EMEA)</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1,066,254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171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w:t>
            </w:r>
          </w:p>
        </w:tc>
        <w:tc>
          <w:tcPr>
            <w:tcW w:w="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1,492,561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171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w:t>
            </w:r>
          </w:p>
        </w:tc>
        <w:tc>
          <w:tcPr>
            <w:tcW w:w="23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05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Asia Pacific</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1,901,992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1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471,244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1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w:t>
            </w:r>
          </w:p>
        </w:tc>
        <w:tc>
          <w:tcPr>
            <w:tcW w:w="23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05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12,161,419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71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w:t>
            </w:r>
          </w:p>
        </w:tc>
        <w:tc>
          <w:tcPr>
            <w:tcW w:w="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4,527,879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71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w:t>
            </w:r>
          </w:p>
        </w:tc>
        <w:tc>
          <w:tcPr>
            <w:tcW w:w="23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Contract Balances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Accounts Receivable,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receivable is recorded when an unconditional right to invoice and receive payment exists, such that only the passage of time is required before payment of consideration is due. The Company receives payments from customers based upon agreed-upon contractual terms, typically within 30 days of invoicing the customer. The timing of revenue recognition may differ from the timing of invoicing to customers.</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accounts receivable, net as of the dates presented:</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Summary of Accounts Receivable, Net</w:t>
      </w:r>
    </w:p>
    <w:tbl>
      <w:tblPr>
        <w:tblW w:w="3990" w:type="dxa"/>
        <w:jc w:val="left"/>
        <w:tblInd w:w="0" w:type="dxa"/>
        <w:tblLayout w:type="fixed"/>
        <w:tblCellMar>
          <w:top w:w="0" w:type="dxa"/>
          <w:left w:w="0" w:type="dxa"/>
          <w:bottom w:w="0" w:type="dxa"/>
          <w:right w:w="0" w:type="dxa"/>
        </w:tblCellMar>
      </w:tblPr>
      <w:tblGrid>
        <w:gridCol w:w="2915"/>
        <w:gridCol w:w="60"/>
        <w:gridCol w:w="140"/>
        <w:gridCol w:w="800"/>
        <w:gridCol w:w="75"/>
      </w:tblGrid>
      <w:tr>
        <w:trPr/>
        <w:tc>
          <w:tcPr>
            <w:tcW w:w="29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 January 1, 2024</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105,049</w:t>
            </w:r>
          </w:p>
        </w:tc>
        <w:tc>
          <w:tcPr>
            <w:tcW w:w="75" w:type="dxa"/>
            <w:tcBorders/>
            <w:shd w:fill="CCEEFF" w:val="clear"/>
            <w:vAlign w:val="center"/>
          </w:tcPr>
          <w:p>
            <w:pPr>
              <w:pStyle w:val="TableContents"/>
              <w:bidi w:val="0"/>
              <w:spacing w:before="0" w:after="283"/>
              <w:jc w:val="left"/>
              <w:rPr/>
            </w:pPr>
            <w:r>
              <w:rPr/>
              <w:t> </w:t>
            </w:r>
          </w:p>
        </w:tc>
      </w:tr>
      <w:tr>
        <w:trPr/>
        <w:tc>
          <w:tcPr>
            <w:tcW w:w="29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 December 31, 2024</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936,321</w:t>
            </w:r>
          </w:p>
        </w:tc>
        <w:tc>
          <w:tcPr>
            <w:tcW w:w="75" w:type="dxa"/>
            <w:tcBorders/>
            <w:shd w:fill="FFFFFF" w:val="clear"/>
            <w:vAlign w:val="center"/>
          </w:tcPr>
          <w:p>
            <w:pPr>
              <w:pStyle w:val="TableContents"/>
              <w:bidi w:val="0"/>
              <w:spacing w:before="0" w:after="283"/>
              <w:jc w:val="left"/>
              <w:rPr/>
            </w:pPr>
            <w:r>
              <w:rPr/>
              <w:t> </w:t>
            </w:r>
          </w:p>
        </w:tc>
      </w:tr>
      <w:tr>
        <w:trPr/>
        <w:tc>
          <w:tcPr>
            <w:tcW w:w="29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 December 31, 2025</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709,203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Costs to Obtain a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expenses were $466,951 and $193,995 for the years ended December 31, 2025 and 2024, respectively. The following summarizes the activity related to costs to obtain a contract during the years ended December 31, 2025 and 2024:</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Summary of Activity Related to Costs to Obtain Contract </w:t>
      </w:r>
    </w:p>
    <w:tbl>
      <w:tblPr>
        <w:tblW w:w="4430" w:type="dxa"/>
        <w:jc w:val="left"/>
        <w:tblInd w:w="0" w:type="dxa"/>
        <w:tblLayout w:type="fixed"/>
        <w:tblCellMar>
          <w:top w:w="0" w:type="dxa"/>
          <w:left w:w="0" w:type="dxa"/>
          <w:bottom w:w="0" w:type="dxa"/>
          <w:right w:w="0" w:type="dxa"/>
        </w:tblCellMar>
      </w:tblPr>
      <w:tblGrid>
        <w:gridCol w:w="3245"/>
        <w:gridCol w:w="60"/>
        <w:gridCol w:w="140"/>
        <w:gridCol w:w="875"/>
        <w:gridCol w:w="110"/>
      </w:tblGrid>
      <w:tr>
        <w:trPr/>
        <w:tc>
          <w:tcPr>
            <w:tcW w:w="32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 December 31, 2023</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51,472</w:t>
            </w:r>
          </w:p>
        </w:tc>
        <w:tc>
          <w:tcPr>
            <w:tcW w:w="110" w:type="dxa"/>
            <w:tcBorders/>
            <w:shd w:fill="CCEEFF" w:val="clear"/>
            <w:vAlign w:val="center"/>
          </w:tcPr>
          <w:p>
            <w:pPr>
              <w:pStyle w:val="TableContents"/>
              <w:bidi w:val="0"/>
              <w:spacing w:before="0" w:after="283"/>
              <w:jc w:val="left"/>
              <w:rPr/>
            </w:pPr>
            <w:r>
              <w:rPr/>
              <w:t> </w:t>
            </w:r>
          </w:p>
        </w:tc>
      </w:tr>
      <w:tr>
        <w:trPr/>
        <w:tc>
          <w:tcPr>
            <w:tcW w:w="324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Commissions incurred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180,141</w:t>
            </w:r>
          </w:p>
        </w:tc>
        <w:tc>
          <w:tcPr>
            <w:tcW w:w="110" w:type="dxa"/>
            <w:tcBorders/>
            <w:shd w:fill="FFFFFF" w:val="clear"/>
            <w:vAlign w:val="center"/>
          </w:tcPr>
          <w:p>
            <w:pPr>
              <w:pStyle w:val="TableContents"/>
              <w:bidi w:val="0"/>
              <w:spacing w:before="0" w:after="283"/>
              <w:jc w:val="left"/>
              <w:rPr/>
            </w:pPr>
            <w:r>
              <w:rPr/>
              <w:t> </w:t>
            </w:r>
          </w:p>
        </w:tc>
      </w:tr>
      <w:tr>
        <w:trPr/>
        <w:tc>
          <w:tcPr>
            <w:tcW w:w="32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commissions recognized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(200,109</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24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 December 31, 2024</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31,504</w:t>
            </w:r>
          </w:p>
        </w:tc>
        <w:tc>
          <w:tcPr>
            <w:tcW w:w="110" w:type="dxa"/>
            <w:tcBorders/>
            <w:shd w:fill="FFFFFF" w:val="clear"/>
            <w:vAlign w:val="center"/>
          </w:tcPr>
          <w:p>
            <w:pPr>
              <w:pStyle w:val="TableContents"/>
              <w:bidi w:val="0"/>
              <w:spacing w:before="0" w:after="283"/>
              <w:jc w:val="left"/>
              <w:rPr/>
            </w:pPr>
            <w:r>
              <w:rPr/>
              <w:t> </w:t>
            </w:r>
          </w:p>
        </w:tc>
      </w:tr>
      <w:tr>
        <w:trPr/>
        <w:tc>
          <w:tcPr>
            <w:tcW w:w="32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Commissions incurred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286,311</w:t>
            </w:r>
          </w:p>
        </w:tc>
        <w:tc>
          <w:tcPr>
            <w:tcW w:w="110" w:type="dxa"/>
            <w:tcBorders/>
            <w:shd w:fill="CCEEFF" w:val="clear"/>
            <w:vAlign w:val="center"/>
          </w:tcPr>
          <w:p>
            <w:pPr>
              <w:pStyle w:val="TableContents"/>
              <w:bidi w:val="0"/>
              <w:spacing w:before="0" w:after="283"/>
              <w:jc w:val="left"/>
              <w:rPr/>
            </w:pPr>
            <w:r>
              <w:rPr/>
              <w:t> </w:t>
            </w:r>
          </w:p>
        </w:tc>
      </w:tr>
      <w:tr>
        <w:trPr/>
        <w:tc>
          <w:tcPr>
            <w:tcW w:w="324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commissions recognized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(221,609</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2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 December 31, 2025</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7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96,206</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Deferred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Deferred revenue represents amounts that have been collected in advance of revenue recognition and is recognized as revenue when transfer of control to customers has occurred or services have been provided. The deferred revenue balance does not represent the total contract value of annual or multi-year, non-cancelable revenue agreements. Differences between the revenue recognized per the below schedule, and the revenue recognized per the consolidated statement of operations, reflect amounts not recognized through the deferred revenue process, and which have been determined to be insignificant. For the year ended December 31, 2025 and the year ended December 31, 2024, the Company recognized $3,867,853 and </w:t>
      </w:r>
      <w:r>
        <w:rPr>
          <w:rFonts w:ascii="Times New Roman;Times;Serif" w:hAnsi="Times New Roman;Times;Serif"/>
          <w:b w:val="false"/>
          <w:i w:val="false"/>
          <w:caps w:val="false"/>
          <w:smallCaps w:val="false"/>
          <w:sz w:val="20"/>
          <w:shd w:fill="FFFFFF" w:val="clear"/>
        </w:rPr>
        <w:t>$1,214,096</w:t>
      </w:r>
      <w:r>
        <w:rPr>
          <w:rFonts w:ascii="Times New Roman;Times;Serif" w:hAnsi="Times New Roman;Times;Serif"/>
          <w:b w:val="false"/>
          <w:i w:val="false"/>
          <w:caps w:val="false"/>
          <w:smallCaps w:val="false"/>
          <w:sz w:val="20"/>
        </w:rPr>
        <w:t xml:space="preserve"> in revenue that was included in the prior year deferred revenue balance,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change in total deferred revenue was as follows for the periods indicated: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Summary of Changes in Total Deferred Revenue </w:t>
      </w:r>
    </w:p>
    <w:tbl>
      <w:tblPr>
        <w:tblW w:w="9372" w:type="dxa"/>
        <w:jc w:val="left"/>
        <w:tblInd w:w="0" w:type="dxa"/>
        <w:tblLayout w:type="fixed"/>
        <w:tblCellMar>
          <w:top w:w="0" w:type="dxa"/>
          <w:left w:w="0" w:type="dxa"/>
          <w:bottom w:w="0" w:type="dxa"/>
          <w:right w:w="0" w:type="dxa"/>
        </w:tblCellMar>
      </w:tblPr>
      <w:tblGrid>
        <w:gridCol w:w="6485"/>
        <w:gridCol w:w="60"/>
        <w:gridCol w:w="149"/>
        <w:gridCol w:w="1127"/>
        <w:gridCol w:w="101"/>
        <w:gridCol w:w="64"/>
        <w:gridCol w:w="149"/>
        <w:gridCol w:w="1127"/>
        <w:gridCol w:w="110"/>
      </w:tblGrid>
      <w:tr>
        <w:trPr/>
        <w:tc>
          <w:tcPr>
            <w:tcW w:w="64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127" w:type="dxa"/>
            <w:tcBorders/>
            <w:shd w:fill="FFFFFF" w:val="clear"/>
            <w:vAlign w:val="center"/>
          </w:tcPr>
          <w:p>
            <w:pPr>
              <w:pStyle w:val="TableContents"/>
              <w:bidi w:val="0"/>
              <w:spacing w:before="0" w:after="283"/>
              <w:jc w:val="right"/>
              <w:rPr/>
            </w:pPr>
            <w:r>
              <w:rPr/>
              <w:t> </w:t>
            </w:r>
          </w:p>
        </w:tc>
        <w:tc>
          <w:tcPr>
            <w:tcW w:w="101"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127"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4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717"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Year Ended December 31,</w:t>
            </w:r>
          </w:p>
        </w:tc>
        <w:tc>
          <w:tcPr>
            <w:tcW w:w="110" w:type="dxa"/>
            <w:tcBorders/>
            <w:vAlign w:val="center"/>
          </w:tcPr>
          <w:p>
            <w:pPr>
              <w:pStyle w:val="TableContents"/>
              <w:bidi w:val="0"/>
              <w:spacing w:before="0" w:after="283"/>
              <w:jc w:val="left"/>
              <w:rPr/>
            </w:pPr>
            <w:r>
              <w:rPr/>
              <w:t> </w:t>
            </w:r>
          </w:p>
        </w:tc>
      </w:tr>
      <w:tr>
        <w:trPr/>
        <w:tc>
          <w:tcPr>
            <w:tcW w:w="6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7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01"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27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10" w:type="dxa"/>
            <w:tcBorders/>
            <w:vAlign w:val="center"/>
          </w:tcPr>
          <w:p>
            <w:pPr>
              <w:pStyle w:val="TableContents"/>
              <w:bidi w:val="0"/>
              <w:spacing w:before="0" w:after="283"/>
              <w:jc w:val="left"/>
              <w:rPr/>
            </w:pPr>
            <w:r>
              <w:rPr/>
              <w:t> </w:t>
            </w:r>
          </w:p>
        </w:tc>
      </w:tr>
      <w:tr>
        <w:trPr/>
        <w:tc>
          <w:tcPr>
            <w:tcW w:w="64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deferred revenue, beginning of period</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2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4,052,270</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2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1,214,096</w:t>
            </w:r>
          </w:p>
        </w:tc>
        <w:tc>
          <w:tcPr>
            <w:tcW w:w="110" w:type="dxa"/>
            <w:tcBorders/>
            <w:shd w:fill="CCEEFF" w:val="clear"/>
            <w:vAlign w:val="center"/>
          </w:tcPr>
          <w:p>
            <w:pPr>
              <w:pStyle w:val="TableContents"/>
              <w:bidi w:val="0"/>
              <w:spacing w:before="0" w:after="283"/>
              <w:jc w:val="left"/>
              <w:rPr/>
            </w:pPr>
            <w:r>
              <w:rPr/>
              <w:t> </w:t>
            </w:r>
          </w:p>
        </w:tc>
      </w:tr>
      <w:tr>
        <w:trPr/>
        <w:tc>
          <w:tcPr>
            <w:tcW w:w="64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Billings</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12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9,487,029</w:t>
            </w:r>
          </w:p>
        </w:tc>
        <w:tc>
          <w:tcPr>
            <w:tcW w:w="101"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12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4,362,730</w:t>
            </w:r>
          </w:p>
        </w:tc>
        <w:tc>
          <w:tcPr>
            <w:tcW w:w="110" w:type="dxa"/>
            <w:tcBorders/>
            <w:shd w:fill="FFFFFF" w:val="clear"/>
            <w:vAlign w:val="center"/>
          </w:tcPr>
          <w:p>
            <w:pPr>
              <w:pStyle w:val="TableContents"/>
              <w:bidi w:val="0"/>
              <w:spacing w:before="0" w:after="283"/>
              <w:jc w:val="left"/>
              <w:rPr/>
            </w:pPr>
            <w:r>
              <w:rPr/>
              <w:t> </w:t>
            </w:r>
          </w:p>
        </w:tc>
      </w:tr>
      <w:tr>
        <w:trPr/>
        <w:tc>
          <w:tcPr>
            <w:tcW w:w="64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Revenue recognized (prior year deferred revenue)</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12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(3,867,853</w:t>
            </w:r>
          </w:p>
        </w:tc>
        <w:tc>
          <w:tcPr>
            <w:tcW w:w="10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4"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12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(1,214,096</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4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Revenue recognized (current year deferred revenue)</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12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(6,383,159</w:t>
            </w:r>
          </w:p>
        </w:tc>
        <w:tc>
          <w:tcPr>
            <w:tcW w:w="10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4"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12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(3,091,333</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4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Acquired deferred revenue of OpenReel (see Note 4 – Acquisitions)</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127" w:type="dxa"/>
            <w:tcBorders/>
            <w:shd w:fill="CCEEFF" w:val="clear"/>
            <w:vAlign w:val="center"/>
          </w:tcPr>
          <w:p>
            <w:pPr>
              <w:pStyle w:val="TableContents"/>
              <w:bidi w:val="0"/>
              <w:spacing w:before="0" w:after="283"/>
              <w:jc w:val="right"/>
              <w:rPr/>
            </w:pPr>
            <w:r>
              <w:rPr/>
              <w:t>—</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12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2,780,873</w:t>
            </w:r>
          </w:p>
        </w:tc>
        <w:tc>
          <w:tcPr>
            <w:tcW w:w="110" w:type="dxa"/>
            <w:tcBorders/>
            <w:shd w:fill="CCEEFF" w:val="clear"/>
            <w:vAlign w:val="center"/>
          </w:tcPr>
          <w:p>
            <w:pPr>
              <w:pStyle w:val="TableContents"/>
              <w:bidi w:val="0"/>
              <w:spacing w:before="0" w:after="283"/>
              <w:jc w:val="left"/>
              <w:rPr/>
            </w:pPr>
            <w:r>
              <w:rPr/>
              <w:t> </w:t>
            </w:r>
          </w:p>
        </w:tc>
      </w:tr>
      <w:tr>
        <w:trPr/>
        <w:tc>
          <w:tcPr>
            <w:tcW w:w="64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Acquired deferred revenue of Vidello (see Note 4 – Acquisitions)</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2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447,966</w:t>
            </w:r>
          </w:p>
        </w:tc>
        <w:tc>
          <w:tcPr>
            <w:tcW w:w="101"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4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2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64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deferred revenue, end of period</w:t>
            </w:r>
          </w:p>
        </w:tc>
        <w:tc>
          <w:tcPr>
            <w:tcW w:w="60" w:type="dxa"/>
            <w:tcBorders/>
            <w:shd w:fill="CCEEFF" w:val="clear"/>
            <w:vAlign w:val="center"/>
          </w:tcPr>
          <w:p>
            <w:pPr>
              <w:pStyle w:val="TableContents"/>
              <w:bidi w:val="0"/>
              <w:spacing w:before="0" w:after="283"/>
              <w:jc w:val="left"/>
              <w:rPr/>
            </w:pPr>
            <w:r>
              <w:rPr/>
              <w:t> </w:t>
            </w:r>
          </w:p>
        </w:tc>
        <w:tc>
          <w:tcPr>
            <w:tcW w:w="14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2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3,736,253</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4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2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4,052,270</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 Fair Value Measurements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measurements discussed herein are based upon certain market assumptions and pertinent information available to management as of and during the periods ended December 31, 2025 and the year ended December 31, 2024. The carrying amount of accounts payable approximated fair value as they are short term in nature.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Fair Value on a Recurring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follows the guidance in FASB ASC 820, </w:t>
      </w:r>
      <w:r>
        <w:rPr>
          <w:rFonts w:ascii="Times New Roman;Times;Serif" w:hAnsi="Times New Roman;Times;Serif"/>
          <w:b w:val="false"/>
          <w:i/>
          <w:caps w:val="false"/>
          <w:smallCaps w:val="false"/>
          <w:sz w:val="20"/>
        </w:rPr>
        <w:t>Fair Value Measurement</w:t>
      </w:r>
      <w:r>
        <w:rPr>
          <w:rFonts w:ascii="Times New Roman;Times;Serif" w:hAnsi="Times New Roman;Times;Serif"/>
          <w:b w:val="false"/>
          <w:i w:val="false"/>
          <w:caps w:val="false"/>
          <w:smallCaps w:val="false"/>
          <w:sz w:val="20"/>
        </w:rPr>
        <w:t xml:space="preserve"> for its financial assets and liabilities that are re-measured and reported at fair value at each reporting period, and non-financial assets and liabilities that are re-measured and reported at fair value at least annually. The estimated fair value of the Public Warrants liabilities represent Level 1 measurements. The estimated fair value of the convertible notes bifurcated embedded derivative asset, GEM warrant liabilities, Yorkville convertible note, Agile term notes, 1800 Diagonal convertible notes, Private Placement Convertible Notes, Private Placement Warrants and Goodwill and Definite-lived intangible assets recognized as part of acquisitions, represent Level 3 measurements.</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information about the Company’s financial instruments that are measured at fair value on a recurring basis at December 31, 2025 and December 31, 2024, and indicates the fair value hierarchy of the valuation inputs the Company utilized to determine such fair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Fair Value on Recurring Basis </w:t>
      </w:r>
    </w:p>
    <w:tbl>
      <w:tblPr>
        <w:tblW w:w="8400" w:type="dxa"/>
        <w:jc w:val="left"/>
        <w:tblInd w:w="0" w:type="dxa"/>
        <w:tblLayout w:type="fixed"/>
        <w:tblCellMar>
          <w:top w:w="0" w:type="dxa"/>
          <w:left w:w="0" w:type="dxa"/>
          <w:bottom w:w="28" w:type="dxa"/>
          <w:right w:w="0" w:type="dxa"/>
        </w:tblCellMar>
      </w:tblPr>
      <w:tblGrid>
        <w:gridCol w:w="4970"/>
        <w:gridCol w:w="60"/>
        <w:gridCol w:w="575"/>
        <w:gridCol w:w="60"/>
        <w:gridCol w:w="60"/>
        <w:gridCol w:w="140"/>
        <w:gridCol w:w="1100"/>
        <w:gridCol w:w="60"/>
        <w:gridCol w:w="60"/>
        <w:gridCol w:w="140"/>
        <w:gridCol w:w="1100"/>
        <w:gridCol w:w="75"/>
      </w:tblGrid>
      <w:tr>
        <w:trPr/>
        <w:tc>
          <w:tcPr>
            <w:tcW w:w="4970" w:type="dxa"/>
            <w:tcBorders>
              <w:bottom w:val="single" w:sz="8"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Description</w:t>
            </w:r>
          </w:p>
        </w:tc>
        <w:tc>
          <w:tcPr>
            <w:tcW w:w="60" w:type="dxa"/>
            <w:tcBorders/>
            <w:tcMar>
              <w:bottom w:w="0" w:type="dxa"/>
            </w:tcMar>
            <w:vAlign w:val="center"/>
          </w:tcPr>
          <w:p>
            <w:pPr>
              <w:pStyle w:val="TableContents"/>
              <w:bidi w:val="0"/>
              <w:spacing w:before="0" w:after="283"/>
              <w:jc w:val="left"/>
              <w:rPr/>
            </w:pPr>
            <w:r>
              <w:rPr/>
              <w:t> </w:t>
            </w:r>
          </w:p>
        </w:tc>
        <w:tc>
          <w:tcPr>
            <w:tcW w:w="575" w:type="dxa"/>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Level</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4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4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75" w:type="dxa"/>
            <w:tcBorders/>
            <w:tcMar>
              <w:bottom w:w="0" w:type="dxa"/>
            </w:tcMar>
            <w:vAlign w:val="center"/>
          </w:tcPr>
          <w:p>
            <w:pPr>
              <w:pStyle w:val="TableContents"/>
              <w:bidi w:val="0"/>
              <w:spacing w:before="0" w:after="283"/>
              <w:jc w:val="left"/>
              <w:rPr/>
            </w:pPr>
            <w:r>
              <w:rPr/>
              <w:t> </w:t>
            </w:r>
          </w:p>
        </w:tc>
      </w:tr>
      <w:tr>
        <w:trPr/>
        <w:tc>
          <w:tcPr>
            <w:tcW w:w="497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7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600" w:type="dxa"/>
            <w:gridSpan w:val="6"/>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 of December 31,</w:t>
            </w:r>
          </w:p>
        </w:tc>
        <w:tc>
          <w:tcPr>
            <w:tcW w:w="75" w:type="dxa"/>
            <w:tcBorders/>
            <w:tcMar>
              <w:bottom w:w="0" w:type="dxa"/>
            </w:tcMar>
            <w:vAlign w:val="center"/>
          </w:tcPr>
          <w:p>
            <w:pPr>
              <w:pStyle w:val="TableContents"/>
              <w:bidi w:val="0"/>
              <w:spacing w:before="0" w:after="283"/>
              <w:jc w:val="left"/>
              <w:rPr/>
            </w:pPr>
            <w:r>
              <w:rPr/>
              <w:t> </w:t>
            </w:r>
          </w:p>
        </w:tc>
      </w:tr>
      <w:tr>
        <w:trPr/>
        <w:tc>
          <w:tcPr>
            <w:tcW w:w="4970" w:type="dxa"/>
            <w:tcBorders>
              <w:bottom w:val="single" w:sz="8"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Description</w:t>
            </w:r>
          </w:p>
        </w:tc>
        <w:tc>
          <w:tcPr>
            <w:tcW w:w="60" w:type="dxa"/>
            <w:tcBorders/>
            <w:tcMar>
              <w:bottom w:w="0" w:type="dxa"/>
            </w:tcMar>
            <w:vAlign w:val="center"/>
          </w:tcPr>
          <w:p>
            <w:pPr>
              <w:pStyle w:val="TableContents"/>
              <w:bidi w:val="0"/>
              <w:spacing w:before="0" w:after="283"/>
              <w:jc w:val="left"/>
              <w:rPr/>
            </w:pPr>
            <w:r>
              <w:rPr/>
              <w:t> </w:t>
            </w:r>
          </w:p>
        </w:tc>
        <w:tc>
          <w:tcPr>
            <w:tcW w:w="575" w:type="dxa"/>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Level</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4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4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75" w:type="dxa"/>
            <w:tcBorders/>
            <w:tcMar>
              <w:bottom w:w="0" w:type="dxa"/>
            </w:tcMar>
            <w:vAlign w:val="center"/>
          </w:tcPr>
          <w:p>
            <w:pPr>
              <w:pStyle w:val="TableContents"/>
              <w:bidi w:val="0"/>
              <w:spacing w:before="0" w:after="283"/>
              <w:jc w:val="left"/>
              <w:rPr/>
            </w:pPr>
            <w:r>
              <w:rPr/>
              <w:t> </w:t>
            </w:r>
          </w:p>
        </w:tc>
      </w:tr>
      <w:tr>
        <w:trPr/>
        <w:tc>
          <w:tcPr>
            <w:tcW w:w="497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575"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97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Bifurcated embedded derivative asset – related party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575"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63,000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497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Definite-lived intangibles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575"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8,027,391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3,883,853</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97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Goodwill</w:t>
            </w:r>
          </w:p>
        </w:tc>
        <w:tc>
          <w:tcPr>
            <w:tcW w:w="60" w:type="dxa"/>
            <w:tcBorders/>
            <w:shd w:fill="FFFFFF" w:val="clear"/>
            <w:tcMar>
              <w:bottom w:w="0" w:type="dxa"/>
            </w:tcMar>
            <w:vAlign w:val="center"/>
          </w:tcPr>
          <w:p>
            <w:pPr>
              <w:pStyle w:val="TableContents"/>
              <w:bidi w:val="0"/>
              <w:spacing w:before="0" w:after="283"/>
              <w:jc w:val="left"/>
              <w:rPr/>
            </w:pPr>
            <w:r>
              <w:rPr/>
              <w:t> </w:t>
            </w:r>
          </w:p>
        </w:tc>
        <w:tc>
          <w:tcPr>
            <w:tcW w:w="575"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21,991,721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18,972,475</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497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575"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97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Warrant liabilities – public</w:t>
            </w:r>
          </w:p>
        </w:tc>
        <w:tc>
          <w:tcPr>
            <w:tcW w:w="60" w:type="dxa"/>
            <w:tcBorders/>
            <w:shd w:fill="FFFFFF" w:val="clear"/>
            <w:tcMar>
              <w:bottom w:w="0" w:type="dxa"/>
            </w:tcMar>
            <w:vAlign w:val="center"/>
          </w:tcPr>
          <w:p>
            <w:pPr>
              <w:pStyle w:val="TableContents"/>
              <w:bidi w:val="0"/>
              <w:spacing w:before="0" w:after="283"/>
              <w:jc w:val="left"/>
              <w:rPr/>
            </w:pPr>
            <w:r>
              <w:rPr/>
              <w:t> </w:t>
            </w:r>
          </w:p>
        </w:tc>
        <w:tc>
          <w:tcPr>
            <w:tcW w:w="575"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497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GEM warrant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575"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97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Earnout liability (</w:t>
            </w:r>
            <w:r>
              <w:rPr>
                <w:rFonts w:ascii="Times New Roman;Times;Serif" w:hAnsi="Times New Roman;Times;Serif"/>
                <w:i/>
                <w:sz w:val="20"/>
              </w:rPr>
              <w:t>Note 4</w:t>
            </w: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575"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990,673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497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Yorkville convertible note</w:t>
            </w:r>
          </w:p>
        </w:tc>
        <w:tc>
          <w:tcPr>
            <w:tcW w:w="60" w:type="dxa"/>
            <w:tcBorders/>
            <w:shd w:fill="CCEEFF" w:val="clear"/>
            <w:tcMar>
              <w:bottom w:w="0" w:type="dxa"/>
            </w:tcMar>
            <w:vAlign w:val="center"/>
          </w:tcPr>
          <w:p>
            <w:pPr>
              <w:pStyle w:val="TableContents"/>
              <w:bidi w:val="0"/>
              <w:spacing w:before="0" w:after="283"/>
              <w:jc w:val="left"/>
              <w:rPr/>
            </w:pPr>
            <w:r>
              <w:rPr/>
              <w:t> </w:t>
            </w:r>
          </w:p>
        </w:tc>
        <w:tc>
          <w:tcPr>
            <w:tcW w:w="575"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1,200,501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97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Agile term notes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575"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1,728,487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3,143,000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497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1800 Diagonal convertible notes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575"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746,987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432,000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97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Private Placement Convertible Notes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575"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1,856,000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497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Private Placement Warrants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575"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295,603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97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Boot Capital note</w:t>
            </w:r>
          </w:p>
        </w:tc>
        <w:tc>
          <w:tcPr>
            <w:tcW w:w="60" w:type="dxa"/>
            <w:tcBorders/>
            <w:shd w:fill="FFFFFF" w:val="clear"/>
            <w:tcMar>
              <w:bottom w:w="0" w:type="dxa"/>
            </w:tcMar>
            <w:vAlign w:val="center"/>
          </w:tcPr>
          <w:p>
            <w:pPr>
              <w:pStyle w:val="TableContents"/>
              <w:bidi w:val="0"/>
              <w:spacing w:before="0" w:after="283"/>
              <w:jc w:val="left"/>
              <w:rPr/>
            </w:pPr>
            <w:r>
              <w:rPr/>
              <w:t> </w:t>
            </w:r>
          </w:p>
        </w:tc>
        <w:tc>
          <w:tcPr>
            <w:tcW w:w="575"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115,836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assets and liabilities that are measured at fair value on the acquisition date, see </w:t>
      </w:r>
      <w:r>
        <w:rPr>
          <w:rFonts w:ascii="Times New Roman;Times;Serif" w:hAnsi="Times New Roman;Times;Serif"/>
          <w:b w:val="false"/>
          <w:i/>
          <w:caps w:val="false"/>
          <w:smallCaps w:val="false"/>
          <w:sz w:val="20"/>
        </w:rPr>
        <w:t>Note 4 – Acquisitions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Warrant Liability - Public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table summarizes the changes in the fair value of the Public Warrants liability for the year ended December 31, 2025. See also </w:t>
      </w:r>
      <w:r>
        <w:rPr>
          <w:rFonts w:ascii="Times New Roman;Times;Serif" w:hAnsi="Times New Roman;Times;Serif"/>
          <w:b w:val="false"/>
          <w:i/>
          <w:caps w:val="false"/>
          <w:smallCaps w:val="false"/>
          <w:sz w:val="20"/>
        </w:rPr>
        <w:t>Note 13 – Warrant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Summary of Changes in the Fair Value of the Warrants Liability</w:t>
      </w:r>
    </w:p>
    <w:tbl>
      <w:tblPr>
        <w:tblW w:w="4844" w:type="dxa"/>
        <w:jc w:val="left"/>
        <w:tblInd w:w="0" w:type="dxa"/>
        <w:tblLayout w:type="fixed"/>
        <w:tblCellMar>
          <w:top w:w="0" w:type="dxa"/>
          <w:left w:w="0" w:type="dxa"/>
          <w:bottom w:w="0" w:type="dxa"/>
          <w:right w:w="0" w:type="dxa"/>
        </w:tblCellMar>
      </w:tblPr>
      <w:tblGrid>
        <w:gridCol w:w="2960"/>
        <w:gridCol w:w="60"/>
        <w:gridCol w:w="309"/>
        <w:gridCol w:w="1405"/>
        <w:gridCol w:w="110"/>
      </w:tblGrid>
      <w:tr>
        <w:trPr/>
        <w:tc>
          <w:tcPr>
            <w:tcW w:w="29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71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Public Warrants</w:t>
            </w:r>
          </w:p>
        </w:tc>
        <w:tc>
          <w:tcPr>
            <w:tcW w:w="110" w:type="dxa"/>
            <w:tcBorders/>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at December 31, 2024</w:t>
            </w:r>
          </w:p>
        </w:tc>
        <w:tc>
          <w:tcPr>
            <w:tcW w:w="60" w:type="dxa"/>
            <w:tcBorders/>
            <w:shd w:fill="CCEEFF" w:val="clear"/>
            <w:vAlign w:val="center"/>
          </w:tcPr>
          <w:p>
            <w:pPr>
              <w:pStyle w:val="TableContents"/>
              <w:bidi w:val="0"/>
              <w:spacing w:before="0" w:after="283"/>
              <w:jc w:val="left"/>
              <w:rPr/>
            </w:pPr>
            <w:r>
              <w:rPr/>
              <w:t> </w:t>
            </w:r>
          </w:p>
        </w:tc>
        <w:tc>
          <w:tcPr>
            <w:tcW w:w="30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2,300</w:t>
            </w:r>
          </w:p>
        </w:tc>
        <w:tc>
          <w:tcPr>
            <w:tcW w:w="110" w:type="dxa"/>
            <w:tcBorders/>
            <w:shd w:fill="CCEE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w:t>
            </w:r>
          </w:p>
        </w:tc>
        <w:tc>
          <w:tcPr>
            <w:tcW w:w="60" w:type="dxa"/>
            <w:tcBorders/>
            <w:shd w:fill="FFFFFF" w:val="clear"/>
            <w:vAlign w:val="center"/>
          </w:tcPr>
          <w:p>
            <w:pPr>
              <w:pStyle w:val="TableContents"/>
              <w:bidi w:val="0"/>
              <w:spacing w:before="0" w:after="283"/>
              <w:jc w:val="left"/>
              <w:rPr/>
            </w:pPr>
            <w:r>
              <w:rPr/>
              <w:t> </w:t>
            </w:r>
          </w:p>
        </w:tc>
        <w:tc>
          <w:tcPr>
            <w:tcW w:w="30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(2,300</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9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at December 31, 2025</w:t>
            </w:r>
          </w:p>
        </w:tc>
        <w:tc>
          <w:tcPr>
            <w:tcW w:w="60" w:type="dxa"/>
            <w:tcBorders/>
            <w:shd w:fill="CCEEFF" w:val="clear"/>
            <w:vAlign w:val="center"/>
          </w:tcPr>
          <w:p>
            <w:pPr>
              <w:pStyle w:val="TableContents"/>
              <w:bidi w:val="0"/>
              <w:spacing w:before="0" w:after="283"/>
              <w:jc w:val="left"/>
              <w:rPr/>
            </w:pPr>
            <w:r>
              <w:rPr/>
              <w:t> </w:t>
            </w:r>
          </w:p>
        </w:tc>
        <w:tc>
          <w:tcPr>
            <w:tcW w:w="30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05"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Warrant Liability - GEM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measurement of fair value of the GEM Warrants was determined utilizing a Monte Carlo simulation considering all relevant assumptions current at the date of issuance, including share price, exercise price, term, volatility, risk-free rate, probability of dilutive term of three years, and expected time to conversion. See also </w:t>
      </w:r>
      <w:r>
        <w:rPr>
          <w:rFonts w:ascii="Times New Roman;Times;Serif" w:hAnsi="Times New Roman;Times;Serif"/>
          <w:b w:val="false"/>
          <w:i/>
          <w:caps w:val="false"/>
          <w:smallCaps w:val="false"/>
          <w:sz w:val="20"/>
        </w:rPr>
        <w:t>Note 13 – Warrant Liabilities.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changes in the fair value of the GEM Warrants liability for the year ended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Summary of Changes in the Fair Value of the Warrants Liability</w:t>
      </w:r>
    </w:p>
    <w:tbl>
      <w:tblPr>
        <w:tblW w:w="4769" w:type="dxa"/>
        <w:jc w:val="left"/>
        <w:tblInd w:w="0" w:type="dxa"/>
        <w:tblLayout w:type="fixed"/>
        <w:tblCellMar>
          <w:top w:w="0" w:type="dxa"/>
          <w:left w:w="0" w:type="dxa"/>
          <w:bottom w:w="0" w:type="dxa"/>
          <w:right w:w="0" w:type="dxa"/>
        </w:tblCellMar>
      </w:tblPr>
      <w:tblGrid>
        <w:gridCol w:w="2960"/>
        <w:gridCol w:w="60"/>
        <w:gridCol w:w="254"/>
        <w:gridCol w:w="1385"/>
        <w:gridCol w:w="110"/>
      </w:tblGrid>
      <w:tr>
        <w:trPr/>
        <w:tc>
          <w:tcPr>
            <w:tcW w:w="29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6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GEM Warrants</w:t>
            </w:r>
          </w:p>
        </w:tc>
        <w:tc>
          <w:tcPr>
            <w:tcW w:w="110" w:type="dxa"/>
            <w:tcBorders/>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at December 31, 2024</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8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15,000</w:t>
            </w:r>
          </w:p>
        </w:tc>
        <w:tc>
          <w:tcPr>
            <w:tcW w:w="110" w:type="dxa"/>
            <w:tcBorders/>
            <w:shd w:fill="CCEE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w:t>
            </w:r>
          </w:p>
        </w:tc>
        <w:tc>
          <w:tcPr>
            <w:tcW w:w="60" w:type="dxa"/>
            <w:tcBorders/>
            <w:shd w:fill="FFFFFF" w:val="clear"/>
            <w:vAlign w:val="center"/>
          </w:tcPr>
          <w:p>
            <w:pPr>
              <w:pStyle w:val="TableContents"/>
              <w:bidi w:val="0"/>
              <w:spacing w:before="0" w:after="283"/>
              <w:jc w:val="left"/>
              <w:rPr/>
            </w:pPr>
            <w:r>
              <w:rPr/>
              <w:t> </w:t>
            </w:r>
          </w:p>
        </w:tc>
        <w:tc>
          <w:tcPr>
            <w:tcW w:w="25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(14,622</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9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at December 31, 2025</w:t>
            </w:r>
          </w:p>
        </w:tc>
        <w:tc>
          <w:tcPr>
            <w:tcW w:w="60" w:type="dxa"/>
            <w:tcBorders/>
            <w:shd w:fill="CCEEFF" w:val="clear"/>
            <w:vAlign w:val="center"/>
          </w:tcPr>
          <w:p>
            <w:pPr>
              <w:pStyle w:val="TableContents"/>
              <w:bidi w:val="0"/>
              <w:spacing w:before="0" w:after="283"/>
              <w:jc w:val="left"/>
              <w:rPr/>
            </w:pPr>
            <w:r>
              <w:rPr/>
              <w:t> </w:t>
            </w:r>
          </w:p>
        </w:tc>
        <w:tc>
          <w:tcPr>
            <w:tcW w:w="25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8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378</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Yorkville Convertible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measurement of fair value of the Yorkville convertible notes were determined utilizing a Monte Carlo simulation considering all relevant assumptions current at the date of issuance, including the Company’s share price, remaining term, volatility, risk-free rate, market interest rate, and probability of optional redemption). See also </w:t>
      </w:r>
      <w:r>
        <w:rPr>
          <w:rFonts w:ascii="Times New Roman;Times;Serif" w:hAnsi="Times New Roman;Times;Serif"/>
          <w:b w:val="false"/>
          <w:i/>
          <w:caps w:val="false"/>
          <w:smallCaps w:val="false"/>
          <w:sz w:val="20"/>
        </w:rPr>
        <w:t>Note 12 – Debt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changes in the fair value of the Yorkville convertible notes for the year ended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Summary of Changes in Fair Value of Yorkville Convertible Note</w:t>
      </w:r>
    </w:p>
    <w:tbl>
      <w:tblPr>
        <w:tblW w:w="8084" w:type="dxa"/>
        <w:jc w:val="left"/>
        <w:tblInd w:w="0" w:type="dxa"/>
        <w:tblLayout w:type="fixed"/>
        <w:tblCellMar>
          <w:top w:w="0" w:type="dxa"/>
          <w:left w:w="0" w:type="dxa"/>
          <w:bottom w:w="0" w:type="dxa"/>
          <w:right w:w="0" w:type="dxa"/>
        </w:tblCellMar>
      </w:tblPr>
      <w:tblGrid>
        <w:gridCol w:w="5150"/>
        <w:gridCol w:w="60"/>
        <w:gridCol w:w="321"/>
        <w:gridCol w:w="2443"/>
        <w:gridCol w:w="110"/>
      </w:tblGrid>
      <w:tr>
        <w:trPr/>
        <w:tc>
          <w:tcPr>
            <w:tcW w:w="51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76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Yorkville Convertible Note</w:t>
            </w:r>
          </w:p>
        </w:tc>
        <w:tc>
          <w:tcPr>
            <w:tcW w:w="110" w:type="dxa"/>
            <w:tcBorders/>
            <w:vAlign w:val="center"/>
          </w:tcPr>
          <w:p>
            <w:pPr>
              <w:pStyle w:val="TableContents"/>
              <w:bidi w:val="0"/>
              <w:spacing w:before="0" w:after="283"/>
              <w:jc w:val="left"/>
              <w:rPr/>
            </w:pPr>
            <w:r>
              <w:rPr/>
              <w:t> </w:t>
            </w:r>
          </w:p>
        </w:tc>
      </w:tr>
      <w:tr>
        <w:trPr/>
        <w:tc>
          <w:tcPr>
            <w:tcW w:w="51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at December 31, 2024</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2443"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51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Yorkville convertible note</w:t>
            </w:r>
          </w:p>
        </w:tc>
        <w:tc>
          <w:tcPr>
            <w:tcW w:w="60" w:type="dxa"/>
            <w:tcBorders/>
            <w:shd w:fill="FFFFFF" w:val="clear"/>
            <w:vAlign w:val="center"/>
          </w:tcPr>
          <w:p>
            <w:pPr>
              <w:pStyle w:val="TableContents"/>
              <w:bidi w:val="0"/>
              <w:spacing w:before="0" w:after="283"/>
              <w:jc w:val="left"/>
              <w:rPr/>
            </w:pPr>
            <w:r>
              <w:rPr/>
              <w:t> </w:t>
            </w:r>
          </w:p>
        </w:tc>
        <w:tc>
          <w:tcPr>
            <w:tcW w:w="321" w:type="dxa"/>
            <w:tcBorders/>
            <w:shd w:fill="FFFFFF" w:val="clear"/>
            <w:vAlign w:val="center"/>
          </w:tcPr>
          <w:p>
            <w:pPr>
              <w:pStyle w:val="TableContents"/>
              <w:bidi w:val="0"/>
              <w:spacing w:before="0" w:after="283"/>
              <w:jc w:val="left"/>
              <w:rPr/>
            </w:pPr>
            <w:r>
              <w:rPr/>
              <w:t> </w:t>
            </w:r>
          </w:p>
        </w:tc>
        <w:tc>
          <w:tcPr>
            <w:tcW w:w="244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4,950,000</w:t>
            </w:r>
          </w:p>
        </w:tc>
        <w:tc>
          <w:tcPr>
            <w:tcW w:w="110" w:type="dxa"/>
            <w:tcBorders/>
            <w:shd w:fill="FFFFFF" w:val="clear"/>
            <w:vAlign w:val="center"/>
          </w:tcPr>
          <w:p>
            <w:pPr>
              <w:pStyle w:val="TableContents"/>
              <w:bidi w:val="0"/>
              <w:spacing w:before="0" w:after="283"/>
              <w:jc w:val="left"/>
              <w:rPr/>
            </w:pPr>
            <w:r>
              <w:rPr/>
              <w:t> </w:t>
            </w:r>
          </w:p>
        </w:tc>
      </w:tr>
      <w:tr>
        <w:trPr/>
        <w:tc>
          <w:tcPr>
            <w:tcW w:w="51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debt issuance</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pPr>
            <w:r>
              <w:rPr/>
              <w:t> </w:t>
            </w:r>
          </w:p>
        </w:tc>
        <w:tc>
          <w:tcPr>
            <w:tcW w:w="244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444,000</w:t>
            </w:r>
          </w:p>
        </w:tc>
        <w:tc>
          <w:tcPr>
            <w:tcW w:w="110" w:type="dxa"/>
            <w:tcBorders/>
            <w:shd w:fill="CCEEFF" w:val="clear"/>
            <w:vAlign w:val="center"/>
          </w:tcPr>
          <w:p>
            <w:pPr>
              <w:pStyle w:val="TableContents"/>
              <w:bidi w:val="0"/>
              <w:spacing w:before="0" w:after="283"/>
              <w:jc w:val="left"/>
              <w:rPr/>
            </w:pPr>
            <w:r>
              <w:rPr/>
              <w:t> </w:t>
            </w:r>
          </w:p>
        </w:tc>
      </w:tr>
      <w:tr>
        <w:trPr/>
        <w:tc>
          <w:tcPr>
            <w:tcW w:w="51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Payment in shares to settle Yorkville convertible notes</w:t>
            </w:r>
          </w:p>
        </w:tc>
        <w:tc>
          <w:tcPr>
            <w:tcW w:w="60" w:type="dxa"/>
            <w:tcBorders/>
            <w:shd w:fill="FFFFFF" w:val="clear"/>
            <w:vAlign w:val="center"/>
          </w:tcPr>
          <w:p>
            <w:pPr>
              <w:pStyle w:val="TableContents"/>
              <w:bidi w:val="0"/>
              <w:spacing w:before="0" w:after="283"/>
              <w:jc w:val="left"/>
              <w:rPr/>
            </w:pPr>
            <w:r>
              <w:rPr/>
              <w:t> </w:t>
            </w:r>
          </w:p>
        </w:tc>
        <w:tc>
          <w:tcPr>
            <w:tcW w:w="321" w:type="dxa"/>
            <w:tcBorders/>
            <w:shd w:fill="FFFFFF" w:val="clear"/>
            <w:vAlign w:val="center"/>
          </w:tcPr>
          <w:p>
            <w:pPr>
              <w:pStyle w:val="TableContents"/>
              <w:bidi w:val="0"/>
              <w:spacing w:before="0" w:after="283"/>
              <w:jc w:val="left"/>
              <w:rPr/>
            </w:pPr>
            <w:r>
              <w:rPr/>
              <w:t> </w:t>
            </w:r>
          </w:p>
        </w:tc>
        <w:tc>
          <w:tcPr>
            <w:tcW w:w="2443"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51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Repayment in cash of Yorkville convertible notes</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pPr>
            <w:r>
              <w:rPr/>
              <w:t> </w:t>
            </w:r>
          </w:p>
        </w:tc>
        <w:tc>
          <w:tcPr>
            <w:tcW w:w="244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(4,514,664</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1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Conversions</w:t>
            </w:r>
          </w:p>
        </w:tc>
        <w:tc>
          <w:tcPr>
            <w:tcW w:w="60" w:type="dxa"/>
            <w:tcBorders/>
            <w:shd w:fill="FFFFFF" w:val="clear"/>
            <w:vAlign w:val="center"/>
          </w:tcPr>
          <w:p>
            <w:pPr>
              <w:pStyle w:val="TableContents"/>
              <w:bidi w:val="0"/>
              <w:spacing w:before="0" w:after="283"/>
              <w:jc w:val="left"/>
              <w:rPr/>
            </w:pPr>
            <w:r>
              <w:rPr/>
              <w:t> </w:t>
            </w:r>
          </w:p>
        </w:tc>
        <w:tc>
          <w:tcPr>
            <w:tcW w:w="321" w:type="dxa"/>
            <w:tcBorders/>
            <w:shd w:fill="FFFFFF" w:val="clear"/>
            <w:vAlign w:val="center"/>
          </w:tcPr>
          <w:p>
            <w:pPr>
              <w:pStyle w:val="TableContents"/>
              <w:bidi w:val="0"/>
              <w:spacing w:before="0" w:after="283"/>
              <w:jc w:val="left"/>
              <w:rPr/>
            </w:pPr>
            <w:r>
              <w:rPr/>
              <w:t> </w:t>
            </w:r>
          </w:p>
        </w:tc>
        <w:tc>
          <w:tcPr>
            <w:tcW w:w="2443"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51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w:t>
            </w:r>
          </w:p>
        </w:tc>
        <w:tc>
          <w:tcPr>
            <w:tcW w:w="60" w:type="dxa"/>
            <w:tcBorders/>
            <w:shd w:fill="CCEEFF" w:val="clear"/>
            <w:vAlign w:val="center"/>
          </w:tcPr>
          <w:p>
            <w:pPr>
              <w:pStyle w:val="TableContents"/>
              <w:bidi w:val="0"/>
              <w:spacing w:before="0" w:after="283"/>
              <w:jc w:val="left"/>
              <w:rPr/>
            </w:pPr>
            <w:r>
              <w:rPr/>
              <w:t> </w:t>
            </w:r>
          </w:p>
        </w:tc>
        <w:tc>
          <w:tcPr>
            <w:tcW w:w="32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44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321,165</w:t>
            </w:r>
          </w:p>
        </w:tc>
        <w:tc>
          <w:tcPr>
            <w:tcW w:w="110" w:type="dxa"/>
            <w:tcBorders/>
            <w:shd w:fill="CCEEFF" w:val="clear"/>
            <w:vAlign w:val="center"/>
          </w:tcPr>
          <w:p>
            <w:pPr>
              <w:pStyle w:val="TableContents"/>
              <w:bidi w:val="0"/>
              <w:spacing w:before="0" w:after="283"/>
              <w:jc w:val="left"/>
              <w:rPr/>
            </w:pPr>
            <w:r>
              <w:rPr/>
              <w:t> </w:t>
            </w:r>
          </w:p>
        </w:tc>
      </w:tr>
      <w:tr>
        <w:trPr/>
        <w:tc>
          <w:tcPr>
            <w:tcW w:w="51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at December 31, 2025</w:t>
            </w:r>
          </w:p>
        </w:tc>
        <w:tc>
          <w:tcPr>
            <w:tcW w:w="60" w:type="dxa"/>
            <w:tcBorders/>
            <w:shd w:fill="FFFFFF" w:val="clear"/>
            <w:vAlign w:val="center"/>
          </w:tcPr>
          <w:p>
            <w:pPr>
              <w:pStyle w:val="TableContents"/>
              <w:bidi w:val="0"/>
              <w:spacing w:before="0" w:after="283"/>
              <w:jc w:val="left"/>
              <w:rPr/>
            </w:pPr>
            <w:r>
              <w:rPr/>
              <w:t> </w:t>
            </w:r>
          </w:p>
        </w:tc>
        <w:tc>
          <w:tcPr>
            <w:tcW w:w="32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244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1,200,501</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Bifurcated Embedded Derivative Assets - related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measurement of the fair value of the embedded put options relating to the related party CP BF Convertible Note issued on September 23, 2024 was determined using the Black-Scholes option pricing model. Key inputs into these models included the timing and probability of the identified scenarios, and for Black-Scholes option pricing models used for notes that included a valuation cap, equity values, risk-free rate and volatility.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Estimating fair values of embedded conversion features requires the development of significant and subjective estimates that may, and are likely to, change over the duration of the instrument with related changes in internal and external market factors. Because the embedded conversion features are initially and subsequently carried at fair values, the Company’s consolidated statements of operations will reflect the volatility in these estimate and assumption changes.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related party CP BF Convertible Note has an embedded redemption put feature upon a Prepayment and Default Interest triggering events that are unrelated to the creditworthiness of the Company are not clearly and closely related to the debt host instrument, were separated and bundled together as a derivative and assigned probabilities of being affected and initially measured at fair value in the amount of $12,000. The fair value of the bifurcated derivative asset was estimated utilizing the with and without method which uses the probability weighted difference between the scenarios with the derivative and the plain vanilla maturity scenario without a derivative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changes in the fair value of the bifurcated embedded derivative asset for the year ended December 31, 2025, relating to the Convertible Note to CP BF issued on September 23,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Derivate Assets</w:t>
      </w:r>
    </w:p>
    <w:tbl>
      <w:tblPr>
        <w:tblW w:w="4244" w:type="dxa"/>
        <w:jc w:val="left"/>
        <w:tblInd w:w="0" w:type="dxa"/>
        <w:tblLayout w:type="fixed"/>
        <w:tblCellMar>
          <w:top w:w="0" w:type="dxa"/>
          <w:left w:w="0" w:type="dxa"/>
          <w:bottom w:w="0" w:type="dxa"/>
          <w:right w:w="0" w:type="dxa"/>
        </w:tblCellMar>
      </w:tblPr>
      <w:tblGrid>
        <w:gridCol w:w="2960"/>
        <w:gridCol w:w="60"/>
        <w:gridCol w:w="174"/>
        <w:gridCol w:w="940"/>
        <w:gridCol w:w="110"/>
      </w:tblGrid>
      <w:tr>
        <w:trPr/>
        <w:tc>
          <w:tcPr>
            <w:tcW w:w="29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1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Fair Value</w:t>
            </w:r>
          </w:p>
        </w:tc>
        <w:tc>
          <w:tcPr>
            <w:tcW w:w="110" w:type="dxa"/>
            <w:tcBorders/>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at December 31, 2024</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4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63,000</w:t>
            </w:r>
          </w:p>
        </w:tc>
        <w:tc>
          <w:tcPr>
            <w:tcW w:w="110" w:type="dxa"/>
            <w:tcBorders/>
            <w:shd w:fill="CCEE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w:t>
            </w:r>
          </w:p>
        </w:tc>
        <w:tc>
          <w:tcPr>
            <w:tcW w:w="60" w:type="dxa"/>
            <w:tcBorders/>
            <w:shd w:fill="FFFFFF" w:val="clear"/>
            <w:vAlign w:val="center"/>
          </w:tcPr>
          <w:p>
            <w:pPr>
              <w:pStyle w:val="TableContents"/>
              <w:bidi w:val="0"/>
              <w:spacing w:before="0" w:after="283"/>
              <w:jc w:val="left"/>
              <w:rPr/>
            </w:pPr>
            <w:r>
              <w:rPr/>
              <w:t> </w:t>
            </w:r>
          </w:p>
        </w:tc>
        <w:tc>
          <w:tcPr>
            <w:tcW w:w="17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4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(54,000</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9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at December 31, 2025</w:t>
            </w:r>
          </w:p>
        </w:tc>
        <w:tc>
          <w:tcPr>
            <w:tcW w:w="60" w:type="dxa"/>
            <w:tcBorders/>
            <w:shd w:fill="CCEEFF" w:val="clear"/>
            <w:vAlign w:val="center"/>
          </w:tcPr>
          <w:p>
            <w:pPr>
              <w:pStyle w:val="TableContents"/>
              <w:bidi w:val="0"/>
              <w:spacing w:before="0" w:after="283"/>
              <w:jc w:val="left"/>
              <w:rPr/>
            </w:pPr>
            <w:r>
              <w:rPr/>
              <w:t> </w:t>
            </w:r>
          </w:p>
        </w:tc>
        <w:tc>
          <w:tcPr>
            <w:tcW w:w="17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4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9,000</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Agile Term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measurement of fair value of the Agile term notes (“Agile Notes”) was determined using a discounted cash flow model to calculate the fair value. Key inputs for the discounted cash flow model include the contractual term of the note and a market participant interest 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Agile Notes include contingent redemption (put) rights which trigger mandatory prepayment and a make-whole premium upon certain events including an event of default, and defaulted contingent interest upon an event of default. Due to the contingent redemption put feature and default interest embedded feature within the Agile Notes, the Company elected the fair value option for the Agile Notes at their respective dates of issuance pursuant to ASC 825 </w:t>
      </w:r>
      <w:r>
        <w:rPr>
          <w:rFonts w:ascii="Times New Roman;Times;Serif" w:hAnsi="Times New Roman;Times;Serif"/>
          <w:b w:val="false"/>
          <w:i/>
          <w:caps w:val="false"/>
          <w:smallCaps w:val="false"/>
          <w:sz w:val="20"/>
        </w:rPr>
        <w:t>Financial Instruments</w:t>
      </w:r>
      <w:r>
        <w:rPr>
          <w:rFonts w:ascii="Times New Roman;Times;Serif" w:hAnsi="Times New Roman;Times;Serif"/>
          <w:b w:val="false"/>
          <w:i w:val="false"/>
          <w:caps w:val="false"/>
          <w:smallCaps w:val="false"/>
          <w:sz w:val="20"/>
        </w:rPr>
        <w:t xml:space="preserve"> (“ASC 825”).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Refer to </w:t>
      </w:r>
      <w:r>
        <w:rPr>
          <w:rFonts w:ascii="Times New Roman;Times;Serif" w:hAnsi="Times New Roman;Times;Serif"/>
          <w:b w:val="false"/>
          <w:i/>
          <w:caps w:val="false"/>
          <w:smallCaps w:val="false"/>
          <w:sz w:val="20"/>
        </w:rPr>
        <w:t>Note 12 – Debt</w:t>
      </w:r>
      <w:r>
        <w:rPr>
          <w:rFonts w:ascii="Times New Roman;Times;Serif" w:hAnsi="Times New Roman;Times;Serif"/>
          <w:b w:val="false"/>
          <w:i w:val="false"/>
          <w:caps w:val="false"/>
          <w:smallCaps w:val="false"/>
          <w:sz w:val="20"/>
        </w:rPr>
        <w:t xml:space="preserve"> for a summary of the changes in the fair value of the Agile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1800 Diagonal Convertible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measurement of the fair value of each of the convertible promissory notes with 1800 Diagonal Lending was determined using the Black-Scholes option pricing model. Key inputs used for the model include the stock price, volatility, the contractual term of the note, risk-free interest rates and dividend yield.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Refer to </w:t>
      </w:r>
      <w:r>
        <w:rPr>
          <w:rFonts w:ascii="Times New Roman;Times;Serif" w:hAnsi="Times New Roman;Times;Serif"/>
          <w:b w:val="false"/>
          <w:i/>
          <w:caps w:val="false"/>
          <w:smallCaps w:val="false"/>
          <w:sz w:val="20"/>
        </w:rPr>
        <w:t>Note 12 – Debt</w:t>
      </w:r>
      <w:r>
        <w:rPr>
          <w:rFonts w:ascii="Times New Roman;Times;Serif" w:hAnsi="Times New Roman;Times;Serif"/>
          <w:b w:val="false"/>
          <w:i w:val="false"/>
          <w:caps w:val="false"/>
          <w:smallCaps w:val="false"/>
          <w:sz w:val="20"/>
        </w:rPr>
        <w:t xml:space="preserve"> for a summary of the changes in the fair value of the 1800 Diagonal Convertible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3i, LP Private Placement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measurement of the fair value of the Private Placement Convertible Notes was determined using a Monte Carlo simulation. Key inputs into the simulation include the remaining term, the market interest rate, risk-free rate, equity volatility, and probability of default.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Refer to </w:t>
      </w:r>
      <w:r>
        <w:rPr>
          <w:rFonts w:ascii="Times New Roman;Times;Serif" w:hAnsi="Times New Roman;Times;Serif"/>
          <w:b w:val="false"/>
          <w:i/>
          <w:caps w:val="false"/>
          <w:smallCaps w:val="false"/>
          <w:sz w:val="20"/>
        </w:rPr>
        <w:t>Note 12 – Debt</w:t>
      </w:r>
      <w:r>
        <w:rPr>
          <w:rFonts w:ascii="Times New Roman;Times;Serif" w:hAnsi="Times New Roman;Times;Serif"/>
          <w:b w:val="false"/>
          <w:i w:val="false"/>
          <w:caps w:val="false"/>
          <w:smallCaps w:val="false"/>
          <w:sz w:val="20"/>
        </w:rPr>
        <w:t xml:space="preserve"> for a summary of the changes in the fair value of the Private Placement Convertible Notes, and to </w:t>
      </w:r>
      <w:r>
        <w:rPr>
          <w:rFonts w:ascii="Times New Roman;Times;Serif" w:hAnsi="Times New Roman;Times;Serif"/>
          <w:b w:val="false"/>
          <w:i/>
          <w:caps w:val="false"/>
          <w:smallCaps w:val="false"/>
          <w:sz w:val="20"/>
        </w:rPr>
        <w:t>Note 13 – Warrant Liabilities</w:t>
      </w:r>
      <w:r>
        <w:rPr>
          <w:rFonts w:ascii="Times New Roman;Times;Serif" w:hAnsi="Times New Roman;Times;Serif"/>
          <w:b w:val="false"/>
          <w:i w:val="false"/>
          <w:caps w:val="false"/>
          <w:smallCaps w:val="false"/>
          <w:sz w:val="20"/>
        </w:rPr>
        <w:t xml:space="preserve"> for a description of the warrants issued in connection with the Private Placement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Warrant Liability - Private Placement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Private Placement Warrants were not considered indexed to the issuer’s stock pursuant to ASC 815, as the holder’s ability to receive in lieu of the Warrant, cash in an amount equal to the Black Scholes Value (“Black Scholes Value”) in connection with a Change of Control, adjusts the settlement value based on items outside the Company’s control in violation of the fixed-for-fixed option pricing model. As such, the Company recorded the Warrants as liabilities initially measured at fair value with subsequent changes in fair value recognized in earnings each reporting period. Refer to </w:t>
      </w:r>
      <w:r>
        <w:rPr>
          <w:rFonts w:ascii="Times New Roman;Times;Serif" w:hAnsi="Times New Roman;Times;Serif"/>
          <w:b w:val="false"/>
          <w:i/>
          <w:caps w:val="false"/>
          <w:smallCaps w:val="false"/>
          <w:sz w:val="20"/>
        </w:rPr>
        <w:t>Note 13 – Warrant Liabilities</w:t>
      </w:r>
      <w:r>
        <w:rPr>
          <w:rFonts w:ascii="Times New Roman;Times;Serif" w:hAnsi="Times New Roman;Times;Serif"/>
          <w:b w:val="false"/>
          <w:i w:val="false"/>
          <w:caps w:val="false"/>
          <w:smallCaps w:val="false"/>
          <w:sz w:val="20"/>
        </w:rPr>
        <w:t xml:space="preserve"> for further details.</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measurement of fair value was determined utilizing a Monte Carlo simulation considering all relevant assumptions current at the date of issuance, including share price, term, risk-free rate, exercise price and dividend yield.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tables summarize the ranges of inputs to and the changes in the fair value of the Private Placement Warrant liability for the year ended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Summary of Ranges of Inputs in Fair Value of the Private Placement Warrant Liability</w:t>
      </w:r>
    </w:p>
    <w:tbl>
      <w:tblPr>
        <w:tblW w:w="4559" w:type="dxa"/>
        <w:jc w:val="left"/>
        <w:tblInd w:w="0" w:type="dxa"/>
        <w:tblLayout w:type="fixed"/>
        <w:tblCellMar>
          <w:top w:w="0" w:type="dxa"/>
          <w:left w:w="0" w:type="dxa"/>
          <w:bottom w:w="28" w:type="dxa"/>
          <w:right w:w="0" w:type="dxa"/>
        </w:tblCellMar>
      </w:tblPr>
      <w:tblGrid>
        <w:gridCol w:w="2315"/>
        <w:gridCol w:w="60"/>
        <w:gridCol w:w="203"/>
        <w:gridCol w:w="1751"/>
        <w:gridCol w:w="230"/>
      </w:tblGrid>
      <w:tr>
        <w:trPr/>
        <w:tc>
          <w:tcPr>
            <w:tcW w:w="2315" w:type="dxa"/>
            <w:tcBorders>
              <w:bottom w:val="single" w:sz="8"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Key Inputs</w:t>
            </w:r>
          </w:p>
        </w:tc>
        <w:tc>
          <w:tcPr>
            <w:tcW w:w="60" w:type="dxa"/>
            <w:tcBorders/>
            <w:tcMar>
              <w:bottom w:w="0" w:type="dxa"/>
            </w:tcMar>
            <w:vAlign w:val="center"/>
          </w:tcPr>
          <w:p>
            <w:pPr>
              <w:pStyle w:val="TableContents"/>
              <w:bidi w:val="0"/>
              <w:spacing w:before="0" w:after="283"/>
              <w:jc w:val="left"/>
              <w:rPr/>
            </w:pPr>
            <w:r>
              <w:rPr/>
              <w:t> </w:t>
            </w:r>
          </w:p>
        </w:tc>
        <w:tc>
          <w:tcPr>
            <w:tcW w:w="195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 2025</w:t>
            </w:r>
          </w:p>
        </w:tc>
        <w:tc>
          <w:tcPr>
            <w:tcW w:w="230" w:type="dxa"/>
            <w:tcBorders/>
            <w:tcMar>
              <w:bottom w:w="0" w:type="dxa"/>
            </w:tcMar>
            <w:vAlign w:val="center"/>
          </w:tcPr>
          <w:p>
            <w:pPr>
              <w:pStyle w:val="TableContents"/>
              <w:bidi w:val="0"/>
              <w:spacing w:before="0" w:after="283"/>
              <w:jc w:val="left"/>
              <w:rPr/>
            </w:pPr>
            <w:r>
              <w:rPr/>
              <w:t> </w:t>
            </w:r>
          </w:p>
        </w:tc>
      </w:tr>
      <w:tr>
        <w:trPr/>
        <w:tc>
          <w:tcPr>
            <w:tcW w:w="23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954" w:type="dxa"/>
            <w:gridSpan w:val="2"/>
            <w:tcBorders/>
            <w:tcMar>
              <w:bottom w:w="0" w:type="dxa"/>
            </w:tcMar>
            <w:vAlign w:val="center"/>
          </w:tcPr>
          <w:p>
            <w:pPr>
              <w:pStyle w:val="TableContents"/>
              <w:bidi w:val="0"/>
              <w:spacing w:before="0" w:after="283"/>
              <w:jc w:val="left"/>
              <w:rPr/>
            </w:pPr>
            <w:r>
              <w:rPr/>
              <w:t> </w:t>
            </w:r>
          </w:p>
        </w:tc>
        <w:tc>
          <w:tcPr>
            <w:tcW w:w="230" w:type="dxa"/>
            <w:tcBorders/>
            <w:tcMar>
              <w:bottom w:w="0" w:type="dxa"/>
            </w:tcMar>
            <w:vAlign w:val="center"/>
          </w:tcPr>
          <w:p>
            <w:pPr>
              <w:pStyle w:val="TableContents"/>
              <w:bidi w:val="0"/>
              <w:spacing w:before="0" w:after="283"/>
              <w:jc w:val="left"/>
              <w:rPr/>
            </w:pPr>
            <w:r>
              <w:rPr/>
              <w:t> </w:t>
            </w:r>
          </w:p>
        </w:tc>
      </w:tr>
      <w:tr>
        <w:trPr/>
        <w:tc>
          <w:tcPr>
            <w:tcW w:w="231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 price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3"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751"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0.97</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231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Contractual term (years)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3" w:type="dxa"/>
            <w:tcBorders/>
            <w:shd w:fill="FFFFFF" w:val="clear"/>
            <w:tcMar>
              <w:bottom w:w="0" w:type="dxa"/>
            </w:tcMar>
            <w:vAlign w:val="center"/>
          </w:tcPr>
          <w:p>
            <w:pPr>
              <w:pStyle w:val="TableContents"/>
              <w:bidi w:val="0"/>
              <w:spacing w:before="0" w:after="283"/>
              <w:jc w:val="left"/>
              <w:rPr/>
            </w:pPr>
            <w:r>
              <w:rPr/>
              <w:t> </w:t>
            </w:r>
          </w:p>
        </w:tc>
        <w:tc>
          <w:tcPr>
            <w:tcW w:w="1751"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2.50 - 4.77</w:t>
            </w:r>
          </w:p>
        </w:tc>
        <w:tc>
          <w:tcPr>
            <w:tcW w:w="230" w:type="dxa"/>
            <w:tcBorders/>
            <w:shd w:fill="FFFFFF" w:val="clear"/>
            <w:tcMar>
              <w:bottom w:w="0" w:type="dxa"/>
            </w:tcMar>
            <w:vAlign w:val="center"/>
          </w:tcPr>
          <w:p>
            <w:pPr>
              <w:pStyle w:val="TableContents"/>
              <w:bidi w:val="0"/>
              <w:spacing w:before="0" w:after="283"/>
              <w:jc w:val="left"/>
              <w:rPr/>
            </w:pPr>
            <w:r>
              <w:rPr/>
              <w:t> </w:t>
            </w:r>
          </w:p>
        </w:tc>
      </w:tr>
      <w:tr>
        <w:trPr/>
        <w:tc>
          <w:tcPr>
            <w:tcW w:w="231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Risk-free rate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3" w:type="dxa"/>
            <w:tcBorders/>
            <w:shd w:fill="CCEEFF" w:val="clear"/>
            <w:tcMar>
              <w:bottom w:w="0" w:type="dxa"/>
            </w:tcMar>
            <w:vAlign w:val="center"/>
          </w:tcPr>
          <w:p>
            <w:pPr>
              <w:pStyle w:val="TableContents"/>
              <w:bidi w:val="0"/>
              <w:spacing w:before="0" w:after="283"/>
              <w:jc w:val="left"/>
              <w:rPr/>
            </w:pPr>
            <w:r>
              <w:rPr/>
              <w:t> </w:t>
            </w:r>
          </w:p>
        </w:tc>
        <w:tc>
          <w:tcPr>
            <w:tcW w:w="1751"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 - 3.7%</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231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Volatility</w:t>
            </w:r>
            <w:r>
              <w:rPr>
                <w:rFonts w:ascii="Times New Roman;Times;Serif" w:hAnsi="Times New Roman;Times;Serif"/>
                <w:position w:val="8"/>
                <w:sz w:val="19"/>
              </w:rPr>
              <w:t>(1)</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3" w:type="dxa"/>
            <w:tcBorders/>
            <w:shd w:fill="FFFFFF" w:val="clear"/>
            <w:tcMar>
              <w:bottom w:w="0" w:type="dxa"/>
            </w:tcMar>
            <w:vAlign w:val="center"/>
          </w:tcPr>
          <w:p>
            <w:pPr>
              <w:pStyle w:val="TableContents"/>
              <w:bidi w:val="0"/>
              <w:spacing w:before="0" w:after="283"/>
              <w:jc w:val="left"/>
              <w:rPr/>
            </w:pPr>
            <w:r>
              <w:rPr/>
              <w:t> </w:t>
            </w:r>
          </w:p>
        </w:tc>
        <w:tc>
          <w:tcPr>
            <w:tcW w:w="1751"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125</w:t>
            </w:r>
          </w:p>
        </w:tc>
        <w:tc>
          <w:tcPr>
            <w:tcW w:w="23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31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Exercise Price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3" w:type="dxa"/>
            <w:tcBorders/>
            <w:shd w:fill="CCEEFF" w:val="clear"/>
            <w:tcMar>
              <w:bottom w:w="0" w:type="dxa"/>
            </w:tcMar>
            <w:vAlign w:val="center"/>
          </w:tcPr>
          <w:p>
            <w:pPr>
              <w:pStyle w:val="TableContents"/>
              <w:bidi w:val="0"/>
              <w:spacing w:before="0" w:after="283"/>
              <w:jc w:val="left"/>
              <w:rPr/>
            </w:pPr>
            <w:r>
              <w:rPr/>
              <w:t> </w:t>
            </w:r>
          </w:p>
        </w:tc>
        <w:tc>
          <w:tcPr>
            <w:tcW w:w="1751"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$2.50-$4.36</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231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Dividend yield</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3" w:type="dxa"/>
            <w:tcBorders/>
            <w:shd w:fill="FFFFFF" w:val="clear"/>
            <w:tcMar>
              <w:bottom w:w="0" w:type="dxa"/>
            </w:tcMar>
            <w:vAlign w:val="center"/>
          </w:tcPr>
          <w:p>
            <w:pPr>
              <w:pStyle w:val="TableContents"/>
              <w:bidi w:val="0"/>
              <w:spacing w:before="0" w:after="283"/>
              <w:jc w:val="left"/>
              <w:rPr/>
            </w:pPr>
            <w:r>
              <w:rPr/>
              <w:t> </w:t>
            </w:r>
          </w:p>
        </w:tc>
        <w:tc>
          <w:tcPr>
            <w:tcW w:w="1751"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0.00</w:t>
            </w:r>
          </w:p>
        </w:tc>
        <w:tc>
          <w:tcPr>
            <w:tcW w:w="23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Summary of Changes in Fair Value of Private Placement Warrant Liability</w:t>
      </w:r>
    </w:p>
    <w:tbl>
      <w:tblPr>
        <w:tblW w:w="6554" w:type="dxa"/>
        <w:jc w:val="left"/>
        <w:tblInd w:w="0" w:type="dxa"/>
        <w:tblLayout w:type="fixed"/>
        <w:tblCellMar>
          <w:top w:w="0" w:type="dxa"/>
          <w:left w:w="0" w:type="dxa"/>
          <w:bottom w:w="0" w:type="dxa"/>
          <w:right w:w="0" w:type="dxa"/>
        </w:tblCellMar>
      </w:tblPr>
      <w:tblGrid>
        <w:gridCol w:w="3470"/>
        <w:gridCol w:w="60"/>
        <w:gridCol w:w="341"/>
        <w:gridCol w:w="2573"/>
        <w:gridCol w:w="110"/>
      </w:tblGrid>
      <w:tr>
        <w:trPr/>
        <w:tc>
          <w:tcPr>
            <w:tcW w:w="34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91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Private Placement Warrants</w:t>
            </w:r>
          </w:p>
        </w:tc>
        <w:tc>
          <w:tcPr>
            <w:tcW w:w="110" w:type="dxa"/>
            <w:tcBorders/>
            <w:vAlign w:val="center"/>
          </w:tcPr>
          <w:p>
            <w:pPr>
              <w:pStyle w:val="TableContents"/>
              <w:bidi w:val="0"/>
              <w:spacing w:before="0" w:after="283"/>
              <w:jc w:val="left"/>
              <w:rPr/>
            </w:pPr>
            <w:r>
              <w:rPr/>
              <w:t> </w:t>
            </w:r>
          </w:p>
        </w:tc>
      </w:tr>
      <w:tr>
        <w:trPr/>
        <w:tc>
          <w:tcPr>
            <w:tcW w:w="34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at December 31, 2024</w:t>
            </w:r>
          </w:p>
        </w:tc>
        <w:tc>
          <w:tcPr>
            <w:tcW w:w="60" w:type="dxa"/>
            <w:tcBorders/>
            <w:shd w:fill="CCEEFF" w:val="clear"/>
            <w:vAlign w:val="center"/>
          </w:tcPr>
          <w:p>
            <w:pPr>
              <w:pStyle w:val="TableContents"/>
              <w:bidi w:val="0"/>
              <w:spacing w:before="0" w:after="283"/>
              <w:jc w:val="left"/>
              <w:rPr/>
            </w:pPr>
            <w:r>
              <w:rPr/>
              <w:t> </w:t>
            </w:r>
          </w:p>
        </w:tc>
        <w:tc>
          <w:tcPr>
            <w:tcW w:w="34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257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CCEEFF" w:val="clear"/>
            <w:vAlign w:val="center"/>
          </w:tcPr>
          <w:p>
            <w:pPr>
              <w:pStyle w:val="TableContents"/>
              <w:bidi w:val="0"/>
              <w:spacing w:before="0" w:after="283"/>
              <w:jc w:val="left"/>
              <w:rPr/>
            </w:pPr>
            <w:r>
              <w:rPr/>
              <w:t> </w:t>
            </w:r>
          </w:p>
        </w:tc>
      </w:tr>
      <w:tr>
        <w:trPr/>
        <w:tc>
          <w:tcPr>
            <w:tcW w:w="34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issuance – June Warrant</w:t>
            </w:r>
          </w:p>
        </w:tc>
        <w:tc>
          <w:tcPr>
            <w:tcW w:w="60" w:type="dxa"/>
            <w:tcBorders/>
            <w:shd w:fill="FFFFFF" w:val="clear"/>
            <w:vAlign w:val="center"/>
          </w:tcPr>
          <w:p>
            <w:pPr>
              <w:pStyle w:val="TableContents"/>
              <w:bidi w:val="0"/>
              <w:spacing w:before="0" w:after="283"/>
              <w:jc w:val="left"/>
              <w:rPr/>
            </w:pPr>
            <w:r>
              <w:rPr/>
              <w:t> </w:t>
            </w:r>
          </w:p>
        </w:tc>
        <w:tc>
          <w:tcPr>
            <w:tcW w:w="341" w:type="dxa"/>
            <w:tcBorders/>
            <w:shd w:fill="FFFFFF" w:val="clear"/>
            <w:vAlign w:val="center"/>
          </w:tcPr>
          <w:p>
            <w:pPr>
              <w:pStyle w:val="TableContents"/>
              <w:bidi w:val="0"/>
              <w:spacing w:before="0" w:after="283"/>
              <w:jc w:val="left"/>
              <w:rPr/>
            </w:pPr>
            <w:r>
              <w:rPr/>
              <w:t> </w:t>
            </w:r>
          </w:p>
        </w:tc>
        <w:tc>
          <w:tcPr>
            <w:tcW w:w="257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361,000</w:t>
            </w:r>
          </w:p>
        </w:tc>
        <w:tc>
          <w:tcPr>
            <w:tcW w:w="110" w:type="dxa"/>
            <w:tcBorders/>
            <w:shd w:fill="FFFFFF" w:val="clear"/>
            <w:vAlign w:val="center"/>
          </w:tcPr>
          <w:p>
            <w:pPr>
              <w:pStyle w:val="TableContents"/>
              <w:bidi w:val="0"/>
              <w:spacing w:before="0" w:after="283"/>
              <w:jc w:val="left"/>
              <w:rPr/>
            </w:pPr>
            <w:r>
              <w:rPr/>
              <w:t> </w:t>
            </w:r>
          </w:p>
        </w:tc>
      </w:tr>
      <w:tr>
        <w:trPr/>
        <w:tc>
          <w:tcPr>
            <w:tcW w:w="34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issuance – August Warrant</w:t>
            </w:r>
          </w:p>
        </w:tc>
        <w:tc>
          <w:tcPr>
            <w:tcW w:w="60" w:type="dxa"/>
            <w:tcBorders/>
            <w:shd w:fill="CCEEFF" w:val="clear"/>
            <w:vAlign w:val="center"/>
          </w:tcPr>
          <w:p>
            <w:pPr>
              <w:pStyle w:val="TableContents"/>
              <w:bidi w:val="0"/>
              <w:spacing w:before="0" w:after="283"/>
              <w:jc w:val="left"/>
              <w:rPr/>
            </w:pPr>
            <w:r>
              <w:rPr/>
              <w:t> </w:t>
            </w:r>
          </w:p>
        </w:tc>
        <w:tc>
          <w:tcPr>
            <w:tcW w:w="341" w:type="dxa"/>
            <w:tcBorders/>
            <w:shd w:fill="CCEEFF" w:val="clear"/>
            <w:vAlign w:val="center"/>
          </w:tcPr>
          <w:p>
            <w:pPr>
              <w:pStyle w:val="TableContents"/>
              <w:bidi w:val="0"/>
              <w:spacing w:before="0" w:after="283"/>
              <w:jc w:val="left"/>
              <w:rPr/>
            </w:pPr>
            <w:r>
              <w:rPr/>
              <w:t> </w:t>
            </w:r>
          </w:p>
        </w:tc>
        <w:tc>
          <w:tcPr>
            <w:tcW w:w="257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356,000</w:t>
            </w:r>
          </w:p>
        </w:tc>
        <w:tc>
          <w:tcPr>
            <w:tcW w:w="110" w:type="dxa"/>
            <w:tcBorders/>
            <w:shd w:fill="CCEEFF" w:val="clear"/>
            <w:vAlign w:val="center"/>
          </w:tcPr>
          <w:p>
            <w:pPr>
              <w:pStyle w:val="TableContents"/>
              <w:bidi w:val="0"/>
              <w:spacing w:before="0" w:after="283"/>
              <w:jc w:val="left"/>
              <w:rPr/>
            </w:pPr>
            <w:r>
              <w:rPr/>
              <w:t> </w:t>
            </w:r>
          </w:p>
        </w:tc>
      </w:tr>
      <w:tr>
        <w:trPr/>
        <w:tc>
          <w:tcPr>
            <w:tcW w:w="34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issuance – October Warrant</w:t>
            </w:r>
          </w:p>
        </w:tc>
        <w:tc>
          <w:tcPr>
            <w:tcW w:w="60" w:type="dxa"/>
            <w:tcBorders/>
            <w:shd w:fill="FFFFFF" w:val="clear"/>
            <w:vAlign w:val="center"/>
          </w:tcPr>
          <w:p>
            <w:pPr>
              <w:pStyle w:val="TableContents"/>
              <w:bidi w:val="0"/>
              <w:spacing w:before="0" w:after="283"/>
              <w:jc w:val="left"/>
              <w:rPr/>
            </w:pPr>
            <w:r>
              <w:rPr/>
              <w:t> </w:t>
            </w:r>
          </w:p>
        </w:tc>
        <w:tc>
          <w:tcPr>
            <w:tcW w:w="341" w:type="dxa"/>
            <w:tcBorders/>
            <w:shd w:fill="FFFFFF" w:val="clear"/>
            <w:vAlign w:val="center"/>
          </w:tcPr>
          <w:p>
            <w:pPr>
              <w:pStyle w:val="TableContents"/>
              <w:bidi w:val="0"/>
              <w:spacing w:before="0" w:after="283"/>
              <w:jc w:val="left"/>
              <w:rPr/>
            </w:pPr>
            <w:r>
              <w:rPr/>
              <w:t> </w:t>
            </w:r>
          </w:p>
        </w:tc>
        <w:tc>
          <w:tcPr>
            <w:tcW w:w="257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807,509</w:t>
            </w:r>
          </w:p>
        </w:tc>
        <w:tc>
          <w:tcPr>
            <w:tcW w:w="110" w:type="dxa"/>
            <w:tcBorders/>
            <w:shd w:fill="FFFFFF" w:val="clear"/>
            <w:vAlign w:val="center"/>
          </w:tcPr>
          <w:p>
            <w:pPr>
              <w:pStyle w:val="TableContents"/>
              <w:bidi w:val="0"/>
              <w:spacing w:before="0" w:after="283"/>
              <w:jc w:val="left"/>
              <w:rPr/>
            </w:pPr>
            <w:r>
              <w:rPr/>
              <w:t> </w:t>
            </w:r>
          </w:p>
        </w:tc>
      </w:tr>
      <w:tr>
        <w:trPr/>
        <w:tc>
          <w:tcPr>
            <w:tcW w:w="34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issuance</w:t>
            </w:r>
          </w:p>
        </w:tc>
        <w:tc>
          <w:tcPr>
            <w:tcW w:w="60" w:type="dxa"/>
            <w:tcBorders/>
            <w:shd w:fill="FFFFFF" w:val="clear"/>
            <w:vAlign w:val="center"/>
          </w:tcPr>
          <w:p>
            <w:pPr>
              <w:pStyle w:val="TableContents"/>
              <w:bidi w:val="0"/>
              <w:spacing w:before="0" w:after="283"/>
              <w:jc w:val="left"/>
              <w:rPr/>
            </w:pPr>
            <w:r>
              <w:rPr/>
              <w:t> </w:t>
            </w:r>
          </w:p>
        </w:tc>
        <w:tc>
          <w:tcPr>
            <w:tcW w:w="341" w:type="dxa"/>
            <w:tcBorders/>
            <w:shd w:fill="FFFFFF" w:val="clear"/>
            <w:vAlign w:val="center"/>
          </w:tcPr>
          <w:p>
            <w:pPr>
              <w:pStyle w:val="TableContents"/>
              <w:bidi w:val="0"/>
              <w:spacing w:before="0" w:after="283"/>
              <w:jc w:val="left"/>
              <w:rPr/>
            </w:pPr>
            <w:r>
              <w:rPr/>
              <w:t> </w:t>
            </w:r>
          </w:p>
        </w:tc>
        <w:tc>
          <w:tcPr>
            <w:tcW w:w="257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807,509</w:t>
            </w:r>
          </w:p>
        </w:tc>
        <w:tc>
          <w:tcPr>
            <w:tcW w:w="110" w:type="dxa"/>
            <w:tcBorders/>
            <w:shd w:fill="FFFFFF" w:val="clear"/>
            <w:vAlign w:val="center"/>
          </w:tcPr>
          <w:p>
            <w:pPr>
              <w:pStyle w:val="TableContents"/>
              <w:bidi w:val="0"/>
              <w:spacing w:before="0" w:after="283"/>
              <w:jc w:val="left"/>
              <w:rPr/>
            </w:pPr>
            <w:r>
              <w:rPr/>
              <w:t> </w:t>
            </w:r>
          </w:p>
        </w:tc>
      </w:tr>
      <w:tr>
        <w:trPr/>
        <w:tc>
          <w:tcPr>
            <w:tcW w:w="34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w:t>
            </w:r>
          </w:p>
        </w:tc>
        <w:tc>
          <w:tcPr>
            <w:tcW w:w="60" w:type="dxa"/>
            <w:tcBorders/>
            <w:shd w:fill="CCEEFF" w:val="clear"/>
            <w:vAlign w:val="center"/>
          </w:tcPr>
          <w:p>
            <w:pPr>
              <w:pStyle w:val="TableContents"/>
              <w:bidi w:val="0"/>
              <w:spacing w:before="0" w:after="283"/>
              <w:jc w:val="left"/>
              <w:rPr/>
            </w:pPr>
            <w:r>
              <w:rPr/>
              <w:t> </w:t>
            </w:r>
          </w:p>
        </w:tc>
        <w:tc>
          <w:tcPr>
            <w:tcW w:w="3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57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(1,228,906</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4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at December 31, 2025</w:t>
            </w:r>
          </w:p>
        </w:tc>
        <w:tc>
          <w:tcPr>
            <w:tcW w:w="60" w:type="dxa"/>
            <w:tcBorders/>
            <w:shd w:fill="FFFFFF" w:val="clear"/>
            <w:vAlign w:val="center"/>
          </w:tcPr>
          <w:p>
            <w:pPr>
              <w:pStyle w:val="TableContents"/>
              <w:bidi w:val="0"/>
              <w:spacing w:before="0" w:after="283"/>
              <w:jc w:val="left"/>
              <w:rPr/>
            </w:pPr>
            <w:r>
              <w:rPr/>
              <w:t> </w:t>
            </w:r>
          </w:p>
        </w:tc>
        <w:tc>
          <w:tcPr>
            <w:tcW w:w="34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257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295,603</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 Property and Equipment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net consisted of the following at the dates indicated: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Summary of Property and Equipment</w:t>
      </w:r>
    </w:p>
    <w:tbl>
      <w:tblPr>
        <w:tblW w:w="7223" w:type="dxa"/>
        <w:jc w:val="left"/>
        <w:tblInd w:w="0" w:type="dxa"/>
        <w:tblLayout w:type="fixed"/>
        <w:tblCellMar>
          <w:top w:w="0" w:type="dxa"/>
          <w:left w:w="0" w:type="dxa"/>
          <w:bottom w:w="0" w:type="dxa"/>
          <w:right w:w="0" w:type="dxa"/>
        </w:tblCellMar>
      </w:tblPr>
      <w:tblGrid>
        <w:gridCol w:w="2990"/>
        <w:gridCol w:w="60"/>
        <w:gridCol w:w="333"/>
        <w:gridCol w:w="1621"/>
        <w:gridCol w:w="95"/>
        <w:gridCol w:w="60"/>
        <w:gridCol w:w="305"/>
        <w:gridCol w:w="1649"/>
        <w:gridCol w:w="110"/>
      </w:tblGrid>
      <w:tr>
        <w:trPr/>
        <w:tc>
          <w:tcPr>
            <w:tcW w:w="29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9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 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 2024</w:t>
            </w:r>
          </w:p>
        </w:tc>
        <w:tc>
          <w:tcPr>
            <w:tcW w:w="110" w:type="dxa"/>
            <w:tcBorders/>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Computers and equipment</w:t>
            </w:r>
          </w:p>
        </w:tc>
        <w:tc>
          <w:tcPr>
            <w:tcW w:w="6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2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12,782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4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34,474</w:t>
            </w:r>
          </w:p>
        </w:tc>
        <w:tc>
          <w:tcPr>
            <w:tcW w:w="110" w:type="dxa"/>
            <w:tcBorders/>
            <w:shd w:fill="CCEEFF" w:val="clear"/>
            <w:vAlign w:val="center"/>
          </w:tcPr>
          <w:p>
            <w:pPr>
              <w:pStyle w:val="TableContents"/>
              <w:bidi w:val="0"/>
              <w:spacing w:before="0" w:after="283"/>
              <w:jc w:val="left"/>
              <w:rPr/>
            </w:pPr>
            <w:r>
              <w:rPr/>
              <w:t> </w:t>
            </w:r>
          </w:p>
        </w:tc>
      </w:tr>
      <w:tr>
        <w:trPr/>
        <w:tc>
          <w:tcPr>
            <w:tcW w:w="29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Less: accumulated depreciation</w:t>
            </w:r>
          </w:p>
        </w:tc>
        <w:tc>
          <w:tcPr>
            <w:tcW w:w="60" w:type="dxa"/>
            <w:tcBorders/>
            <w:shd w:fill="FFFFFF" w:val="clear"/>
            <w:vAlign w:val="center"/>
          </w:tcPr>
          <w:p>
            <w:pPr>
              <w:pStyle w:val="TableContents"/>
              <w:bidi w:val="0"/>
              <w:spacing w:before="0" w:after="283"/>
              <w:jc w:val="left"/>
              <w:rPr/>
            </w:pPr>
            <w:r>
              <w:rPr/>
              <w:t> </w:t>
            </w:r>
          </w:p>
        </w:tc>
        <w:tc>
          <w:tcPr>
            <w:tcW w:w="33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2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(4,536</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30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4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(30,935</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9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Property and equipment, net</w:t>
            </w:r>
          </w:p>
        </w:tc>
        <w:tc>
          <w:tcPr>
            <w:tcW w:w="60" w:type="dxa"/>
            <w:tcBorders/>
            <w:shd w:fill="CCEEFF" w:val="clear"/>
            <w:vAlign w:val="center"/>
          </w:tcPr>
          <w:p>
            <w:pPr>
              <w:pStyle w:val="TableContents"/>
              <w:bidi w:val="0"/>
              <w:spacing w:before="0" w:after="283"/>
              <w:jc w:val="left"/>
              <w:rPr/>
            </w:pPr>
            <w:r>
              <w:rPr/>
              <w:t> </w:t>
            </w:r>
          </w:p>
        </w:tc>
        <w:tc>
          <w:tcPr>
            <w:tcW w:w="33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2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4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3,539</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expense for the year ended December 31, 2025 and 2024 was $4,424 and $2,825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 Prepaid Expenses and Other Current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 and other current assets consisted of the following at the dates indicated: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Summary of Prepaid Expenses and Other Current Assets  </w:t>
      </w:r>
    </w:p>
    <w:tbl>
      <w:tblPr>
        <w:tblW w:w="8638" w:type="dxa"/>
        <w:jc w:val="left"/>
        <w:tblInd w:w="0" w:type="dxa"/>
        <w:tblLayout w:type="fixed"/>
        <w:tblCellMar>
          <w:top w:w="0" w:type="dxa"/>
          <w:left w:w="0" w:type="dxa"/>
          <w:bottom w:w="0" w:type="dxa"/>
          <w:right w:w="0" w:type="dxa"/>
        </w:tblCellMar>
      </w:tblPr>
      <w:tblGrid>
        <w:gridCol w:w="4475"/>
        <w:gridCol w:w="60"/>
        <w:gridCol w:w="290"/>
        <w:gridCol w:w="1664"/>
        <w:gridCol w:w="60"/>
        <w:gridCol w:w="60"/>
        <w:gridCol w:w="290"/>
        <w:gridCol w:w="1664"/>
        <w:gridCol w:w="75"/>
      </w:tblGrid>
      <w:tr>
        <w:trPr/>
        <w:tc>
          <w:tcPr>
            <w:tcW w:w="44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9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 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 2024</w:t>
            </w:r>
          </w:p>
        </w:tc>
        <w:tc>
          <w:tcPr>
            <w:tcW w:w="75" w:type="dxa"/>
            <w:tcBorders/>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66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664"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software costs</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6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153,526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6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59,855</w:t>
            </w:r>
          </w:p>
        </w:tc>
        <w:tc>
          <w:tcPr>
            <w:tcW w:w="75" w:type="dxa"/>
            <w:tcBorders/>
            <w:shd w:fill="FFFFFF" w:val="clear"/>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Service trade</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6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114,041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6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239,041</w:t>
            </w:r>
          </w:p>
        </w:tc>
        <w:tc>
          <w:tcPr>
            <w:tcW w:w="75"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Employee receivable</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66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12,863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66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800</w:t>
            </w:r>
          </w:p>
        </w:tc>
        <w:tc>
          <w:tcPr>
            <w:tcW w:w="75" w:type="dxa"/>
            <w:tcBorders/>
            <w:shd w:fill="FFFFFF" w:val="clear"/>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insurance costs</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6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6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130,345</w:t>
            </w:r>
          </w:p>
        </w:tc>
        <w:tc>
          <w:tcPr>
            <w:tcW w:w="75"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commissions</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66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96,206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66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31,504</w:t>
            </w:r>
          </w:p>
        </w:tc>
        <w:tc>
          <w:tcPr>
            <w:tcW w:w="75" w:type="dxa"/>
            <w:tcBorders/>
            <w:shd w:fill="FFFFFF" w:val="clear"/>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consulting costs</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66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6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76,767</w:t>
            </w:r>
          </w:p>
        </w:tc>
        <w:tc>
          <w:tcPr>
            <w:tcW w:w="75"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advertising and marketing costs</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66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66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29,133</w:t>
            </w:r>
          </w:p>
        </w:tc>
        <w:tc>
          <w:tcPr>
            <w:tcW w:w="75" w:type="dxa"/>
            <w:tcBorders/>
            <w:shd w:fill="FFFFFF" w:val="clear"/>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merchant fees</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6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60,774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6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26,690</w:t>
            </w:r>
          </w:p>
        </w:tc>
        <w:tc>
          <w:tcPr>
            <w:tcW w:w="75"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data license and subscription costs</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66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66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3,125</w:t>
            </w:r>
          </w:p>
        </w:tc>
        <w:tc>
          <w:tcPr>
            <w:tcW w:w="75" w:type="dxa"/>
            <w:tcBorders/>
            <w:shd w:fill="FFFFFF" w:val="clear"/>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current assets</w:t>
            </w:r>
          </w:p>
        </w:tc>
        <w:tc>
          <w:tcPr>
            <w:tcW w:w="60" w:type="dxa"/>
            <w:tcBorders/>
            <w:shd w:fill="CCEEFF" w:val="clear"/>
            <w:vAlign w:val="center"/>
          </w:tcPr>
          <w:p>
            <w:pPr>
              <w:pStyle w:val="TableContents"/>
              <w:bidi w:val="0"/>
              <w:spacing w:before="0" w:after="283"/>
              <w:jc w:val="left"/>
              <w:rPr/>
            </w:pPr>
            <w:r>
              <w:rPr/>
              <w:t> </w:t>
            </w:r>
          </w:p>
        </w:tc>
        <w:tc>
          <w:tcPr>
            <w:tcW w:w="2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6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6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46,414</w:t>
            </w:r>
          </w:p>
        </w:tc>
        <w:tc>
          <w:tcPr>
            <w:tcW w:w="75"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29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6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445,089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6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643,674</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 Goodwill and Intangible Assets,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goodwill by reportable segment as of and for the year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Summary of Goodwill</w:t>
      </w:r>
    </w:p>
    <w:tbl>
      <w:tblPr>
        <w:tblW w:w="9500" w:type="dxa"/>
        <w:jc w:val="left"/>
        <w:tblInd w:w="0" w:type="dxa"/>
        <w:tblLayout w:type="fixed"/>
        <w:tblCellMar>
          <w:top w:w="0" w:type="dxa"/>
          <w:left w:w="0" w:type="dxa"/>
          <w:bottom w:w="0" w:type="dxa"/>
          <w:right w:w="0" w:type="dxa"/>
        </w:tblCellMar>
      </w:tblPr>
      <w:tblGrid>
        <w:gridCol w:w="3050"/>
        <w:gridCol w:w="60"/>
        <w:gridCol w:w="280"/>
        <w:gridCol w:w="1960"/>
        <w:gridCol w:w="60"/>
        <w:gridCol w:w="60"/>
        <w:gridCol w:w="140"/>
        <w:gridCol w:w="980"/>
        <w:gridCol w:w="60"/>
        <w:gridCol w:w="60"/>
        <w:gridCol w:w="140"/>
        <w:gridCol w:w="1100"/>
        <w:gridCol w:w="60"/>
        <w:gridCol w:w="60"/>
        <w:gridCol w:w="152"/>
        <w:gridCol w:w="1203"/>
        <w:gridCol w:w="75"/>
      </w:tblGrid>
      <w:tr>
        <w:trPr/>
        <w:tc>
          <w:tcPr>
            <w:tcW w:w="30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2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Banzai Operating Co.</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Vidello</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OpenReel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Consolidated</w:t>
            </w:r>
          </w:p>
        </w:tc>
        <w:tc>
          <w:tcPr>
            <w:tcW w:w="75" w:type="dxa"/>
            <w:tcBorders/>
            <w:vAlign w:val="center"/>
          </w:tcPr>
          <w:p>
            <w:pPr>
              <w:pStyle w:val="TableContents"/>
              <w:bidi w:val="0"/>
              <w:spacing w:before="0" w:after="283"/>
              <w:jc w:val="left"/>
              <w:rPr/>
            </w:pPr>
            <w:r>
              <w:rPr/>
              <w:t> </w:t>
            </w:r>
          </w:p>
        </w:tc>
      </w:tr>
      <w:tr>
        <w:trPr/>
        <w:tc>
          <w:tcPr>
            <w:tcW w:w="30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Goodwill – December 31, 2024</w:t>
            </w:r>
          </w:p>
        </w:tc>
        <w:tc>
          <w:tcPr>
            <w:tcW w:w="6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9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2,171,526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16,800,949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18,972,475</w:t>
            </w:r>
          </w:p>
        </w:tc>
        <w:tc>
          <w:tcPr>
            <w:tcW w:w="75" w:type="dxa"/>
            <w:tcBorders/>
            <w:shd w:fill="CCEEFF" w:val="clear"/>
            <w:vAlign w:val="center"/>
          </w:tcPr>
          <w:p>
            <w:pPr>
              <w:pStyle w:val="TableContents"/>
              <w:bidi w:val="0"/>
              <w:spacing w:before="0" w:after="283"/>
              <w:jc w:val="left"/>
              <w:rPr/>
            </w:pPr>
            <w:r>
              <w:rPr/>
              <w:t> </w:t>
            </w:r>
          </w:p>
        </w:tc>
      </w:tr>
      <w:tr>
        <w:trPr/>
        <w:tc>
          <w:tcPr>
            <w:tcW w:w="30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Additions to goodwill (</w:t>
            </w:r>
            <w:r>
              <w:rPr>
                <w:rFonts w:ascii="Times New Roman;Times;Serif" w:hAnsi="Times New Roman;Times;Serif"/>
                <w:i/>
                <w:sz w:val="20"/>
              </w:rPr>
              <w:t>Note 4</w:t>
            </w: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8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96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3,019,246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3,019,246</w:t>
            </w:r>
          </w:p>
        </w:tc>
        <w:tc>
          <w:tcPr>
            <w:tcW w:w="75" w:type="dxa"/>
            <w:tcBorders/>
            <w:shd w:fill="FFFFFF" w:val="clear"/>
            <w:vAlign w:val="center"/>
          </w:tcPr>
          <w:p>
            <w:pPr>
              <w:pStyle w:val="TableContents"/>
              <w:bidi w:val="0"/>
              <w:spacing w:before="0" w:after="283"/>
              <w:jc w:val="left"/>
              <w:rPr/>
            </w:pPr>
            <w:r>
              <w:rPr/>
              <w:t> </w:t>
            </w:r>
          </w:p>
        </w:tc>
      </w:tr>
      <w:tr>
        <w:trPr/>
        <w:tc>
          <w:tcPr>
            <w:tcW w:w="30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Goodwill – December 31, 2025</w:t>
            </w:r>
          </w:p>
        </w:tc>
        <w:tc>
          <w:tcPr>
            <w:tcW w:w="60" w:type="dxa"/>
            <w:tcBorders/>
            <w:shd w:fill="CCEEFF" w:val="clear"/>
            <w:vAlign w:val="center"/>
          </w:tcPr>
          <w:p>
            <w:pPr>
              <w:pStyle w:val="TableContents"/>
              <w:bidi w:val="0"/>
              <w:spacing w:before="0" w:after="283"/>
              <w:jc w:val="left"/>
              <w:rPr/>
            </w:pPr>
            <w:r>
              <w:rPr/>
              <w:t> </w:t>
            </w:r>
          </w:p>
        </w:tc>
        <w:tc>
          <w:tcPr>
            <w:tcW w:w="2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96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2,171,526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3,019,246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16,800,949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21,991,721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Intangible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subject to amortization consist of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Identifiable Intangible Assets Subject to Amortization</w:t>
      </w:r>
    </w:p>
    <w:tbl>
      <w:tblPr>
        <w:tblW w:w="8299" w:type="dxa"/>
        <w:jc w:val="left"/>
        <w:tblInd w:w="0" w:type="dxa"/>
        <w:tblLayout w:type="fixed"/>
        <w:tblCellMar>
          <w:top w:w="0" w:type="dxa"/>
          <w:left w:w="0" w:type="dxa"/>
          <w:bottom w:w="0" w:type="dxa"/>
          <w:right w:w="0" w:type="dxa"/>
        </w:tblCellMar>
      </w:tblPr>
      <w:tblGrid>
        <w:gridCol w:w="3080"/>
        <w:gridCol w:w="60"/>
        <w:gridCol w:w="3035"/>
        <w:gridCol w:w="60"/>
        <w:gridCol w:w="229"/>
        <w:gridCol w:w="1725"/>
        <w:gridCol w:w="110"/>
      </w:tblGrid>
      <w:tr>
        <w:trPr/>
        <w:tc>
          <w:tcPr>
            <w:tcW w:w="30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3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Estimated Useful Life (years):</w:t>
            </w:r>
          </w:p>
        </w:tc>
        <w:tc>
          <w:tcPr>
            <w:tcW w:w="60" w:type="dxa"/>
            <w:tcBorders/>
            <w:vAlign w:val="center"/>
          </w:tcPr>
          <w:p>
            <w:pPr>
              <w:pStyle w:val="TableContents"/>
              <w:bidi w:val="0"/>
              <w:spacing w:before="0" w:after="283"/>
              <w:jc w:val="left"/>
              <w:rPr/>
            </w:pPr>
            <w:r>
              <w:rPr/>
              <w:t> </w:t>
            </w:r>
          </w:p>
        </w:tc>
        <w:tc>
          <w:tcPr>
            <w:tcW w:w="19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 2025</w:t>
            </w:r>
          </w:p>
        </w:tc>
        <w:tc>
          <w:tcPr>
            <w:tcW w:w="110" w:type="dxa"/>
            <w:tcBorders/>
            <w:vAlign w:val="center"/>
          </w:tcPr>
          <w:p>
            <w:pPr>
              <w:pStyle w:val="TableContents"/>
              <w:bidi w:val="0"/>
              <w:spacing w:before="0" w:after="283"/>
              <w:jc w:val="left"/>
              <w:rPr/>
            </w:pPr>
            <w:r>
              <w:rPr/>
              <w:t> </w:t>
            </w:r>
          </w:p>
        </w:tc>
      </w:tr>
      <w:tr>
        <w:trPr/>
        <w:tc>
          <w:tcPr>
            <w:tcW w:w="30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Customer relationships</w:t>
            </w:r>
          </w:p>
        </w:tc>
        <w:tc>
          <w:tcPr>
            <w:tcW w:w="60" w:type="dxa"/>
            <w:tcBorders/>
            <w:shd w:fill="CCEEFF" w:val="clear"/>
            <w:vAlign w:val="center"/>
          </w:tcPr>
          <w:p>
            <w:pPr>
              <w:pStyle w:val="TableContents"/>
              <w:bidi w:val="0"/>
              <w:spacing w:before="0" w:after="283"/>
              <w:jc w:val="left"/>
              <w:rPr/>
            </w:pPr>
            <w:r>
              <w:rPr/>
              <w:t> </w:t>
            </w:r>
          </w:p>
        </w:tc>
        <w:tc>
          <w:tcPr>
            <w:tcW w:w="3035"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6 - 7</w:t>
            </w:r>
          </w:p>
        </w:tc>
        <w:tc>
          <w:tcPr>
            <w:tcW w:w="6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72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1,139,710</w:t>
            </w:r>
          </w:p>
        </w:tc>
        <w:tc>
          <w:tcPr>
            <w:tcW w:w="110" w:type="dxa"/>
            <w:tcBorders/>
            <w:shd w:fill="CCEEFF" w:val="clear"/>
            <w:vAlign w:val="center"/>
          </w:tcPr>
          <w:p>
            <w:pPr>
              <w:pStyle w:val="TableContents"/>
              <w:bidi w:val="0"/>
              <w:spacing w:before="0" w:after="283"/>
              <w:jc w:val="left"/>
              <w:rPr/>
            </w:pPr>
            <w:r>
              <w:rPr/>
              <w:t> </w:t>
            </w:r>
          </w:p>
        </w:tc>
      </w:tr>
      <w:tr>
        <w:trPr/>
        <w:tc>
          <w:tcPr>
            <w:tcW w:w="30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Trade name</w:t>
            </w:r>
          </w:p>
        </w:tc>
        <w:tc>
          <w:tcPr>
            <w:tcW w:w="60" w:type="dxa"/>
            <w:tcBorders/>
            <w:shd w:fill="FFFFFF" w:val="clear"/>
            <w:vAlign w:val="center"/>
          </w:tcPr>
          <w:p>
            <w:pPr>
              <w:pStyle w:val="TableContents"/>
              <w:bidi w:val="0"/>
              <w:spacing w:before="0" w:after="283"/>
              <w:jc w:val="left"/>
              <w:rPr/>
            </w:pPr>
            <w:r>
              <w:rPr/>
              <w:t> </w:t>
            </w:r>
          </w:p>
        </w:tc>
        <w:tc>
          <w:tcPr>
            <w:tcW w:w="3035"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10 - 15</w:t>
            </w:r>
          </w:p>
        </w:tc>
        <w:tc>
          <w:tcPr>
            <w:tcW w:w="6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172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1,637,100</w:t>
            </w:r>
          </w:p>
        </w:tc>
        <w:tc>
          <w:tcPr>
            <w:tcW w:w="110" w:type="dxa"/>
            <w:tcBorders/>
            <w:shd w:fill="FFFFFF" w:val="clear"/>
            <w:vAlign w:val="center"/>
          </w:tcPr>
          <w:p>
            <w:pPr>
              <w:pStyle w:val="TableContents"/>
              <w:bidi w:val="0"/>
              <w:spacing w:before="0" w:after="283"/>
              <w:jc w:val="left"/>
              <w:rPr/>
            </w:pPr>
            <w:r>
              <w:rPr/>
              <w:t> </w:t>
            </w:r>
          </w:p>
        </w:tc>
      </w:tr>
      <w:tr>
        <w:trPr/>
        <w:tc>
          <w:tcPr>
            <w:tcW w:w="30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Technology</w:t>
            </w:r>
          </w:p>
        </w:tc>
        <w:tc>
          <w:tcPr>
            <w:tcW w:w="60" w:type="dxa"/>
            <w:tcBorders/>
            <w:shd w:fill="CCEEFF" w:val="clear"/>
            <w:vAlign w:val="center"/>
          </w:tcPr>
          <w:p>
            <w:pPr>
              <w:pStyle w:val="TableContents"/>
              <w:bidi w:val="0"/>
              <w:spacing w:before="0" w:after="283"/>
              <w:jc w:val="left"/>
              <w:rPr/>
            </w:pPr>
            <w:r>
              <w:rPr/>
              <w:t> </w:t>
            </w:r>
          </w:p>
        </w:tc>
        <w:tc>
          <w:tcPr>
            <w:tcW w:w="3035"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6 - 8</w:t>
            </w:r>
          </w:p>
        </w:tc>
        <w:tc>
          <w:tcPr>
            <w:tcW w:w="60" w:type="dxa"/>
            <w:tcBorders/>
            <w:shd w:fill="CCEEFF" w:val="clear"/>
            <w:vAlign w:val="center"/>
          </w:tcPr>
          <w:p>
            <w:pPr>
              <w:pStyle w:val="TableContents"/>
              <w:bidi w:val="0"/>
              <w:spacing w:before="0" w:after="283"/>
              <w:jc w:val="left"/>
              <w:rPr/>
            </w:pPr>
            <w:r>
              <w:rPr/>
              <w:t> </w:t>
            </w:r>
          </w:p>
        </w:tc>
        <w:tc>
          <w:tcPr>
            <w:tcW w:w="22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2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6,425,010</w:t>
            </w:r>
          </w:p>
        </w:tc>
        <w:tc>
          <w:tcPr>
            <w:tcW w:w="110" w:type="dxa"/>
            <w:tcBorders/>
            <w:shd w:fill="CCEEFF" w:val="clear"/>
            <w:vAlign w:val="center"/>
          </w:tcPr>
          <w:p>
            <w:pPr>
              <w:pStyle w:val="TableContents"/>
              <w:bidi w:val="0"/>
              <w:spacing w:before="0" w:after="283"/>
              <w:jc w:val="left"/>
              <w:rPr/>
            </w:pPr>
            <w:r>
              <w:rPr/>
              <w:t> </w:t>
            </w:r>
          </w:p>
        </w:tc>
      </w:tr>
      <w:tr>
        <w:trPr/>
        <w:tc>
          <w:tcPr>
            <w:tcW w:w="30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Intangible assets, gross</w:t>
            </w:r>
          </w:p>
        </w:tc>
        <w:tc>
          <w:tcPr>
            <w:tcW w:w="60" w:type="dxa"/>
            <w:tcBorders/>
            <w:shd w:fill="FFFFFF" w:val="clear"/>
            <w:vAlign w:val="center"/>
          </w:tcPr>
          <w:p>
            <w:pPr>
              <w:pStyle w:val="TableContents"/>
              <w:bidi w:val="0"/>
              <w:spacing w:before="0" w:after="283"/>
              <w:jc w:val="left"/>
              <w:rPr/>
            </w:pPr>
            <w:r>
              <w:rPr/>
              <w:t> </w:t>
            </w:r>
          </w:p>
        </w:tc>
        <w:tc>
          <w:tcPr>
            <w:tcW w:w="303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172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9,201,820</w:t>
            </w:r>
          </w:p>
        </w:tc>
        <w:tc>
          <w:tcPr>
            <w:tcW w:w="110" w:type="dxa"/>
            <w:tcBorders/>
            <w:shd w:fill="FFFFFF" w:val="clear"/>
            <w:vAlign w:val="center"/>
          </w:tcPr>
          <w:p>
            <w:pPr>
              <w:pStyle w:val="TableContents"/>
              <w:bidi w:val="0"/>
              <w:spacing w:before="0" w:after="283"/>
              <w:jc w:val="left"/>
              <w:rPr/>
            </w:pPr>
            <w:r>
              <w:rPr/>
              <w:t> </w:t>
            </w:r>
          </w:p>
        </w:tc>
      </w:tr>
      <w:tr>
        <w:trPr/>
        <w:tc>
          <w:tcPr>
            <w:tcW w:w="30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Less: Accumulated amortization</w:t>
            </w:r>
          </w:p>
        </w:tc>
        <w:tc>
          <w:tcPr>
            <w:tcW w:w="60" w:type="dxa"/>
            <w:tcBorders/>
            <w:shd w:fill="CCEEFF" w:val="clear"/>
            <w:vAlign w:val="center"/>
          </w:tcPr>
          <w:p>
            <w:pPr>
              <w:pStyle w:val="TableContents"/>
              <w:bidi w:val="0"/>
              <w:spacing w:before="0" w:after="283"/>
              <w:jc w:val="left"/>
              <w:rPr/>
            </w:pPr>
            <w:r>
              <w:rPr/>
              <w:t> </w:t>
            </w:r>
          </w:p>
        </w:tc>
        <w:tc>
          <w:tcPr>
            <w:tcW w:w="303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2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2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(1,174,429</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0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Intangible assets, net</w:t>
            </w:r>
          </w:p>
        </w:tc>
        <w:tc>
          <w:tcPr>
            <w:tcW w:w="60" w:type="dxa"/>
            <w:tcBorders/>
            <w:shd w:fill="FFFFFF" w:val="clear"/>
            <w:vAlign w:val="center"/>
          </w:tcPr>
          <w:p>
            <w:pPr>
              <w:pStyle w:val="TableContents"/>
              <w:bidi w:val="0"/>
              <w:spacing w:before="0" w:after="283"/>
              <w:jc w:val="left"/>
              <w:rPr/>
            </w:pPr>
            <w:r>
              <w:rPr/>
              <w:t> </w:t>
            </w:r>
          </w:p>
        </w:tc>
        <w:tc>
          <w:tcPr>
            <w:tcW w:w="30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72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8,027,391</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Total amortization expense related to intangible assets was $1,146,066 for the </w:t>
      </w:r>
      <w:r>
        <w:rPr>
          <w:rFonts w:ascii="Times New Roman;Times;Serif" w:hAnsi="Times New Roman;Times;Serif"/>
          <w:b w:val="false"/>
          <w:i w:val="false"/>
          <w:caps w:val="false"/>
          <w:smallCaps w:val="false"/>
          <w:sz w:val="20"/>
          <w:shd w:fill="FFFFFF" w:val="clear"/>
        </w:rPr>
        <w:t>year ended December 31, 2025</w:t>
      </w:r>
      <w:r>
        <w:rPr>
          <w:rFonts w:ascii="Times New Roman;Times;Serif" w:hAnsi="Times New Roman;Times;Serif"/>
          <w:b w:val="false"/>
          <w:i w:val="false"/>
          <w:caps w:val="false"/>
          <w:smallCaps w:val="false"/>
          <w:sz w:val="20"/>
        </w:rPr>
        <w:t>. Expected amortization expense is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Expected Amortization Expense</w:t>
      </w:r>
    </w:p>
    <w:tbl>
      <w:tblPr>
        <w:tblW w:w="2115" w:type="dxa"/>
        <w:jc w:val="left"/>
        <w:tblInd w:w="0" w:type="dxa"/>
        <w:tblLayout w:type="fixed"/>
        <w:tblCellMar>
          <w:top w:w="0" w:type="dxa"/>
          <w:left w:w="0" w:type="dxa"/>
          <w:bottom w:w="0" w:type="dxa"/>
          <w:right w:w="0" w:type="dxa"/>
        </w:tblCellMar>
      </w:tblPr>
      <w:tblGrid>
        <w:gridCol w:w="860"/>
        <w:gridCol w:w="60"/>
        <w:gridCol w:w="140"/>
        <w:gridCol w:w="980"/>
        <w:gridCol w:w="75"/>
      </w:tblGrid>
      <w:tr>
        <w:trPr/>
        <w:tc>
          <w:tcPr>
            <w:tcW w:w="8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8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2026</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1,214,920</w:t>
            </w:r>
          </w:p>
        </w:tc>
        <w:tc>
          <w:tcPr>
            <w:tcW w:w="75" w:type="dxa"/>
            <w:tcBorders/>
            <w:shd w:fill="CCEEFF" w:val="clear"/>
            <w:vAlign w:val="center"/>
          </w:tcPr>
          <w:p>
            <w:pPr>
              <w:pStyle w:val="TableContents"/>
              <w:bidi w:val="0"/>
              <w:spacing w:before="0" w:after="283"/>
              <w:jc w:val="left"/>
              <w:rPr/>
            </w:pPr>
            <w:r>
              <w:rPr/>
              <w:t> </w:t>
            </w:r>
          </w:p>
        </w:tc>
      </w:tr>
      <w:tr>
        <w:trPr/>
        <w:tc>
          <w:tcPr>
            <w:tcW w:w="8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2027</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1,214,920</w:t>
            </w:r>
          </w:p>
        </w:tc>
        <w:tc>
          <w:tcPr>
            <w:tcW w:w="75" w:type="dxa"/>
            <w:tcBorders/>
            <w:shd w:fill="FFFFFF" w:val="clear"/>
            <w:vAlign w:val="center"/>
          </w:tcPr>
          <w:p>
            <w:pPr>
              <w:pStyle w:val="TableContents"/>
              <w:bidi w:val="0"/>
              <w:spacing w:before="0" w:after="283"/>
              <w:jc w:val="left"/>
              <w:rPr/>
            </w:pPr>
            <w:r>
              <w:rPr/>
              <w:t> </w:t>
            </w:r>
          </w:p>
        </w:tc>
      </w:tr>
      <w:tr>
        <w:trPr/>
        <w:tc>
          <w:tcPr>
            <w:tcW w:w="8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2028</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1,214,920</w:t>
            </w:r>
          </w:p>
        </w:tc>
        <w:tc>
          <w:tcPr>
            <w:tcW w:w="75" w:type="dxa"/>
            <w:tcBorders/>
            <w:shd w:fill="CCEEFF" w:val="clear"/>
            <w:vAlign w:val="center"/>
          </w:tcPr>
          <w:p>
            <w:pPr>
              <w:pStyle w:val="TableContents"/>
              <w:bidi w:val="0"/>
              <w:spacing w:before="0" w:after="283"/>
              <w:jc w:val="left"/>
              <w:rPr/>
            </w:pPr>
            <w:r>
              <w:rPr/>
              <w:t> </w:t>
            </w:r>
          </w:p>
        </w:tc>
      </w:tr>
      <w:tr>
        <w:trPr/>
        <w:tc>
          <w:tcPr>
            <w:tcW w:w="8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2029</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1,214,920</w:t>
            </w:r>
          </w:p>
        </w:tc>
        <w:tc>
          <w:tcPr>
            <w:tcW w:w="75" w:type="dxa"/>
            <w:tcBorders/>
            <w:shd w:fill="FFFFFF" w:val="clear"/>
            <w:vAlign w:val="center"/>
          </w:tcPr>
          <w:p>
            <w:pPr>
              <w:pStyle w:val="TableContents"/>
              <w:bidi w:val="0"/>
              <w:spacing w:before="0" w:after="283"/>
              <w:jc w:val="left"/>
              <w:rPr/>
            </w:pPr>
            <w:r>
              <w:rPr/>
              <w:t> </w:t>
            </w:r>
          </w:p>
        </w:tc>
      </w:tr>
      <w:tr>
        <w:trPr/>
        <w:tc>
          <w:tcPr>
            <w:tcW w:w="8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2030</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1,205,547</w:t>
            </w:r>
          </w:p>
        </w:tc>
        <w:tc>
          <w:tcPr>
            <w:tcW w:w="75" w:type="dxa"/>
            <w:tcBorders/>
            <w:shd w:fill="CCEEFF" w:val="clear"/>
            <w:vAlign w:val="center"/>
          </w:tcPr>
          <w:p>
            <w:pPr>
              <w:pStyle w:val="TableContents"/>
              <w:bidi w:val="0"/>
              <w:spacing w:before="0" w:after="283"/>
              <w:jc w:val="left"/>
              <w:rPr/>
            </w:pPr>
            <w:r>
              <w:rPr/>
              <w:t> </w:t>
            </w:r>
          </w:p>
        </w:tc>
      </w:tr>
      <w:tr>
        <w:trPr/>
        <w:tc>
          <w:tcPr>
            <w:tcW w:w="8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Thereafter</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1,962,162</w:t>
            </w:r>
          </w:p>
        </w:tc>
        <w:tc>
          <w:tcPr>
            <w:tcW w:w="75" w:type="dxa"/>
            <w:tcBorders/>
            <w:shd w:fill="FFFFFF" w:val="clear"/>
            <w:vAlign w:val="center"/>
          </w:tcPr>
          <w:p>
            <w:pPr>
              <w:pStyle w:val="TableContents"/>
              <w:bidi w:val="0"/>
              <w:spacing w:before="0" w:after="283"/>
              <w:jc w:val="left"/>
              <w:rPr/>
            </w:pPr>
            <w:r>
              <w:rPr/>
              <w:t> </w:t>
            </w:r>
          </w:p>
        </w:tc>
      </w:tr>
      <w:tr>
        <w:trPr/>
        <w:tc>
          <w:tcPr>
            <w:tcW w:w="8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8,027,391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 Accrued and Other Current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 and other current liabilities consisted of the following at the dates indicated: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Summary of Accrued Expenses and Other Current Liabilities</w:t>
      </w:r>
    </w:p>
    <w:tbl>
      <w:tblPr>
        <w:tblW w:w="9043" w:type="dxa"/>
        <w:jc w:val="left"/>
        <w:tblInd w:w="0" w:type="dxa"/>
        <w:tblLayout w:type="fixed"/>
        <w:tblCellMar>
          <w:top w:w="0" w:type="dxa"/>
          <w:left w:w="0" w:type="dxa"/>
          <w:bottom w:w="0" w:type="dxa"/>
          <w:right w:w="0" w:type="dxa"/>
        </w:tblCellMar>
      </w:tblPr>
      <w:tblGrid>
        <w:gridCol w:w="4880"/>
        <w:gridCol w:w="60"/>
        <w:gridCol w:w="244"/>
        <w:gridCol w:w="1710"/>
        <w:gridCol w:w="60"/>
        <w:gridCol w:w="60"/>
        <w:gridCol w:w="244"/>
        <w:gridCol w:w="1710"/>
        <w:gridCol w:w="75"/>
      </w:tblGrid>
      <w:tr>
        <w:trPr/>
        <w:tc>
          <w:tcPr>
            <w:tcW w:w="48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9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 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 2024</w:t>
            </w:r>
          </w:p>
        </w:tc>
        <w:tc>
          <w:tcPr>
            <w:tcW w:w="75" w:type="dxa"/>
            <w:tcBorders/>
            <w:vAlign w:val="center"/>
          </w:tcPr>
          <w:p>
            <w:pPr>
              <w:pStyle w:val="TableContents"/>
              <w:bidi w:val="0"/>
              <w:spacing w:before="0" w:after="283"/>
              <w:jc w:val="left"/>
              <w:rPr/>
            </w:pPr>
            <w:r>
              <w:rPr/>
              <w:t> </w:t>
            </w:r>
          </w:p>
        </w:tc>
      </w:tr>
      <w:tr>
        <w:trPr/>
        <w:tc>
          <w:tcPr>
            <w:tcW w:w="48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expenses and other current liabilities:</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171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171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8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accounting and professional services costs</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71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2,365,081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71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2,419,829</w:t>
            </w:r>
          </w:p>
        </w:tc>
        <w:tc>
          <w:tcPr>
            <w:tcW w:w="75" w:type="dxa"/>
            <w:tcBorders/>
            <w:shd w:fill="FFFFFF" w:val="clear"/>
            <w:vAlign w:val="center"/>
          </w:tcPr>
          <w:p>
            <w:pPr>
              <w:pStyle w:val="TableContents"/>
              <w:bidi w:val="0"/>
              <w:spacing w:before="0" w:after="283"/>
              <w:jc w:val="left"/>
              <w:rPr/>
            </w:pPr>
            <w:r>
              <w:rPr/>
              <w:t> </w:t>
            </w:r>
          </w:p>
        </w:tc>
      </w:tr>
      <w:tr>
        <w:trPr/>
        <w:tc>
          <w:tcPr>
            <w:tcW w:w="48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Sales tax payable</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17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250,672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17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452,508</w:t>
            </w:r>
          </w:p>
        </w:tc>
        <w:tc>
          <w:tcPr>
            <w:tcW w:w="75" w:type="dxa"/>
            <w:tcBorders/>
            <w:shd w:fill="CCEEFF" w:val="clear"/>
            <w:vAlign w:val="center"/>
          </w:tcPr>
          <w:p>
            <w:pPr>
              <w:pStyle w:val="TableContents"/>
              <w:bidi w:val="0"/>
              <w:spacing w:before="0" w:after="283"/>
              <w:jc w:val="left"/>
              <w:rPr/>
            </w:pPr>
            <w:r>
              <w:rPr/>
              <w:t> </w:t>
            </w:r>
          </w:p>
        </w:tc>
      </w:tr>
      <w:tr>
        <w:trPr/>
        <w:tc>
          <w:tcPr>
            <w:tcW w:w="48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Excise tax payable</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171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223,717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171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223,717</w:t>
            </w:r>
          </w:p>
        </w:tc>
        <w:tc>
          <w:tcPr>
            <w:tcW w:w="75" w:type="dxa"/>
            <w:tcBorders/>
            <w:shd w:fill="FFFFFF" w:val="clear"/>
            <w:vAlign w:val="center"/>
          </w:tcPr>
          <w:p>
            <w:pPr>
              <w:pStyle w:val="TableContents"/>
              <w:bidi w:val="0"/>
              <w:spacing w:before="0" w:after="283"/>
              <w:jc w:val="left"/>
              <w:rPr/>
            </w:pPr>
            <w:r>
              <w:rPr/>
              <w:t> </w:t>
            </w:r>
          </w:p>
        </w:tc>
      </w:tr>
      <w:tr>
        <w:trPr/>
        <w:tc>
          <w:tcPr>
            <w:tcW w:w="48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Provision for tax payable</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17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577,726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171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48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payroll and benefit costs</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171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439,693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171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207,970</w:t>
            </w:r>
          </w:p>
        </w:tc>
        <w:tc>
          <w:tcPr>
            <w:tcW w:w="75" w:type="dxa"/>
            <w:tcBorders/>
            <w:shd w:fill="FFFFFF" w:val="clear"/>
            <w:vAlign w:val="center"/>
          </w:tcPr>
          <w:p>
            <w:pPr>
              <w:pStyle w:val="TableContents"/>
              <w:bidi w:val="0"/>
              <w:spacing w:before="0" w:after="283"/>
              <w:jc w:val="left"/>
              <w:rPr/>
            </w:pPr>
            <w:r>
              <w:rPr/>
              <w:t> </w:t>
            </w:r>
          </w:p>
        </w:tc>
      </w:tr>
      <w:tr>
        <w:trPr/>
        <w:tc>
          <w:tcPr>
            <w:tcW w:w="48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legal costs</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17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167,936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17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315,764</w:t>
            </w:r>
          </w:p>
        </w:tc>
        <w:tc>
          <w:tcPr>
            <w:tcW w:w="75" w:type="dxa"/>
            <w:tcBorders/>
            <w:shd w:fill="CCEEFF" w:val="clear"/>
            <w:vAlign w:val="center"/>
          </w:tcPr>
          <w:p>
            <w:pPr>
              <w:pStyle w:val="TableContents"/>
              <w:bidi w:val="0"/>
              <w:spacing w:before="0" w:after="283"/>
              <w:jc w:val="left"/>
              <w:rPr/>
            </w:pPr>
            <w:r>
              <w:rPr/>
              <w:t> </w:t>
            </w:r>
          </w:p>
        </w:tc>
      </w:tr>
      <w:tr>
        <w:trPr/>
        <w:tc>
          <w:tcPr>
            <w:tcW w:w="48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subscription costs</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171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53,369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171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46,759</w:t>
            </w:r>
          </w:p>
        </w:tc>
        <w:tc>
          <w:tcPr>
            <w:tcW w:w="75" w:type="dxa"/>
            <w:tcBorders/>
            <w:shd w:fill="FFFFFF" w:val="clear"/>
            <w:vAlign w:val="center"/>
          </w:tcPr>
          <w:p>
            <w:pPr>
              <w:pStyle w:val="TableContents"/>
              <w:bidi w:val="0"/>
              <w:spacing w:before="0" w:after="283"/>
              <w:jc w:val="left"/>
              <w:rPr/>
            </w:pPr>
            <w:r>
              <w:rPr/>
              <w:t> </w:t>
            </w:r>
          </w:p>
        </w:tc>
      </w:tr>
      <w:tr>
        <w:trPr/>
        <w:tc>
          <w:tcPr>
            <w:tcW w:w="48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streaming service costs</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17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51,563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17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51,308</w:t>
            </w:r>
          </w:p>
        </w:tc>
        <w:tc>
          <w:tcPr>
            <w:tcW w:w="75" w:type="dxa"/>
            <w:tcBorders/>
            <w:shd w:fill="CCEEFF" w:val="clear"/>
            <w:vAlign w:val="center"/>
          </w:tcPr>
          <w:p>
            <w:pPr>
              <w:pStyle w:val="TableContents"/>
              <w:bidi w:val="0"/>
              <w:spacing w:before="0" w:after="283"/>
              <w:jc w:val="left"/>
              <w:rPr/>
            </w:pPr>
            <w:r>
              <w:rPr/>
              <w:t> </w:t>
            </w:r>
          </w:p>
        </w:tc>
      </w:tr>
      <w:tr>
        <w:trPr/>
        <w:tc>
          <w:tcPr>
            <w:tcW w:w="48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current liabilities</w:t>
            </w:r>
          </w:p>
        </w:tc>
        <w:tc>
          <w:tcPr>
            <w:tcW w:w="60" w:type="dxa"/>
            <w:tcBorders/>
            <w:shd w:fill="FFFFFF" w:val="clear"/>
            <w:vAlign w:val="center"/>
          </w:tcPr>
          <w:p>
            <w:pPr>
              <w:pStyle w:val="TableContents"/>
              <w:bidi w:val="0"/>
              <w:spacing w:before="0" w:after="283"/>
              <w:jc w:val="left"/>
              <w:rPr/>
            </w:pPr>
            <w:r>
              <w:rPr/>
              <w:t> </w:t>
            </w:r>
          </w:p>
        </w:tc>
        <w:tc>
          <w:tcPr>
            <w:tcW w:w="24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7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224,186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7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173,163</w:t>
            </w:r>
          </w:p>
        </w:tc>
        <w:tc>
          <w:tcPr>
            <w:tcW w:w="75" w:type="dxa"/>
            <w:tcBorders/>
            <w:shd w:fill="FFFFFF" w:val="clear"/>
            <w:vAlign w:val="center"/>
          </w:tcPr>
          <w:p>
            <w:pPr>
              <w:pStyle w:val="TableContents"/>
              <w:bidi w:val="0"/>
              <w:spacing w:before="0" w:after="283"/>
              <w:jc w:val="left"/>
              <w:rPr/>
            </w:pPr>
            <w:r>
              <w:rPr/>
              <w:t> </w:t>
            </w:r>
          </w:p>
        </w:tc>
      </w:tr>
      <w:tr>
        <w:trPr/>
        <w:tc>
          <w:tcPr>
            <w:tcW w:w="48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accrued expenses and other current liabilities</w:t>
            </w:r>
          </w:p>
        </w:tc>
        <w:tc>
          <w:tcPr>
            <w:tcW w:w="60" w:type="dxa"/>
            <w:tcBorders/>
            <w:shd w:fill="CCEEFF" w:val="clear"/>
            <w:vAlign w:val="center"/>
          </w:tcPr>
          <w:p>
            <w:pPr>
              <w:pStyle w:val="TableContents"/>
              <w:bidi w:val="0"/>
              <w:spacing w:before="0" w:after="283"/>
              <w:jc w:val="left"/>
              <w:rPr/>
            </w:pPr>
            <w:r>
              <w:rPr/>
              <w:t> </w:t>
            </w:r>
          </w:p>
        </w:tc>
        <w:tc>
          <w:tcPr>
            <w:tcW w:w="24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71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4,353,943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71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3,891,018</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 Debt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Promissory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Promissory Notes - Related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30, 2023, the Company issued a subordinate promissory note (“Alco August Promissory Note”) in the aggregate principal amount of $150,000 to Alco Investment Company (“Alco”), a related party. Alco held its ownership of over 10% of the issued equity of the Company, through its ownership of Series A preferred stock. The Alco August Promissory Note bears interest at a rate of 8% per annum. The outstanding principal and accrued interest are due and payable on April 29, 2024. For the year ended December 31, 2024, interest expense on the Alco August Promissory Note totaled $11,284, comprised of $8,022 of contractual accrued interest and $3,261 for the amortization of the discount. As of December 31, 2024 the Alco August Promissory Note was converted in full (see below).</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13, 2023, the Company issued a subordinate promissory note (“Alco September Promissory Note”) in the aggregate principal amount of up to $1,500,000 to Alco. The Alco September Promissory Note bears interest at a rate of 8% per annum. The outstanding principal and accrued interest were due and payable on September 30, 2024, however the due date was extended and the debt subsequently settled (see below). For the year ended December 31, 2024, interest expense on the Alco September Promissory Note totaled $283,188, comprised of $92,822 of contractual accrued interest and $190,366 for the amortization of the discount. As of December 31, 2024 the Alco September Promissory Note was converted in full (see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16, 2023, the Company issued a subordinate promissory note (“Alco November Promissory Note”) in the aggregate principal amount of up to $750,000 to Alco. The Alco November Promissory Note bears interest at a rate of 8% per annum. The outstanding principal and accrued interest were due and payable on April 13, 2024, however the due date was extended and the debt subsequently settled (see below). For the year ended December 31, 2024, interest expense on the Alco November Promissory Note totaled $321,189, comprised of $43,891 of contractual accrued interest and $277,298 for the amortization of the discount. As of December 31, 2024 the Alco November Promissory Note was converted in full (see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13, 2023, the Company issued a subordinate promissory note (“Alco December Promissory Note”) in the aggregate principal amount of up to $2,000,000 to Alco. The Alco December Promissory Note bears interest at a rate of 8% per annum. The outstanding principal and accrued interest are due and payable on December 31, 2024. For the year ended December 31, 2024, interest expense on the Alco December Promissory Note totaled $936,941, comprised of $117,040 of contractual accrued interest and $819,901 for the amortization of the discount. As of December 31, 2024 the Alco December Promissory Note was converted in full (see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issuances of the Alco September, November, and December Promissory Notes, the Company, 7GC and the Sponsor entered into share transfer agreements (the “Alco Share Transfer Agreements”) with Alco Investment Company. Pursuant to which for each $10.00 in principal borrowed under the Alco September and November Promissory Notes, the Sponsor agreed to forfeit one share of 7GC Class B Common Stock held by the Sponsor, in exchange for the right of Alco to receive one New Banzai Class A Share. For each $10.00 in principal borrowed under the December Note, the Sponsor agreed to forfeit three shares of 7GC Class B Common Stock held by the Sponsor, in exchange for the right of Alco to receive three New Banzai Class A Shares. Such forfeited and issued shares under the Alco September, November, and December Promissory Notes are capped at an amount equal to 150,000, 75,000, and 600,000, respectively. Pursuant to the Alco Share Transfer Agreements, the shares are subject to an 180-day lock-up period upon issuance of the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Alco Share Transfer Agreements, the Company considered the guidance under ASC 815, </w:t>
      </w:r>
      <w:r>
        <w:rPr>
          <w:rFonts w:ascii="Times New Roman;Times;Serif" w:hAnsi="Times New Roman;Times;Serif"/>
          <w:b w:val="false"/>
          <w:i/>
          <w:caps w:val="false"/>
          <w:smallCaps w:val="false"/>
          <w:sz w:val="20"/>
        </w:rPr>
        <w:t>Derivatives and Hedging</w:t>
      </w:r>
      <w:r>
        <w:rPr>
          <w:rFonts w:ascii="Times New Roman;Times;Serif" w:hAnsi="Times New Roman;Times;Serif"/>
          <w:b w:val="false"/>
          <w:i w:val="false"/>
          <w:caps w:val="false"/>
          <w:smallCaps w:val="false"/>
          <w:sz w:val="20"/>
        </w:rPr>
        <w:t>, and determined that the Investor Shares underlying each of the Share Transfer Agreements described above, met the definition of a freestanding financial instrument and are not precluded from being considered indexed to the Company’s common stock. The Company determined that these shares represent a freestanding equity contract issued to the lender, resulting in a discount recorded on the notes when they are issued.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Equity-classified contracts are initially measured at fair value (or allocated value). Subsequent changes in fair value are not recognized if the contracts continue to be classified in equity. The measurement of fair value was determined utilizing various put option models in estimating the discount lack of marketability (the “DLOM”) applied to the public share price as the shares underlying each of the Share Transfer Agreements are subject to a lock-up period pursuant to each agreement, to estimate the fair value of the shares transferred. Option pricing models assume that the cost to purchase a stock option relates directly to the measurement of the DLOM. The logic behind these models is that investors may be able to quantify this price risk, due to lack of marketability, over a particular holding period where price volatility is usually estimated as a proxy for risk. The inputs and assumptions utilized in the fair value estimation included the Company’s stock price on the measurement date, a DLOM as described above, the number of shares pursuant to each Share Transfer Agreement, and a probability weighted factor for the Company’s expected percentage of completing its Business Combination, at each Share Transfer Agreement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April 2024 and May 2024 Amendment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April 18, 2024, the Company amended the Alco August Promissory Note and Alco November Promissory Note to extend the maturity dates of each note to May 31, 2024 (the “Alco April 2024 Amendment”). On May 30, 2024, both parties agreed to again amend the Alco August Promissory Note and Alco November Promissory Note to further amend the maturity date to the earlier of (a) August 29, 2024 or (b) the closing of the next transaction (an “Offering”) in which the Company sells any of its Common Stock for cash with net proceeds of $4,000,000 or greater or if the holder acquires Common Stock in an amount not less than the then outstanding balance of the Alco August Promissory Note and Alco November Promissory Note (the “Alco May 2024 Amendment”). The Company evaluated the terms of both the Alco April 2024 Amendment and Alco May 2024 Amendment (the “Alco 2024 Amendments”) in accordance with ASC 470-60, </w:t>
      </w:r>
      <w:r>
        <w:rPr>
          <w:rFonts w:ascii="Times New Roman;Times;Serif" w:hAnsi="Times New Roman;Times;Serif"/>
          <w:b w:val="false"/>
          <w:i/>
          <w:caps w:val="false"/>
          <w:smallCaps w:val="false"/>
          <w:sz w:val="20"/>
        </w:rPr>
        <w:t>Troubled Debt Restructurings</w:t>
      </w:r>
      <w:r>
        <w:rPr>
          <w:rFonts w:ascii="Times New Roman;Times;Serif" w:hAnsi="Times New Roman;Times;Serif"/>
          <w:b w:val="false"/>
          <w:i w:val="false"/>
          <w:caps w:val="false"/>
          <w:smallCaps w:val="false"/>
          <w:sz w:val="20"/>
        </w:rPr>
        <w:t xml:space="preserve">, and ASC 470-50, </w:t>
      </w:r>
      <w:r>
        <w:rPr>
          <w:rFonts w:ascii="Times New Roman;Times;Serif" w:hAnsi="Times New Roman;Times;Serif"/>
          <w:b w:val="false"/>
          <w:i/>
          <w:caps w:val="false"/>
          <w:smallCaps w:val="false"/>
          <w:sz w:val="20"/>
        </w:rPr>
        <w:t>Debt Modifications and Extinguishments</w:t>
      </w:r>
      <w:r>
        <w:rPr>
          <w:rFonts w:ascii="Times New Roman;Times;Serif" w:hAnsi="Times New Roman;Times;Serif"/>
          <w:b w:val="false"/>
          <w:i w:val="false"/>
          <w:caps w:val="false"/>
          <w:smallCaps w:val="false"/>
          <w:sz w:val="20"/>
        </w:rPr>
        <w:t>. The Company determined that the Company was granted a concession by the lender based on the decrease of the effective borrowing rate on the Alco 2024 Amendments. Accordingly, the Company accounted for the Alco 2024 Amendments as troubled debt restructurings by calculating a new effective interest rate for the Alco 2024 Amendments based on the carrying amount of the debt and the present value of the revised future cash flows payment streams. The troubled debt restructurings did not result in recognition of a gain or loss in the consolidated statement of operations but does impact interest expense recognized in the future.</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September 2024 Alco Promissory Note Conversion and Settlement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19, 2024, the Company and Alco agreed to convert an aggregate balance of $4,711,681 of debt inclusive of principal and accrued interest, representing the aggregate total balance outstanding to Alco as of that date (excluding the carrying value of debt discounts), into 282,420 shares of Class A Common Stock, Warrants to purchase up to 1,331,340 shares of Class A Common Stock and Pre-Funded Warrants to purchase up to 1,048,920 shares of Class A Common Stock (collectively, the “Alco Securities”), and in full settlement of the balance outstanding to Alco. The Company recognized the issuance of the Alco Securities, on September 19, 2024, in full settlement of all amounts owing to Alco. The grant date fair value of the Class A Common Stock, Warrants to purchase shares of Class A Common Stock and Pre-Funded Warrants to purchase shares of Class A Common Stock, were determined to be $1,098,614, $3,687,812, and $4,080,194, respectively. As a result of this transaction, the Company recognized a loss on extinguishment of $4,808,882, as of September 23, 2024, which was recognized as loss on conversion and settlement of Alco promissory notes on the consolidated statement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Promissory Notes - 7GC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assumed two promissory notes in connection with the Merger which remained outstanding as of December 31, 2023. On February 9, 2024, the $2,540,091 balance was converted into 17,813 shares the Company’s Class A Common Stock pursuant to the terms in the 7GC Promissory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Convertible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Promissory Note - GEM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14, 2023, the Company and GEM Global Yield LLC SCS and GEM Yield Bahamas Limited (collectively, “GEM”) agreed to terminate in its entirety the GEM Agreement, pursuant to which GEM was to purchase from the Company shares of common stock having an aggregate value up to $100,000,000 and the Company was required to make and execute a warrant (“GEM Warrant”). The Company’s obligation to issue the GEM Warrant remained, granting GEM the right to purchase Class A Common Stock in an amount equal to 3% of the total number of equity interests outstanding as of the Closing, calculated on a fully diluted basis, at an exercise price on the terms and conditions set forth therein, in exchange for issuance of a $2.0 million convertible debenture with a 5five-year maturity and 0% coupon. Due to the determination of the final terms of the planned $2.0 million convertible debenture having not been finalized, nor the final agreement related to the convertible debenture having been executed, as of December 31, 2023, the Company recognized, concurrent with the close of the merger, a liability for the GEM commitment fee, along with a corresponding GEM commitment fee expense, in the amount of $2.0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5, 2024, the Company and GEM entered into a settlement agreement (the “GEM Settlement Agreement”), pursuant to which (a) the Company and GEM agreed to (i) settle the Company’s obligations under and terminate the binding term sheet entered into between Legacy Banzai and GEM, dated December 13, 2023, and (ii) terminate the share repurchase agreement, dated May 27, 2022, by and among the Company and GEM, and (b) the Company (i) agreed to pay GEM $1.2 million in cash within three business days of the GEM Settlement Agreement and (ii) issued to GEM, on February 5, 2024, an unsecured promissory zero coupon note in the amount of $1.0 million, payable in monthly installments of $100,000 beginning on March 1, 2024, with the final payment to be made on December 1, 2024 (the “GEM Promissory Note”). The Company paid GEM the $1.2 million in cash in February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GEM Promissory Note provides that, in the event the Company fails to make a required monthly payment when due, the Company shall issue to GEM a number of shares of Class A Common Stock equal to the monthly payment amount divided by the VWAP of the Class A Common Stock for the trading day immediately preceding the applicable payment due date. In addition, the Company agreed to register on a registration statement 200,000 shares of Class A Common Stock that may be issuable under the terms of the GEM Promissory Note. The GEM Promissory Note contains customary events of default. If an event of default occurs, GEM may, at its option, demand from the Company immediate payment of any outstanding balance under the GEM Promissory Note. The GEM Promissory Note is recorded in the line Convertible notes on the Company’s consolidated balance sheets.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2024, the Company issued an aggregate of 19,000 shares of Class A Common Stock to GEM in lieu of monthly payment obligations and during the year ended December 31, 2025 the Company paid an aggregate of $215,057 to satisfy the remaining balance of the GEM Promissory Note.</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Convertible Notes (Yorkville)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December 14, 2023, in connection with and pursuant to the terms of its Standby Equity Purchase Agreement (“SEPA”) with YA II PN, LTD, a Cayman Islands exempt limited partnership managed by Yorkville Advisors Global, LP (“Yorkville”), (refer to </w:t>
      </w:r>
      <w:r>
        <w:rPr>
          <w:rFonts w:ascii="Times New Roman;Times;Serif" w:hAnsi="Times New Roman;Times;Serif"/>
          <w:b w:val="false"/>
          <w:i/>
          <w:caps w:val="false"/>
          <w:smallCaps w:val="false"/>
          <w:sz w:val="20"/>
        </w:rPr>
        <w:t>Note 15 – Equity</w:t>
      </w:r>
      <w:r>
        <w:rPr>
          <w:rFonts w:ascii="Times New Roman;Times;Serif" w:hAnsi="Times New Roman;Times;Serif"/>
          <w:b w:val="false"/>
          <w:i w:val="false"/>
          <w:caps w:val="false"/>
          <w:smallCaps w:val="false"/>
          <w:sz w:val="20"/>
        </w:rPr>
        <w:t xml:space="preserve"> for further details on the SEPA), Yorkville agreed to advance to the Company, in exchange for convertible promissory notes, an aggregate principal amount of up to $3,500,000, $2,000,000 of which was funded at the Closing in exchange for the issuance by the Company of a Convertible Promissory Note (the “December Yorkville Convertible Note”). The Company received net proceeds of $1,800,000 after a non-cash original issue discount of $200,000.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5, 2024, the Company and Yorkville entered into a supplemental agreement (the “SEPA Supplemental Agreement”) to increase the amount of convertible promissory notes allowed to be issued under SEPA by $1,000,000 (the “Additional Pre-Paid Advance Amount”), for an aggregate principal amount of $4,500,000 to be advanced by Yorkville to the Company in the form of convertible promissory notes. On February 5, 2024 in exchange for a promissory note in the principal amount of $1,000,000 (the “February Yorkville Promissory Note”), with the same terms as the December Yorkville Convertible Note, the Company received net proceeds of $900,000 after an original issue discount of $100,000.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26, 2024, the Company, in exchange for a convertible promissory note with a principal amount of $1,500,000 (the “March Yorkville Promissory Note” and, together with the December Yorkville Convertible Note and February Yorkville Promissory Note, the “Yorkville Promissory Notes”), received net proceeds of $1,250,000 after an original issue discount of $250,000.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3, 2024, the Company and Yorkville entered into a Debt Repayment Agreement (the “Original Debt Repayment Agreement”) with respect to the Yorkville Promissory Notes. Under the Original Debt Repayment Agreement, Yorkville agreed that, upon completion of a Company registered offering and repayment of an aggregate $2,000,000 outstanding under the Yorkville Promissory Notes (the “Original Repayment Amount”), Yorkville would not deliver to the Company any Investor Notice (as defined in the SEPA) and would not exercise its right to convert the remainder of the amount outstanding under the Yorkville Promissory Notes for a period commencing on the date of the closing of the offering and ending on the date that is 90 days thereafter. Under the Original Debt Repayment Agreement, the Company and Yorkville also agreed to extend the maturity date of the Yorkville Promissory Notes to the date that is 120 days after the closing of the offering and to satisfy the $200,000 payment premium due in connection with an early redemption through the issuance of an Advance Notice (as defined in the SEPA) for shares of the Company’s Class A Common Stock, par value $0.0001 per share. The Original Debt Repayment Agreement was conditioned on the completion of the offering by June 2,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22, 2024, the Company and Yorkville entered into an Amended and Restated Debt Repayment Agreement (the “Amended Debt Repayment Agreement”) with respect to the Yorkville Promissory Notes, which amends and restates the Original Debt Repayment Agreement. Under the Amended Debt Repayment Agreement, Yorkville has agreed that, upon completion of a registered offering and repayment of an aggregate $750,000 outstanding under the Yorkville Promissory Notes (the “Amended Repayment Amount”), Yorkville will not deliver to the Company any Investor Notice (as defined in the SEPA) and will not exercise its right to convert the remainder of the amount outstanding under the Yorkville Promissory Notes for a period commencing on the date of the closing of the offering and ending on the date that is 90 days thereafter (the “Stand-still Period”); provided that the Company will seek any consents necessary to allow Yorkville to issue Investor Notices or exercise its right to convert the remainder of the amount outstanding under the Yorkville Promissory Notes after a period of 60 days following the closing of the offering. Under the Amended Debt Repayment Agreement, the Company and Yorkville also agreed to extend the maturity date of the Yorkville Promissory Notes to the date that is 120 days after the closing of the offering and to satisfy the $75,000 payment premium due in connection with an early redemption through the issuance of an Advance Notice for shares of Class A Common Stock (the “Q2 Prepayment Premium”). The Amended Debt Repayment Agreement was conditioned on the completion of the offering by May 29, 2024, which condition was satisfied upon the closing of the offering on May 28, 2024 (the “May 2024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of the Amended Repayment Agreement, the Company made a cash principal payment of $750,000 on May 31, 2024 (the “Repayment Date”), and issued an Advance Notice for the purchase of 1,200 shares of Class A Common Stock (the “Premium Advance Shares”) (representing the number of shares the Company reasonably believed would be sufficient to result in net proceeds of $75,000 as of the Repayment Date) (the “Premium Advance”). The total purchase price for the Premium Advance was $110,040, of which $75,000 was applied in satisfaction of the Payment Premium, and the remaining $35,040 was paid by Yorkville to the Company in cash (the “Cash Surplus”). The Premium Advance Shares were recorded at fair value totaling $115,800 on the Repayment Date, and the excess of fair value over the Cash Surplus was recorded to the consolidated statement of operations in line Yorkville prepayment premium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20, 2024, the Company entered into a Floor Price Reduction Agreement (the “Floor Price Reduction Agreement”) with Yorkville. The Company and Yorkville, pursuant to the Floor Price Adjustment Agreement, agreed to amend and restate the prior repayment agreements such that the outstanding principal under the Amended Debt Repayment Agreement was reduced to $0.7 million, with no remaining interest, the floor price, as described in the Outstanding Promissory Notes, was adjusted to $20.00, and the maturity date for the Outstanding Promissory Notes is extended by 120 days to January 17,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The Yorkville Promissory Notes have a maturity date (as modified by the Floor Price Reduction Agreement) of January 17, 2025, and accrue interest at 0% per annum, subject to an increase to 18% per annum upon events of default as defined in the agreement. As of December 31, 2025, no events of default have occurred. </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Yo</w:t>
      </w:r>
      <w:r>
        <w:rPr>
          <w:rFonts w:ascii="Times New Roman;Times;Serif" w:hAnsi="Times New Roman;Times;Serif"/>
          <w:b w:val="false"/>
          <w:i w:val="false"/>
          <w:caps w:val="false"/>
          <w:smallCaps w:val="false"/>
          <w:sz w:val="20"/>
        </w:rPr>
        <w:t xml:space="preserve">rkville has the right to convert any portion of the outstanding principal into shares of Class A common stock at any time subsequent to the Stand-still Period through maturity. The number of shares issuable upon conversion is equal to the amount of principal to be converted (as specified by Yorkville) divided by the Conversion Price (as defined in the Standby Equity Purchase Agreement disclosure in </w:t>
      </w:r>
      <w:r>
        <w:rPr>
          <w:rFonts w:ascii="Times New Roman;Times;Serif" w:hAnsi="Times New Roman;Times;Serif"/>
          <w:b w:val="false"/>
          <w:i/>
          <w:caps w:val="false"/>
          <w:smallCaps w:val="false"/>
          <w:sz w:val="20"/>
        </w:rPr>
        <w:t>Note 15 – Equity</w:t>
      </w:r>
      <w:r>
        <w:rPr>
          <w:rFonts w:ascii="Times New Roman;Times;Serif" w:hAnsi="Times New Roman;Times;Serif"/>
          <w:b w:val="false"/>
          <w:i w:val="false"/>
          <w:caps w:val="false"/>
          <w:smallCaps w:val="false"/>
          <w:sz w:val="20"/>
        </w:rPr>
        <w:t>). Yorkville will not have the right to convert any portion of the principal to the extent that after giving effect to such conversion, Yorkville would beneficially own in excess of 9.99% of the total number of shares of Class A Common Stock outstanding after giving effect to such conversion.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the Company, at its option, shall have the right, but not the obligation, to redeem early a portion or all amounts outstanding under the Promissory Notes at a redemption amount equal to the outstanding principal balance being repaid or redeemed, plus a 10% prepayment premium, plus all accrued and unpaid interest; provided that (i) the Company provides Yorkville with no less than ten trading days’ prior written notice thereof and (ii) on the date such notice is issued, the VWAP of the Class A Common Stock is less than the Fixed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occurrence of certain triggering events, as defined in the Yorkville Promissory Notes agreement (each an “Amortization Event”), the Company may be required to make monthly repayments of amounts outstanding under the Yorkville Promissory Notes, with each monthly repayment to be in an amount equal to the sum of (x) $1,000,000, plus (y) 10% in respect of such amount, and (z) all outstanding accrued and unpaid interest as of each payment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January 2024, the Company’s stock price per share fell below the then in effect Floor Price (as defined in the Standby Equity Purchase Agreement disclosure in </w:t>
      </w:r>
      <w:r>
        <w:rPr>
          <w:rFonts w:ascii="Times New Roman;Times;Serif" w:hAnsi="Times New Roman;Times;Serif"/>
          <w:b w:val="false"/>
          <w:i/>
          <w:caps w:val="false"/>
          <w:smallCaps w:val="false"/>
          <w:sz w:val="20"/>
        </w:rPr>
        <w:t>Note 15 – Equity</w:t>
      </w:r>
      <w:r>
        <w:rPr>
          <w:rFonts w:ascii="Times New Roman;Times;Serif" w:hAnsi="Times New Roman;Times;Serif"/>
          <w:b w:val="false"/>
          <w:i w:val="false"/>
          <w:caps w:val="false"/>
          <w:smallCaps w:val="false"/>
          <w:sz w:val="20"/>
        </w:rPr>
        <w:t>) of $20.00 for five trading days during a period of seven consecutive trading days (an Amortization Event under the terms of the December Yorkville Convertible Note agreement), thus triggering amortization payments under the terms of the December Yorkville Convertible Note. On January 24, 2024, Yorkville agreed to waive the Amortization Event trigger, prior to the date upon which any amortization payment would have been required. As discussed in the definitions below, the Floor Price was reset on February 14, 2024, in conjunction with the effective date of the Company’s Registration Statement, at a price of $2.94 per share of Class A Common Stock, thus curing the Amortization Event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2024, $2,000,000 of the full outstanding principal under the December Yorkville Convertible Note, respectively, was converted into 27,538 shares of Class A Common stock of the Company. During the year ended December 31, 2024, the full principal amount of $1,000,000 under the February Yorkville Promissory Note was converted into 2,891 Class A Common stock of the Company. During the year ended December 31, 2024, the full outstanding principal amount of $750,000 under the March Yorkville Promissory Note was converted into 14,986 shares of Class A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January 30, 2025 (the “Issuance Date”), in connection with and pursuant to the terms of the SEPA (refer to </w:t>
      </w:r>
      <w:r>
        <w:rPr>
          <w:rFonts w:ascii="Times New Roman;Times;Serif" w:hAnsi="Times New Roman;Times;Serif"/>
          <w:b w:val="false"/>
          <w:i/>
          <w:caps w:val="false"/>
          <w:smallCaps w:val="false"/>
          <w:sz w:val="20"/>
        </w:rPr>
        <w:t>Note 15 – Equity</w:t>
      </w:r>
      <w:r>
        <w:rPr>
          <w:rFonts w:ascii="Times New Roman;Times;Serif" w:hAnsi="Times New Roman;Times;Serif"/>
          <w:b w:val="false"/>
          <w:i w:val="false"/>
          <w:caps w:val="false"/>
          <w:smallCaps w:val="false"/>
          <w:sz w:val="20"/>
        </w:rPr>
        <w:t xml:space="preserve"> for further details), Yorkville agreed to advance to the Company, in exchange for a Convertible Promissory Note (the “January 2025 Yorkville Note”), a total principal amount of $3,500,000. The Company received net proceeds of $3,140,000 after an original issue discount of $350,000, and $10,000 in debt issuance costs paid to Yorkville.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January 2025 Yorkville Note had a maturity date of July 31, 2025, but may be extended at the option of the Company. Beginning on the 30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day from the Issuance Date, and continuing on the same day of each successive calendar month thereafter, (each, an “Installment Date”), the Company shall repay a portion of the outstanding balance of the January 2025 Yorkville Note in an amount equal to the sum of (i) $1,000,000 of principal (or the outstanding Principal if less than such amount), plus (ii) a payment premium (in an amount equal to 4% of the Principal amount being paid (the “Payment Premium”), and (iii) accrued and unpaid interest as of each Installment Date (collectively, the “Installment Amount”). The Company maintains the right to pay each Installment Amount in cash or via an Advance Notice pursuant to the SEPA or any combination thereof. The January 2025 Yorkville Note bears an interest rate of 0% for the first 90 days following the Issuance Date, and 6% thereafter (the “Interest Rate”). The Interest Rate shall increase to an annual rate of 18% upon the occurrence of an Event of Default (as defined by the January 2025 Yorkville Note). The January 2025 Yorkville Note is convertible into shares of the Company’s Class A common stock, par value $0.0001 per share (the “Class A Common Stock”), at a conversion price of $20.00 per share (the “Conversion Price”). The Investor may elect to convert part or all of the outstanding balance of the Note at any time or from time to time after the Issuance Date. The Company may prepay the outstanding amount at any time, in whole or in part, subject to a 4% premium, provided that (i) the Company provides the Investor with at least 10 trading days’ prior written notice (each, a “Redemption Notice”) of its desire to prepay the outstanding amount (an “Optional Redemption”), and (ii) on the date the Redemption Notice is issued, the VWAP of the Class A Common Stock is less than the Conversion Price. Pursuant to the January 2025 Yorkville Note, the Company made payments totaling approximately $3,640,000, of which approximately $3,500,000 was applied against outstanding principal, and approximately $140,000 was paid to Yorkville as Payment Premiums and expensed as incurred. As of June 30, 2025, the January 2025 Yorkville Note was fully repaid.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September 16, 2025, the Company entered into a Convertible Promissory Note (the “September 2025 Yorkville Note”) with Yorkville in principal amount of $2,000,000 (the “Original Principal Amount”) to the Company, to be used as an advance under the SEPA. The Company received $890,000 from the Investor on that same date (“Advance #1), which reflects 50% of the Original Principal Amount, less 10% discount, and certain fees owed at such time. Upon the effectiveness of the registration statement on Form S-1, originally filed with the SEC on September 12, 2025 (File No. 333-290241) and the delivery of a closing statement, the Company received the remaining 50% of the Original Principal Amount, or $1,000,000, less 10% discount of the Original Principal Amount, netted from the purchase price due and structured as a purchase discount </w:t>
      </w:r>
      <w:r>
        <w:rPr>
          <w:rFonts w:ascii="Times New Roman;Times;Serif" w:hAnsi="Times New Roman;Times;Serif"/>
          <w:b w:val="false"/>
          <w:i w:val="false"/>
          <w:caps w:val="false"/>
          <w:smallCaps w:val="false"/>
          <w:sz w:val="20"/>
          <w:shd w:fill="FFFFFF" w:val="clear"/>
        </w:rPr>
        <w:t>(“Advance #2”).</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The September 2025 Yorkville Note was issued on September 16, 2025 and the maturity date of the September 2025 Yorkville Note is March 16, 2026, but may be extended at the option of the Company. Beginning on the 30</w:t>
      </w:r>
      <w:r>
        <w:rPr>
          <w:rFonts w:ascii="Times New Roman;Times;Serif" w:hAnsi="Times New Roman;Times;Serif"/>
          <w:b w:val="false"/>
          <w:i w:val="false"/>
          <w:caps w:val="false"/>
          <w:smallCaps w:val="false"/>
          <w:position w:val="7"/>
          <w:sz w:val="16"/>
          <w:sz w:val="20"/>
          <w:shd w:fill="FFFFFF" w:val="clear"/>
        </w:rPr>
        <w:t>th</w:t>
      </w:r>
      <w:r>
        <w:rPr>
          <w:rFonts w:ascii="Times New Roman;Times;Serif" w:hAnsi="Times New Roman;Times;Serif"/>
          <w:b w:val="false"/>
          <w:i w:val="false"/>
          <w:caps w:val="false"/>
          <w:smallCaps w:val="false"/>
          <w:sz w:val="20"/>
          <w:shd w:fill="FFFFFF" w:val="clear"/>
        </w:rPr>
        <w:t xml:space="preserve"> day from the date of issuance</w:t>
      </w:r>
      <w:r>
        <w:rPr>
          <w:rFonts w:ascii="Times New Roman;Times;Serif" w:hAnsi="Times New Roman;Times;Serif"/>
          <w:b w:val="false"/>
          <w:i w:val="false"/>
          <w:caps w:val="false"/>
          <w:smallCaps w:val="false"/>
          <w:sz w:val="20"/>
        </w:rPr>
        <w:t xml:space="preserve">, and continuing on the same day of each successive calendar month thereafter, (each, an “Installment Date”), the Company shall repay a portion of the outstanding balance of the Note in an amount equal to the sum of (i) $500,000 of principal (or the outstanding Principal if less than such amount), plus (ii) a payment premium in an amount equal to 4% of the Principal amount being paid (the “Payment Premium”), and (iii) accrued and unpaid interest hereunder as of each Installment Date (collectively, the “Installment Amount”). The Company maintains the right to pay each Installment Amount in cash or via an Advance Notice pursuant to the SEPA or any combination thereof. The September 2025 Yorkville Note bears an interest annual rate of 6%, which shall increase to 18% upon the occurrence of an Event of Default, as defined in the September 2025 Yorkville Note. The September 2025 Yorkville Note is convertible into shares of the Company’s Class A common stock, par value $0.0001 per share, at a conversion price of $2.50 per share (the “Conversion Price”). The Investor may elect to convert part or all of the outstanding balance of the September 2025 Yorkville Note at any time or from time to time after the </w:t>
      </w:r>
      <w:r>
        <w:rPr>
          <w:rFonts w:ascii="Times New Roman;Times;Serif" w:hAnsi="Times New Roman;Times;Serif"/>
          <w:b w:val="false"/>
          <w:i w:val="false"/>
          <w:caps w:val="false"/>
          <w:smallCaps w:val="false"/>
          <w:sz w:val="20"/>
          <w:shd w:fill="FFFFFF" w:val="clear"/>
        </w:rPr>
        <w:t>date of issuance</w:t>
      </w:r>
      <w:r>
        <w:rPr>
          <w:rFonts w:ascii="Times New Roman;Times;Serif" w:hAnsi="Times New Roman;Times;Serif"/>
          <w:b w:val="false"/>
          <w:i w:val="false"/>
          <w:caps w:val="false"/>
          <w:smallCaps w:val="false"/>
          <w:sz w:val="20"/>
        </w:rPr>
        <w:t>. The Company maintains the right to redeem all or any part of the September 2025 Yorkville Note, at any time, provided that (i) the Company provides the Investor with at least 10 trading days’ prior written notice (each, a “Redemption Notice”) of its desire to prepay the outstanding amount (an “Optional Redemption”), and (ii) on the date the Redemption Notice is issued, the VWAP of the Class A Common Stock is less than the Conversion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6, 2025, the Company issued an Advance Notice to Yorkville pursuant to the SEPA in which the Company requested the purchase of 115,000 shares of the Company’s Class A Common Stock at a purchase price of $3.08 for a total purchase price of $354,074 to be applied against the outstanding Yorkville Convertible Notes. Upon settlement on October 8, 2025, the Company issued 115,000 shares of Class A Common Stock to Yorkville.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13, 2025, the Company issued an Advance Notice to Yorkville pursuant to the SEPA in which the Company requested the purchase of 65,000 shares of the Company’s Class A Common Stock at a purchase price of $2.95 for a total purchase price of $191,477 to be applied against the outstanding Yorkville Convertible Notes. Upon settlement on October 15, 2025, the Company issued 65,000 shares of Class A Common Stock to Yorkville.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Term and Convertible notes - related party (CP BF)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2021, the Company entered into a loan agreement with CP BF Lending, LLC (“CP BF”) comprised of a Term Note and a Convertible Note. The Term Note bears cash interest at a rate of 14% per annum paid monthly and accrued interest payable-in-kind (“PIK”) cumulatively at 1.5% per annum. The outstanding principal balance of the Term Note together with accrued and unpaid interest thereon, unpaid fees and expenses and any other Obligations then due, shall be paid on February 19, 2025 (“Loan Maturity Date”). The Convertible Note accrues PIK interest cumulatively at a rate of 15.5% per annum, and is convertible into Class A Common Stock upon Qualified Financing (as defined in the agreement), upon a Change of Control (as defined in the agreement), upon Prepayment, or at Maturity at a fixed conversion price of $1,336.40 per unit. If not sooner converted or prepaid, the Convertible Note principal together with accrued and unpaid interest thereon, unpaid fees and expenses and any other Obligations then due, shall be paid on the Loan Maturity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all respective periods presented, the Company was not in compliance with the Minimum Gross Profit Margin covenant in section 7.14.1 of the Loan Agreement, the Minimum ARR Growth covenant in section 7.14.2 of the Loan Agreement, and the Fixed Charge Coverage Ratio covenant in section 7.14.3 of the Loan Agreement. As a result of the Company’s noncompliance with the financial covenants, the entire principal amount and all unpaid and accrued interest will be classified as current on the Company’s consolidated balance sheets.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10, 2022 the Loan Agreement was amended, where CP BF waived payment by the Company of four months of cash interest with respect to the Term Note in replacement for a Convertible Note (“First Amendment Convertible Note”) in the principal amount of $321,345, which is not considered an Additional Loan as defined above. The First Amendment Convertible Note has the same features as the Convertible Note described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effective interest rate for the Term Note was 16% and interest expense totaled $851,175 for the year ended December 31, 2024, comprised of $772,550 of contractual interest and $78,625 of amortization of the discount. </w:t>
      </w:r>
      <w:r>
        <w:rPr>
          <w:rFonts w:ascii="Times New Roman;Times;Serif" w:hAnsi="Times New Roman;Times;Serif"/>
          <w:b w:val="false"/>
          <w:i w:val="false"/>
          <w:caps w:val="false"/>
          <w:smallCaps w:val="false"/>
          <w:sz w:val="20"/>
          <w:shd w:fill="FFFFFF" w:val="clear"/>
        </w:rPr>
        <w:t>The effective interest rate for the CP BF Convertible Note and First Amendment Convertible Note was 16% for the year ended December 31, 2024. For the year ended December 31, 2024, interest expense on the Convertible Notes totaled $350,430 comprised of $325,818 of contractual interest and $24,612 for the amortization of the discount.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Convertible notes - related party (CP BF restructuring)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September 5, 2024, the Company entered into a side letter to the loan agreement with CP BF whereby the Company agreed to consolidate the Term Note, CP BF Convertible Note and First Amendment Convertible Note (combined the “Old CP BF Notes”) into a single convertible note (the “2024 CP BF Convertible Note”). In accordance with FASB ASC 470, </w:t>
      </w:r>
      <w:r>
        <w:rPr>
          <w:rFonts w:ascii="Times New Roman;Times;Serif" w:hAnsi="Times New Roman;Times;Serif"/>
          <w:b w:val="false"/>
          <w:i/>
          <w:caps w:val="false"/>
          <w:smallCaps w:val="false"/>
          <w:sz w:val="20"/>
        </w:rPr>
        <w:t>Debt</w:t>
      </w:r>
      <w:r>
        <w:rPr>
          <w:rFonts w:ascii="Times New Roman;Times;Serif" w:hAnsi="Times New Roman;Times;Serif"/>
          <w:b w:val="false"/>
          <w:i w:val="false"/>
          <w:caps w:val="false"/>
          <w:smallCaps w:val="false"/>
          <w:sz w:val="20"/>
        </w:rPr>
        <w:t>, the Company treated the Old CP BF Notes as extinguished and recognized a loss on debt extinguishment of $6,529,402, determined by the sum of the fair value of the 2024 CP BF Convertible Note, plus the fair value of the additional equity consideration given as part of the side letter and share purchase agreement, as discussed below, in excess of the carrying value of the Old CP BF Notes. After consideration of the below transactions CP BF was determined to be a related party as they owned approximately 16% of the outstanding Class A Common Stock.</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conjunction with the side letter, the Company agreed to issue to CP BF, 7,000 shares of the Company’s Class A Common Stock. On September 23, 2024 the transaction was finalized and the Company issued the 2024 CP BF Convertible Note with a principal amount of $10,758,775. The outstanding principal balance of the 2024 CP BF Convertible Note together with accrued interest thereon, unpaid fees and expenses and any other Obligations then due, shall be paid on February 19, 2027 (“2024 Loan Maturity Date”). The 2024 CP BF Convertible Note accrues interest at a rate of 15.5% which interest shall be paid in kind monthly and is convertible at the holder’s option at any time on or following the effectiveness of the first resale registration statement covering the applicable conversion shares at a fixed conversion price per share of $38.90. Upon the occurrence, and during the continuance, of an Event of Default (as defined in the agreement), interest on the 2024 CP BF Convertible Note will bear PIK interest at a per annum rate of 20% (“2024 Default 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voluntarily prepay the principal of the 2024 CP BF Convertible Note, in accordance with their terms, in whole or in part at any time. On the date of any such prepayment, the Company will owe to Lender: (i) all accrued interest with respect to the principal amount so prepaid through the date the prepayment is made and (ii) the Exit Fee with respect to the principal amount so prepaid, calculated as 1.0% of the outstanding principal balance of the loans, with only the portion of the principal balance so converted counted for purposes of determining the applicable Exit Fee; and provided further, that, in the event of a partial prepayment of the loans, the Exit Fee shall be calculated on the principal amount so repaid and not on the entire outstanding principal balance thereof, and (iii) all other Obligations, if any, that shall have become due and payable hereunder with respect to the principal amount so prepaid. The 2024 CP BF Convertible Note obtain features that relate to the mandatory prepayment, either partially or in whole, upon certain contingent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2024 CP BF Convertible Note has an embedded redemption put feature upon a Prepayment and Default Interest triggering events. For further discussion of this derivative see </w:t>
      </w:r>
      <w:r>
        <w:rPr>
          <w:rFonts w:ascii="Times New Roman;Times;Serif" w:hAnsi="Times New Roman;Times;Serif"/>
          <w:b w:val="false"/>
          <w:i/>
          <w:caps w:val="false"/>
          <w:smallCaps w:val="false"/>
          <w:sz w:val="20"/>
        </w:rPr>
        <w:t>Note 7 – Fair Value Measurements.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2024, CP BF exercised its optional conversion option in which it received 5,560 Class A Common Stock at the fixed conversion price per share of $38.90 in satisfaction of $216,284 of the Company’s obligations under the 2024 CP BF Convertible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23, 2024, the Company entered into a Securities Purchase Agreement (the “CP BF SPA”), a Registration Rights Agreement (the “CP BF RRA”), a Lock-Up Agreement (the “CP BF Lock Up”) and issued CP BF a Common Stock Purchase Warrant (the “CP BF Warrant”) and a Pre-Funded Warrant (the “CP BF Pre-Funded Warrant,” together with the CP BF SPA, CP BF RRA, CP BF Lock Up and CP BF Warrant, the “CP BF Transaction Documents”). Pursuant to the CP BF SPA, CP BF agreed to convert $2,000,000 in debt into 26,085 shares of Class A Common Stock, CP BF Warrants to purchase up to 56,555 shares of Class A Common Stock and CP BF Pre-Funded Warrants to purchase up to 30,470 shares of Class A Common Stock (all such securities and shares collectively referred to as the “CP BF Registrable Securities”). The CP BF Warrant can be exercised at an initial exercise price of $38.90 per share, subject to adjustment for a term of five years. The CP BF Pre-Funded Warrant will be exercisable at any time after the date of issuance at an exercise price of $0.0001. Neither warrant may be exercised if the holder, together with its affiliates, would beneficially own more than 19.99% of the number of shares of Common Stock outstanding immediately after giving effect to such exercise. Both warrants may be exercised via cash or cashless exercise. Pursuant to the CP BF RRA, the Company agreed to file a registration statement to register the CP BF Registrable Securities and for the registration statement to become effective on or before December 9, 2024. Under the CP BF Lock-Up, the Company’s CEO, Joseph Davy, agreed not to sell an aggregate of 231,114 shares of Class B Common Stock that he owns until such time as CP BF no longer owns any of the CP BF Registrable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24, 2024, the Company entered into a securities purchase agreement with an institutional investor for the issuance and sale in a private placement with gross proceeds to the Company of approximately $4.6 million. One of the contingent redemption features in the 2024 CP BF Convertible Note relates to the Company prepaying, either partially or in whole, the obligations upon the sale of the Company’s capital stock equal to 20% of the cash proceeds in excess of $3,000,000. For the year ended December 31, 2025, the Company paid a total of $2,840,677 which satisfied outstanding principal under the 2024 CP BF Convertible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effective interest rate for the 2024 CP BF Convertible Note was approximately 15.4% for the year ended December 31, 2025 and 2024. For the year ended December 31, 2025 and 2024, interest expense on the 2024 CP BF Convertible Note totaled $1,177,033 and $368,525,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2024 CP BF Convertible Note as of December 31, 2025 and 2024:</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2024 CP BF Convertible Note </w:t>
      </w:r>
    </w:p>
    <w:tbl>
      <w:tblPr>
        <w:tblW w:w="7490" w:type="dxa"/>
        <w:jc w:val="left"/>
        <w:tblInd w:w="0" w:type="dxa"/>
        <w:tblLayout w:type="fixed"/>
        <w:tblCellMar>
          <w:top w:w="0" w:type="dxa"/>
          <w:left w:w="0" w:type="dxa"/>
          <w:bottom w:w="0" w:type="dxa"/>
          <w:right w:w="0" w:type="dxa"/>
        </w:tblCellMar>
      </w:tblPr>
      <w:tblGrid>
        <w:gridCol w:w="4850"/>
        <w:gridCol w:w="60"/>
        <w:gridCol w:w="140"/>
        <w:gridCol w:w="1055"/>
        <w:gridCol w:w="95"/>
        <w:gridCol w:w="60"/>
        <w:gridCol w:w="140"/>
        <w:gridCol w:w="980"/>
        <w:gridCol w:w="110"/>
      </w:tblGrid>
      <w:tr>
        <w:trPr/>
        <w:tc>
          <w:tcPr>
            <w:tcW w:w="48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10" w:type="dxa"/>
            <w:tcBorders/>
            <w:vAlign w:val="center"/>
          </w:tcPr>
          <w:p>
            <w:pPr>
              <w:pStyle w:val="TableContents"/>
              <w:bidi w:val="0"/>
              <w:spacing w:before="0" w:after="283"/>
              <w:jc w:val="left"/>
              <w:rPr/>
            </w:pPr>
            <w:r>
              <w:rPr/>
              <w:t> </w:t>
            </w:r>
          </w:p>
        </w:tc>
      </w:tr>
      <w:tr>
        <w:trPr/>
        <w:tc>
          <w:tcPr>
            <w:tcW w:w="48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7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 of December 31,</w:t>
            </w:r>
          </w:p>
        </w:tc>
        <w:tc>
          <w:tcPr>
            <w:tcW w:w="110" w:type="dxa"/>
            <w:tcBorders/>
            <w:vAlign w:val="center"/>
          </w:tcPr>
          <w:p>
            <w:pPr>
              <w:pStyle w:val="TableContents"/>
              <w:bidi w:val="0"/>
              <w:spacing w:before="0" w:after="283"/>
              <w:jc w:val="left"/>
              <w:rPr/>
            </w:pPr>
            <w:r>
              <w:rPr/>
              <w:t> </w:t>
            </w:r>
          </w:p>
        </w:tc>
      </w:tr>
      <w:tr>
        <w:trPr/>
        <w:tc>
          <w:tcPr>
            <w:tcW w:w="48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10" w:type="dxa"/>
            <w:tcBorders/>
            <w:vAlign w:val="center"/>
          </w:tcPr>
          <w:p>
            <w:pPr>
              <w:pStyle w:val="TableContents"/>
              <w:bidi w:val="0"/>
              <w:spacing w:before="0" w:after="283"/>
              <w:jc w:val="left"/>
              <w:rPr/>
            </w:pPr>
            <w:r>
              <w:rPr/>
              <w:t> </w:t>
            </w:r>
          </w:p>
        </w:tc>
      </w:tr>
      <w:tr>
        <w:trPr/>
        <w:tc>
          <w:tcPr>
            <w:tcW w:w="48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Face value of the CP BF convertible notes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8,758,775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8,758,775</w:t>
            </w:r>
          </w:p>
        </w:tc>
        <w:tc>
          <w:tcPr>
            <w:tcW w:w="110" w:type="dxa"/>
            <w:tcBorders/>
            <w:shd w:fill="CCEEFF" w:val="clear"/>
            <w:vAlign w:val="center"/>
          </w:tcPr>
          <w:p>
            <w:pPr>
              <w:pStyle w:val="TableContents"/>
              <w:bidi w:val="0"/>
              <w:spacing w:before="0" w:after="283"/>
              <w:jc w:val="left"/>
              <w:rPr/>
            </w:pPr>
            <w:r>
              <w:rPr/>
              <w:t> </w:t>
            </w:r>
          </w:p>
        </w:tc>
      </w:tr>
      <w:tr>
        <w:trPr/>
        <w:tc>
          <w:tcPr>
            <w:tcW w:w="48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Debt premium, net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11,066</w:t>
            </w:r>
          </w:p>
        </w:tc>
        <w:tc>
          <w:tcPr>
            <w:tcW w:w="110" w:type="dxa"/>
            <w:tcBorders/>
            <w:shd w:fill="FFFFFF" w:val="clear"/>
            <w:vAlign w:val="center"/>
          </w:tcPr>
          <w:p>
            <w:pPr>
              <w:pStyle w:val="TableContents"/>
              <w:bidi w:val="0"/>
              <w:spacing w:before="0" w:after="283"/>
              <w:jc w:val="left"/>
              <w:rPr/>
            </w:pPr>
            <w:r>
              <w:rPr/>
              <w:t> </w:t>
            </w:r>
          </w:p>
        </w:tc>
      </w:tr>
      <w:tr>
        <w:trPr/>
        <w:tc>
          <w:tcPr>
            <w:tcW w:w="48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Carrying value of the CP BF convertible notes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8,758,775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8,769,841</w:t>
            </w:r>
          </w:p>
        </w:tc>
        <w:tc>
          <w:tcPr>
            <w:tcW w:w="110" w:type="dxa"/>
            <w:tcBorders/>
            <w:shd w:fill="CCEEFF" w:val="clear"/>
            <w:vAlign w:val="center"/>
          </w:tcPr>
          <w:p>
            <w:pPr>
              <w:pStyle w:val="TableContents"/>
              <w:bidi w:val="0"/>
              <w:spacing w:before="0" w:after="283"/>
              <w:jc w:val="left"/>
              <w:rPr/>
            </w:pPr>
            <w:r>
              <w:rPr/>
              <w:t> </w:t>
            </w:r>
          </w:p>
        </w:tc>
      </w:tr>
      <w:tr>
        <w:trPr/>
        <w:tc>
          <w:tcPr>
            <w:tcW w:w="48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interest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1,557,558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369,459</w:t>
            </w:r>
          </w:p>
        </w:tc>
        <w:tc>
          <w:tcPr>
            <w:tcW w:w="110" w:type="dxa"/>
            <w:tcBorders/>
            <w:shd w:fill="FFFFFF" w:val="clear"/>
            <w:vAlign w:val="center"/>
          </w:tcPr>
          <w:p>
            <w:pPr>
              <w:pStyle w:val="TableContents"/>
              <w:bidi w:val="0"/>
              <w:spacing w:before="0" w:after="283"/>
              <w:jc w:val="left"/>
              <w:rPr/>
            </w:pPr>
            <w:r>
              <w:rPr/>
              <w:t> </w:t>
            </w:r>
          </w:p>
        </w:tc>
      </w:tr>
      <w:tr>
        <w:trPr/>
        <w:tc>
          <w:tcPr>
            <w:tcW w:w="48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Prepayments made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(5,011,987</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(283,315</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8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Conversions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(381,745</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(216,284</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8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CP BF convertible notes and accrued interest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4,922,601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8,639,701</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CP BF Letter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14, 2025, the Company and CP BF executed a letter agreement dated October 10, 2025, pursuant to which they amended certain terms of the Loan Agreement and Note (as amended on October 15, 2025, the “CP BF Letter Agreement”). The CP BF Letter Agreement amended the Conversion Price, as defined, to ninety-five percent (95%) of the price of the Class A Common Stock on the trading day immediately preceding delivery of any Conversion Notice, subject to a floor price of $2.50. The CP BF Letter Agreement included an amendment that CP BF shall take commercially reasonable actions to partially convert the balance outstanding under the Note as of the CP BF Letter Agreement date (the “Balance”) into shares of the Company’s Class A Common Stock at the new conversion price. The CP BF Letter Agreement limits the amount of shares that CP BF can sell or convert to five percent (5%) of the aggregate daily trading volume however the Company has the right waive or increase such limitation at its discretion. The CP BF Letter Agreement also stipulates that between the time that the Company pays down at least $2,000,000 against the Balance until the earlier of (a) 60 days following the date of the CP BF Letter Agreement and (b) receipt of $10,000,000 in gross proceeds from the sale of Company securities, the Company will no longer be required to prepay a certain percentage of other proceeds received from securities offerings to CP BF, as stipulated in the Loan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CP BF Letter Agreement, the parties agreed to use an agreed-upon portion of other debt to partially prepay the balance outstanding under the Note as of the CP BF Letter Agreement date (the “Balance”). The Company also agreed to reserve that number of shares of Class A Common Stock equal to 120% of the number of shares of Class A Common Stock issuable upon full conversion of the Balance at the new conversion price and to register 100% of all such shares with the SEC within 60 days of the CP BF Letter Agreement. As per the CP BF Letter Agreement, subject to the receipt by CP BF of $2,000,000 and the filing of the registration statement, CP BF also agreed to waive certain events of default that may have occurred or be occurring as of the date of the CP BF Letter Agreement; CP BF also agreed that until December 31, 2025, it shall not exercise any right or remedy associated with any failure on the part of the Company to comply with certain financial covenants set forth in the Loan Agreement, as they relate to the period ending September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failure to comply with the Letter Agreement shall constitute an Event of Default under the Loan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2025 CP BF Conversions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 October 17, 2025 and December 31, 2025, CP BF exercised its optional conversion option multiple times and received an aggregate of 62,700 shares of Class A Common Stock at conversion prices per share ranging from $2.71 to $2.75 in satisfaction of $165,461 of the Company’s obligations under the 2024 CP BF Convertible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Notes payable, carried at fair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Agile Term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22, 2024, the Company entered into a subordinated business loan and security agreement (the “July Subordinated Business Loan and Security Agreement”) with Agile Lending, LLC (“Agile”) and Agile Capital Funding, LLC as the collateral agent (“Agile Funding”) and issued a subordinated secured promissory note (the “July Agile Note”) for an aggregate principal amount of $787,500 and received net proceeds of $750,000, after administrative agent fees of $37,500 paid to Agile Funding, with a maturity date of February 5, 2025. The July Agile Note bears interest at a rate of 42%.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13, 2024, the Company entered into a subordinated business loan and security agreement (the “September Subordinated Business Loan and Security Agreement”) with Agile and Agile Funding and issued a subordinated secured promissory note (the “September Agile Note”) for an aggregate principal amount of $262,500 and received net proceeds of $250,000, after administrative agent fees of $12,500 paid to Agile Funding, with a maturity date of March 3, 2025. The September Agile Note bears interest at a rate of 48%.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12, 2024, the Company issued a subordinated secured promissory note (the “December Agile Note”) for an aggregate principal amount of $2,400,000 and received net proceeds of $1,782,438, after administrative agent fees of $120,000 paid to Agile Funding, and net of payments to Agile of $319,500 and $178,063 in respect to early prepayment of the remaining outstanding balances of the July Agile Note and September Agile Note. The December Agile Note has a maturity date of July 10, 2025 and bears interest at a rate of 44%.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modification on December 12, 2024, the Company evaluated the debt modification guidance, determining that the modification is an extinguishment of the existing July Agile Note and September Agile Note due to the terms of the December Agile Note being substantially different from the terms of the July and September Agile Notes. As a result, the Company recorded a loss on debt extinguishment of $1,071,563.</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31, 2025, the Company issued a subordinated secured promissory note (the “March Agile Note”) for an aggregate principal amount of $4,000,000 and received net proceeds of $2,044,105, after administrative agent fees of $200,000 paid to Agile Funding, and net of payments to Agile of $1,755,895 in respect to early prepayment of the remaining outstanding balances of the December Agile Note. The March Agile Note has a maturity date of November 12, 2025 and bears interest at a rate of 44%.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modification on March 31, 2025, the Company evaluated the debt modification guidance, determining that the modification is an extinguishment of the existing December Agile Note due to the terms of the March Agile Note being substantially different from the terms of the December Agile Notes. As a result, the Company recorded a loss on debt extinguishment of $1,769,895.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12, 2025, the Company issued a subordinated secured promissory note (the “June Agile Note”) for an aggregate principal amount of $262,500 and received net proceeds of $250,000, after administrative agent fees $12,500 paid to Agile Funding. The June Agile note has a maturity date of December 15, 2025 and bears interest at a rate of 48%.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July Agile Note, the September Agile Note, the December Agile Note, the March Agile Note, and the June Agile Note are together referred to as the “Agile Notes.” Interest on the Agile Notes is calculated on a 360 day year based on the actual number of days lapsed, and accrues commencing on and including the effective date pursuant to the respective agreement’s weekly repayment and amortization schedule.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collateral under the July and September Subordinated Business Loan and Security Agreements consist of all of the Company’s goods, accounts, equipment, inventory, contract rights or rights to payment of money, leases, license agreements, franchise agreements, general intangibles (including intellectual property), commercial tort claims, documents, instruments (including any promissory notes), chattel paper (whether tangible or electronic), cash, deposit accounts and other collateral accounts, all certificates of deposit, fixtures, letters of credit rights, securities, and all other investment property, supporting obligations, and financial assets. Upon any Changes in Business or Management, Ownership (as defined in the agreements) or upon an Event of Default (as defined in the agreements), each of the July Agile Note and or the September Agile Note then-outstanding will become accelerated and the Company shall immediately pay to Agile an amount equal to the sum of (i) all outstanding principal of the term loan plus accrued and unpaid interest thereon accrued through the prepayment date, (ii) a Prepayment Fee (as defined in the agreements), plus (iii) all other obligations that are due and payable, including, without limitation, incremental interest at the Default Rate of 5.0% (as defined in the agreements). Additionally, the Company may voluntarily prepay the July Agile Note and or the September Agile Note, in accordance with their terms, in whole or in part at any time. On the date of such prepayment of any principal amounts, the Company will owe to Agile a Prepayment Fee comprising a make-whole premium payment on account of such principal amount prepaid, which shall be equal to the aggregate and actual amount of interest (at the contract rate of interest) that would be paid through the maturity date of the respective note, as described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Agile Notes include contingent redemption (put) rights which trigger mandatory prepayment and a make-whole premium upon certain events including an event of default, and defaulted contingent interest upon an event of default. For further discussion of this derivative, see </w:t>
      </w:r>
      <w:r>
        <w:rPr>
          <w:rFonts w:ascii="Times New Roman;Times;Serif" w:hAnsi="Times New Roman;Times;Serif"/>
          <w:b w:val="false"/>
          <w:i/>
          <w:caps w:val="false"/>
          <w:smallCaps w:val="false"/>
          <w:sz w:val="20"/>
        </w:rPr>
        <w:t>Note 7 – Fair Value Measurements.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issuance of the March Agile Note, the Company entered into a series of exchange and forbearance arrangements with Agile and Agile Funding, relating to the outstanding balance of the March Agile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11, 2025, the remaining principal and accrued and unpaid interest under the March Agile Note was approximately $1,495,375. On December 15, 2025, the Company entered into a forbearance agreement with Agile and Agile Funding, pursuant to which Agile agreed to forbear from exercising its rights and remedies under the March Agile Note and related loan documents in connection with existing defaults. In consideration for such forbearance, the outstanding balance of the March Agile Note was increased to $2,123,432.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modification on December 15, 2025, the Company evaluated the debt modification guidance, determining that the modification is an extinguishment of the March Agile Note due to the terms of the March Agile Note after the modification being substantially different from before the modification as a result of the forbearance agreement. As a result, the Company recorded a loss on debt extinguishment of $632,837.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15, 2025, the Company entered into an exchange agreement with Agile pursuant to which the Company issued 232,786 shares of its Class A common stock in exchange for a reduction of $284,000 in the outstanding balance of the March Agile Note. Following this exchange, the outstanding balance of the March Agile Note was reduced to approximately $1,839,432.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on the Agile Notes totaled $2,727,280 and $100,095 for the year ended December 31, 2025 and 2024, respectively.</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presents the Agile Notes for the year ended December 31, 2025:</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Notes</w:t>
      </w:r>
    </w:p>
    <w:tbl>
      <w:tblPr>
        <w:tblW w:w="7274" w:type="dxa"/>
        <w:jc w:val="left"/>
        <w:tblInd w:w="0" w:type="dxa"/>
        <w:tblLayout w:type="fixed"/>
        <w:tblCellMar>
          <w:top w:w="0" w:type="dxa"/>
          <w:left w:w="0" w:type="dxa"/>
          <w:bottom w:w="0" w:type="dxa"/>
          <w:right w:w="0" w:type="dxa"/>
        </w:tblCellMar>
      </w:tblPr>
      <w:tblGrid>
        <w:gridCol w:w="5300"/>
        <w:gridCol w:w="60"/>
        <w:gridCol w:w="211"/>
        <w:gridCol w:w="1593"/>
        <w:gridCol w:w="110"/>
      </w:tblGrid>
      <w:tr>
        <w:trPr/>
        <w:tc>
          <w:tcPr>
            <w:tcW w:w="53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Agile Term Notes</w:t>
            </w:r>
          </w:p>
        </w:tc>
        <w:tc>
          <w:tcPr>
            <w:tcW w:w="110" w:type="dxa"/>
            <w:tcBorders/>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at December 31, 2024</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59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3,143,000</w:t>
            </w:r>
          </w:p>
        </w:tc>
        <w:tc>
          <w:tcPr>
            <w:tcW w:w="110" w:type="dxa"/>
            <w:tcBorders/>
            <w:shd w:fill="CCEEFF" w:val="clear"/>
            <w:vAlign w:val="center"/>
          </w:tcPr>
          <w:p>
            <w:pPr>
              <w:pStyle w:val="TableContents"/>
              <w:bidi w:val="0"/>
              <w:spacing w:before="0" w:after="283"/>
              <w:jc w:val="left"/>
              <w:rPr/>
            </w:pPr>
            <w:r>
              <w:rPr/>
              <w:t> </w:t>
            </w:r>
          </w:p>
        </w:tc>
      </w:tr>
      <w:tr>
        <w:trPr/>
        <w:tc>
          <w:tcPr>
            <w:tcW w:w="53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Agile term notes</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59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4,262,500</w:t>
            </w:r>
          </w:p>
        </w:tc>
        <w:tc>
          <w:tcPr>
            <w:tcW w:w="110" w:type="dxa"/>
            <w:tcBorders/>
            <w:shd w:fill="FFFFFF" w:val="clear"/>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issuance</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59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110,500</w:t>
            </w:r>
          </w:p>
        </w:tc>
        <w:tc>
          <w:tcPr>
            <w:tcW w:w="110" w:type="dxa"/>
            <w:tcBorders/>
            <w:shd w:fill="CCEEFF" w:val="clear"/>
            <w:vAlign w:val="center"/>
          </w:tcPr>
          <w:p>
            <w:pPr>
              <w:pStyle w:val="TableContents"/>
              <w:bidi w:val="0"/>
              <w:spacing w:before="0" w:after="283"/>
              <w:jc w:val="left"/>
              <w:rPr/>
            </w:pPr>
            <w:r>
              <w:rPr/>
              <w:t> </w:t>
            </w:r>
          </w:p>
        </w:tc>
      </w:tr>
      <w:tr>
        <w:trPr/>
        <w:tc>
          <w:tcPr>
            <w:tcW w:w="53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extinguishment</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59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2,402,732</w:t>
            </w:r>
          </w:p>
        </w:tc>
        <w:tc>
          <w:tcPr>
            <w:tcW w:w="110" w:type="dxa"/>
            <w:tcBorders/>
            <w:shd w:fill="FFFFFF" w:val="clear"/>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Repayments in cash</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59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(8,079,300</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3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Conversions</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59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(284,000</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3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w:t>
            </w:r>
          </w:p>
        </w:tc>
        <w:tc>
          <w:tcPr>
            <w:tcW w:w="60" w:type="dxa"/>
            <w:tcBorders/>
            <w:shd w:fill="CCEEFF" w:val="clear"/>
            <w:vAlign w:val="center"/>
          </w:tcPr>
          <w:p>
            <w:pPr>
              <w:pStyle w:val="TableContents"/>
              <w:bidi w:val="0"/>
              <w:spacing w:before="0" w:after="283"/>
              <w:jc w:val="left"/>
              <w:rPr/>
            </w:pPr>
            <w:r>
              <w:rPr/>
              <w:t> </w:t>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9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173,055</w:t>
            </w:r>
          </w:p>
        </w:tc>
        <w:tc>
          <w:tcPr>
            <w:tcW w:w="110" w:type="dxa"/>
            <w:tcBorders/>
            <w:shd w:fill="CCEEFF" w:val="clear"/>
            <w:vAlign w:val="center"/>
          </w:tcPr>
          <w:p>
            <w:pPr>
              <w:pStyle w:val="TableContents"/>
              <w:bidi w:val="0"/>
              <w:spacing w:before="0" w:after="283"/>
              <w:jc w:val="left"/>
              <w:rPr/>
            </w:pPr>
            <w:r>
              <w:rPr/>
              <w:t> </w:t>
            </w:r>
          </w:p>
        </w:tc>
      </w:tr>
      <w:tr>
        <w:trPr/>
        <w:tc>
          <w:tcPr>
            <w:tcW w:w="53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at December 31, 2025</w:t>
            </w:r>
          </w:p>
        </w:tc>
        <w:tc>
          <w:tcPr>
            <w:tcW w:w="60"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59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1,728,487</w:t>
            </w:r>
          </w:p>
        </w:tc>
        <w:tc>
          <w:tcPr>
            <w:tcW w:w="110" w:type="dxa"/>
            <w:tcBorders/>
            <w:shd w:fill="FFFFFF" w:val="clear"/>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593"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3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Outstanding principal balance as of December 31, 2025</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59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1,839,433</w:t>
            </w:r>
          </w:p>
        </w:tc>
        <w:tc>
          <w:tcPr>
            <w:tcW w:w="110" w:type="dxa"/>
            <w:tcBorders/>
            <w:shd w:fill="FFFFFF" w:val="clear"/>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interest as of December 31, 2025</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593"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1800 Diagonal Convertible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16, 2024, the Company entered into a securities purchase agreement and promissory note agreement (the “August Securities Purchase Agreement”) with 1800 Diagonal Lending LLC (“Lender”) and issued a promissory note (the “August 1800 Diagonal Note”) for an aggregate principal amount of $184,000 and received net proceeds of $152,000, after an original issue discount of $24,000 and issuance costs of $8,000 for due diligence and legal fees. The August 1800 Diagonal Note has a maturity date of June 15, 2025 and bears interest at 12% per annum. The August Securities Purchase Agreement stipulates that the Company and Lender may mutually agree to enter into additional tranches of promissory notes over the 12 month period commencing on August 16, 2024, up to an aggregate total of $750,000.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24, 2024, the Company issued a second promissory note (the “September 1800 Diagonal Note”) for an aggregate principal amount of $124,200 and received net proceeds of $100,000, after an original discount of $16,200 and issuance costs of $8,000 for due diligence and legal fees. The September 1800 Diagonal Note has a maturity date of July 30, 2025 and bears interest at 12% per annum. On July 23, 2025, the Company exercised its conversion option under the September 1800 Diagonal Note. On the conversion date, the September 1800 Diagonal Note had a fair value of $17,000 and converted into 7,034 shares of the Company’s Class A Common Stock in satisfaction of $17,388 of the Company’s obligations under the September 1800 Diagonal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10, 2024, the Company issued a third promissory note (the “December 1800 Diagonal Note”) for an aggregate principal amount of $124,200 and received net proceeds of $100,000, after an original discount of $16,200 and issuance costs of $8,000 for due diligence and legal fees. The December 1800 Diagonal Note has a maturity date of October 15, 2025 and bears interest at 12% per annum. On July 22, 2025, the Company exercised its conversion option under the December 1800 Diagonal Note. On the conversion date, the December 1800 Diagonal Note had a fair value of $58,000 and converted into 19,986 shares of the Company’s Class A Common Stock in satisfaction of $52,164 of the Company’s obligations under the December 1800 Diagonal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7, 2025, the Company issued a fourth promissory note (the “February 1800 Diagonal Note”) for an aggregate principal amount of $124,200 and received net proceeds of $100,000, after an original discount of $16,200 and issuance costs of $8,000 for due diligence and legal fees. The February 1800 Diagonal Note has a maturity date of December 15, 2025 and bears interest at 12% per annum. On August 11, 2025, the Company exercised its conversion option under the February 1800 Diagonal Note. On the conversion date, the February 1800 Diagonal Note had a fair value of $80,700 and converted into 32,780 shares of the Company’s Class A Common Stock in satisfaction of $69,552 of the Company’s obligations under the February 1800 Diagonal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17, 2025, the Company issued a fifth promissory note (the “April 1800 Diagonal Note”) for an aggregate principal amount of $230,000 and received net proceeds of $192,000, after an original discount of $30,000 and issuance costs of $8,000 for due diligence and legal fees. The April 1800 Diagonal Note has a maturity date of February 15, 2026 and bears interest at 12% per annum.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 October 21, 2025 and October 27, 2025, the Lender exercised its conversion option multiple times under the April 1800 Diagonal Note and received an aggregate of 140,293 shares of Class A Common Stock at conversion prices per share ranging from $1.69 to $2.06 in full satisfaction of the Company’s remaining obligations under the April 1800 Diagonal Note totaling $265,100.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9, 2025, the Company issued a sixth promissory note (the “May 1800 Diagonal Note”) for an aggregate principal amount of $163,300 and received net proceeds of $135,000, after an original discount of $21,300 and issuance costs of $7,000 for due diligence and legal fees. The May 1800 Diagonal Note has a maturity date of February 15, 2026 and bears interest at 12% per annum.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23, 2025, the Company issued a seventh promissory note (the “July 1800 Diagonal Note”) for an aggregate principal amount of $295,550 and received net proceeds of $250,000, after an original discount of $38,550 and issuance costs of $7,000 for due diligence and legal fees. The July 1800 Diagonal Note has a maturity date of May 30, 2026 and bears interest at 12% per annum.</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12, 2025, the Company issued an eighth promissory note (the “September 2025 1800 Diagonal Note”) for an aggregate principal amount of $151,800 and received net proceeds of $125,000, after an original discount of $19,800 and issuance costs of $7,000 for due diligence and legal fees. The September 2025 1800 Diagonal Note has a maturity date of June 15, 2026 and bears interest at 14% per annum.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4, 2025, the Company issued a ninth promissory note (the “November 1800 Diagonal Note”) for an aggregate principal amount of $238,050 and received net proceeds of $200,000, after an original discount of $31,050 and issuance costs of $7,000 for due diligence and legal fees. The November 1800 Diagonal Note has a maturity date of July 30, 2026 and bears interest at 14% per annum.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August, September, December, February, April, May, July, September 2025 and November notes described above are together referred to as the “1800 Diagonal Notes.” Interest on the 1800 Diagonal Notes accrues commencing on and including the issuance date pursuant to the respective agreement’s repayment and amortization schedule.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an event of default, as defined in the respective agreements, all or any portion of the 1800 Diagonal Notes that are then outstanding, may become convertible at the option of the Lender into fully paid and non-assessable shares of the Company’s Common Stock up to 4.99% of the Company’s outstanding shares of Common Stock. The Notes become convertible at the Lender’s option upon an event of default, at a conversion price equal to the quotient resulting from dividing the Conversion Amount, measured as the sum of (1) the principal amount of the Note or Notes being converted in such conversion, plus (2) at the Lender’s option, accrued and unpaid interest, if any, on such principal amount at the interest rates to the respective note or notes being converted through the conversion date, plus (3) at the Lender’s option, the default interest, divided by the “Conversion Price” then in effect on the date specified in the notice of conversion (the conversion date). The Conversion Price will be measured as seventy-five percent (75%) multiplied by the market price, which means the lowest trading price for the Company’s Common Stock during the ten (10) trading day period ending on the latest complete trading day prior to the conversion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1800 Diagonal Notes include optional conversion rights to the holder upon an event of default, contingent redemption (put) rights which trigger mandatory prepayment upon event of default, and defaulted contingent interest upon an event of default. For further discussion of this derivative, see </w:t>
      </w:r>
      <w:r>
        <w:rPr>
          <w:rFonts w:ascii="Times New Roman;Times;Serif" w:hAnsi="Times New Roman;Times;Serif"/>
          <w:b w:val="false"/>
          <w:i/>
          <w:caps w:val="false"/>
          <w:smallCaps w:val="false"/>
          <w:sz w:val="20"/>
        </w:rPr>
        <w:t>Note 7 – Fair Value Measurements.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on the 1800 Diagonal Notes totaled approximately $306,696 and $100,095 for the year ended December 31, 2025 and 2024,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1800 Diagonal Notes year ended December 31, 2025:</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Notes</w:t>
      </w:r>
    </w:p>
    <w:tbl>
      <w:tblPr>
        <w:tblW w:w="6944" w:type="dxa"/>
        <w:jc w:val="left"/>
        <w:tblInd w:w="0" w:type="dxa"/>
        <w:tblLayout w:type="fixed"/>
        <w:tblCellMar>
          <w:top w:w="0" w:type="dxa"/>
          <w:left w:w="0" w:type="dxa"/>
          <w:bottom w:w="0" w:type="dxa"/>
          <w:right w:w="0" w:type="dxa"/>
        </w:tblCellMar>
      </w:tblPr>
      <w:tblGrid>
        <w:gridCol w:w="5300"/>
        <w:gridCol w:w="60"/>
        <w:gridCol w:w="184"/>
        <w:gridCol w:w="1290"/>
        <w:gridCol w:w="110"/>
      </w:tblGrid>
      <w:tr>
        <w:trPr/>
        <w:tc>
          <w:tcPr>
            <w:tcW w:w="53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1800 Diagonal</w:t>
            </w:r>
          </w:p>
        </w:tc>
        <w:tc>
          <w:tcPr>
            <w:tcW w:w="110" w:type="dxa"/>
            <w:tcBorders/>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at December 31, 2024</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9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432,000</w:t>
            </w:r>
          </w:p>
        </w:tc>
        <w:tc>
          <w:tcPr>
            <w:tcW w:w="110" w:type="dxa"/>
            <w:tcBorders/>
            <w:shd w:fill="CCEEFF" w:val="clear"/>
            <w:vAlign w:val="center"/>
          </w:tcPr>
          <w:p>
            <w:pPr>
              <w:pStyle w:val="TableContents"/>
              <w:bidi w:val="0"/>
              <w:spacing w:before="0" w:after="283"/>
              <w:jc w:val="left"/>
              <w:rPr/>
            </w:pPr>
            <w:r>
              <w:rPr/>
              <w:t> </w:t>
            </w:r>
          </w:p>
        </w:tc>
      </w:tr>
      <w:tr>
        <w:trPr/>
        <w:tc>
          <w:tcPr>
            <w:tcW w:w="53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convertible notes</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29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1,297,200</w:t>
            </w:r>
          </w:p>
        </w:tc>
        <w:tc>
          <w:tcPr>
            <w:tcW w:w="110" w:type="dxa"/>
            <w:tcBorders/>
            <w:shd w:fill="FFFFFF" w:val="clear"/>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debt issuance</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29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140,215</w:t>
            </w:r>
          </w:p>
        </w:tc>
        <w:tc>
          <w:tcPr>
            <w:tcW w:w="110" w:type="dxa"/>
            <w:tcBorders/>
            <w:shd w:fill="CCEEFF" w:val="clear"/>
            <w:vAlign w:val="center"/>
          </w:tcPr>
          <w:p>
            <w:pPr>
              <w:pStyle w:val="TableContents"/>
              <w:bidi w:val="0"/>
              <w:spacing w:before="0" w:after="283"/>
              <w:jc w:val="left"/>
              <w:rPr/>
            </w:pPr>
            <w:r>
              <w:rPr/>
              <w:t> </w:t>
            </w:r>
          </w:p>
        </w:tc>
      </w:tr>
      <w:tr>
        <w:trPr/>
        <w:tc>
          <w:tcPr>
            <w:tcW w:w="53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Repayments in cash</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29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(615,457</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3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29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(49,478</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3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Conversions</w:t>
            </w:r>
          </w:p>
        </w:tc>
        <w:tc>
          <w:tcPr>
            <w:tcW w:w="60" w:type="dxa"/>
            <w:tcBorders/>
            <w:shd w:fill="FFFFFF" w:val="clear"/>
            <w:vAlign w:val="center"/>
          </w:tcPr>
          <w:p>
            <w:pPr>
              <w:pStyle w:val="TableContents"/>
              <w:bidi w:val="0"/>
              <w:spacing w:before="0" w:after="283"/>
              <w:jc w:val="left"/>
              <w:rPr/>
            </w:pPr>
            <w:r>
              <w:rPr/>
              <w:t> </w:t>
            </w:r>
          </w:p>
        </w:tc>
        <w:tc>
          <w:tcPr>
            <w:tcW w:w="18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(457,493</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3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at December 31, 2025</w:t>
            </w:r>
          </w:p>
        </w:tc>
        <w:tc>
          <w:tcPr>
            <w:tcW w:w="60" w:type="dxa"/>
            <w:tcBorders/>
            <w:shd w:fill="CCEEFF" w:val="clear"/>
            <w:vAlign w:val="center"/>
          </w:tcPr>
          <w:p>
            <w:pPr>
              <w:pStyle w:val="TableContents"/>
              <w:bidi w:val="0"/>
              <w:spacing w:before="0" w:after="283"/>
              <w:jc w:val="left"/>
              <w:rPr/>
            </w:pPr>
            <w:r>
              <w:rPr/>
              <w:t> </w:t>
            </w:r>
          </w:p>
        </w:tc>
        <w:tc>
          <w:tcPr>
            <w:tcW w:w="18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9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746,987</w:t>
            </w:r>
          </w:p>
        </w:tc>
        <w:tc>
          <w:tcPr>
            <w:tcW w:w="110" w:type="dxa"/>
            <w:tcBorders/>
            <w:shd w:fill="CCEEFF" w:val="clear"/>
            <w:vAlign w:val="center"/>
          </w:tcPr>
          <w:p>
            <w:pPr>
              <w:pStyle w:val="TableContents"/>
              <w:bidi w:val="0"/>
              <w:spacing w:before="0" w:after="283"/>
              <w:jc w:val="left"/>
              <w:rPr/>
            </w:pPr>
            <w:r>
              <w:rPr/>
              <w:t> </w:t>
            </w:r>
          </w:p>
        </w:tc>
      </w:tr>
      <w:tr>
        <w:trPr/>
        <w:tc>
          <w:tcPr>
            <w:tcW w:w="53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29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Outstanding principal balance as of December 31, 2025</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9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721,938</w:t>
            </w:r>
          </w:p>
        </w:tc>
        <w:tc>
          <w:tcPr>
            <w:tcW w:w="110" w:type="dxa"/>
            <w:tcBorders/>
            <w:shd w:fill="CCEEFF" w:val="clear"/>
            <w:vAlign w:val="center"/>
          </w:tcPr>
          <w:p>
            <w:pPr>
              <w:pStyle w:val="TableContents"/>
              <w:bidi w:val="0"/>
              <w:spacing w:before="0" w:after="283"/>
              <w:jc w:val="left"/>
              <w:rPr/>
            </w:pPr>
            <w:r>
              <w:rPr/>
              <w:t> </w:t>
            </w:r>
          </w:p>
        </w:tc>
      </w:tr>
      <w:tr>
        <w:trPr/>
        <w:tc>
          <w:tcPr>
            <w:tcW w:w="53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interest as of December 31, 2025</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9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71,015</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3i, LP Private Placement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27, 2025, the Company entered into a securities purchase agreement (the “Purchase Agreement”) with an institutional investor, 3i, LP (the “Buyer”) for the issuance and sale in a private placement (the “Private Placement Offering”) of senior secured convertible notes of the Company, in the aggregate original principal amount of $11,000,000 (the “Private Placement Convertible Notes”) which are convertible into shares of the Company’s Class A Common Stock (the shares of Common Stock issuable pursuant to the terms of the Notes, including, without limitation, upon conversion or otherwise, collectively, the “Conversion Shares”), in accordance with the terms of the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the Offering, the Company has also entered into a letter agreement dated April 30, 2025 (the “Letter Agreement”) with Rodman &amp; Renshaw LLC as the exclusive financial advisor (the “Financial Advisor”) pursuant to which the Company has agreed to issue financial advisor warrants to purchase up to an aggregate of 21,212 shares of Common Stock (the “Financial Advisor Warrants,” together with the Buyer Warrants, the “Private Placement Warrants”). Refer to </w:t>
      </w:r>
      <w:r>
        <w:rPr>
          <w:rFonts w:ascii="Times New Roman;Times;Serif" w:hAnsi="Times New Roman;Times;Serif"/>
          <w:b w:val="false"/>
          <w:i/>
          <w:caps w:val="false"/>
          <w:smallCaps w:val="false"/>
          <w:sz w:val="20"/>
        </w:rPr>
        <w:t>Note 15 – Equity</w:t>
      </w:r>
      <w:r>
        <w:rPr>
          <w:rFonts w:ascii="Times New Roman;Times;Serif" w:hAnsi="Times New Roman;Times;Serif"/>
          <w:b w:val="false"/>
          <w:i w:val="false"/>
          <w:caps w:val="false"/>
          <w:smallCaps w:val="false"/>
          <w:sz w:val="20"/>
        </w:rPr>
        <w:t>, for further description of the Warrants issued in the Private Placement Offering.</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30, 2025, the parties conducted the initial closing pursuant to the terms of the Purchase Agreement and the Company issued an initial Note (the “June 3i Note”) and an initial warrant (“June Warrant”) to acquire shares of the Company’s Class A Common Stock. The parties conducted subsequent closings on August 19, 2025 and October 8, 2025 and the Company issued additional notes and warrants (the “August 3i Note” and the “August Warrant,” and the “October 3i Note” and the “October Warrant,” respectively). The following table presents the maturity date, the original principal amount, the net proceeds received by the Company after original issue discount and issuance fees and costs, the initial conversion price per share, and the initial conversion floor price per share at the date of closing for each Note, and the number of warrants and the initial exercise price per share for each Buyer Warrant associated with the Private Placement Offering:</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Private Placement Offering</w:t>
      </w:r>
    </w:p>
    <w:tbl>
      <w:tblPr>
        <w:tblW w:w="11355" w:type="dxa"/>
        <w:jc w:val="left"/>
        <w:tblInd w:w="0" w:type="dxa"/>
        <w:tblLayout w:type="fixed"/>
        <w:tblCellMar>
          <w:top w:w="0" w:type="dxa"/>
          <w:left w:w="0" w:type="dxa"/>
          <w:bottom w:w="0" w:type="dxa"/>
          <w:right w:w="0" w:type="dxa"/>
        </w:tblCellMar>
      </w:tblPr>
      <w:tblGrid>
        <w:gridCol w:w="800"/>
        <w:gridCol w:w="60"/>
        <w:gridCol w:w="1025"/>
        <w:gridCol w:w="60"/>
        <w:gridCol w:w="1025"/>
        <w:gridCol w:w="60"/>
        <w:gridCol w:w="140"/>
        <w:gridCol w:w="980"/>
        <w:gridCol w:w="60"/>
        <w:gridCol w:w="60"/>
        <w:gridCol w:w="140"/>
        <w:gridCol w:w="980"/>
        <w:gridCol w:w="60"/>
        <w:gridCol w:w="60"/>
        <w:gridCol w:w="287"/>
        <w:gridCol w:w="903"/>
        <w:gridCol w:w="60"/>
        <w:gridCol w:w="60"/>
        <w:gridCol w:w="287"/>
        <w:gridCol w:w="903"/>
        <w:gridCol w:w="60"/>
        <w:gridCol w:w="60"/>
        <w:gridCol w:w="1025"/>
        <w:gridCol w:w="60"/>
        <w:gridCol w:w="71"/>
        <w:gridCol w:w="954"/>
        <w:gridCol w:w="60"/>
        <w:gridCol w:w="60"/>
        <w:gridCol w:w="222"/>
        <w:gridCol w:w="698"/>
        <w:gridCol w:w="75"/>
      </w:tblGrid>
      <w:tr>
        <w:trPr/>
        <w:tc>
          <w:tcPr>
            <w:tcW w:w="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10" w:type="dxa"/>
            <w:gridSpan w:val="19"/>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Private Placement Notes</w:t>
            </w:r>
          </w:p>
        </w:tc>
        <w:tc>
          <w:tcPr>
            <w:tcW w:w="60" w:type="dxa"/>
            <w:tcBorders/>
            <w:vAlign w:val="center"/>
          </w:tcPr>
          <w:p>
            <w:pPr>
              <w:pStyle w:val="TableContents"/>
              <w:bidi w:val="0"/>
              <w:spacing w:before="0" w:after="283"/>
              <w:jc w:val="left"/>
              <w:rPr/>
            </w:pPr>
            <w:r>
              <w:rPr/>
              <w:t> </w:t>
            </w:r>
          </w:p>
        </w:tc>
        <w:tc>
          <w:tcPr>
            <w:tcW w:w="3225" w:type="dxa"/>
            <w:gridSpan w:val="9"/>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Private Placement Warrants</w:t>
            </w:r>
          </w:p>
        </w:tc>
      </w:tr>
      <w:tr>
        <w:trPr/>
        <w:tc>
          <w:tcPr>
            <w:tcW w:w="80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Closing Date</w:t>
            </w:r>
          </w:p>
        </w:tc>
        <w:tc>
          <w:tcPr>
            <w:tcW w:w="60" w:type="dxa"/>
            <w:tcBorders/>
            <w:vAlign w:val="center"/>
          </w:tcPr>
          <w:p>
            <w:pPr>
              <w:pStyle w:val="TableContents"/>
              <w:bidi w:val="0"/>
              <w:spacing w:before="0" w:after="283"/>
              <w:jc w:val="left"/>
              <w:rPr/>
            </w:pPr>
            <w:r>
              <w:rPr/>
              <w:t> </w:t>
            </w:r>
          </w:p>
        </w:tc>
        <w:tc>
          <w:tcPr>
            <w:tcW w:w="102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Note Issued by </w:t>
              <w:br/>
              <w:t>the Company</w:t>
            </w:r>
          </w:p>
        </w:tc>
        <w:tc>
          <w:tcPr>
            <w:tcW w:w="60" w:type="dxa"/>
            <w:tcBorders/>
            <w:vAlign w:val="center"/>
          </w:tcPr>
          <w:p>
            <w:pPr>
              <w:pStyle w:val="TableContents"/>
              <w:bidi w:val="0"/>
              <w:spacing w:before="0" w:after="283"/>
              <w:jc w:val="left"/>
              <w:rPr/>
            </w:pPr>
            <w:r>
              <w:rPr/>
              <w:t> </w:t>
            </w:r>
          </w:p>
        </w:tc>
        <w:tc>
          <w:tcPr>
            <w:tcW w:w="102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Maturity Date of the Note</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Original Principal Amount of the Note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Net Proceeds Received by the Company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Initial Conversion Price per Share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Initial Conversion Floor Price per Share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Warrants Issued by the Company</w:t>
            </w:r>
          </w:p>
        </w:tc>
        <w:tc>
          <w:tcPr>
            <w:tcW w:w="60" w:type="dxa"/>
            <w:tcBorders/>
            <w:vAlign w:val="center"/>
          </w:tcPr>
          <w:p>
            <w:pPr>
              <w:pStyle w:val="TableContents"/>
              <w:bidi w:val="0"/>
              <w:spacing w:before="0" w:after="283"/>
              <w:jc w:val="left"/>
              <w:rPr/>
            </w:pPr>
            <w:r>
              <w:rPr/>
              <w:t> </w:t>
            </w:r>
          </w:p>
        </w:tc>
        <w:tc>
          <w:tcPr>
            <w:tcW w:w="102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Number of Buyer Warrants Issued by the Company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Initial Buyer Warrant Exercise Price per Share</w:t>
            </w:r>
          </w:p>
        </w:tc>
        <w:tc>
          <w:tcPr>
            <w:tcW w:w="75" w:type="dxa"/>
            <w:tcBorders/>
            <w:vAlign w:val="center"/>
          </w:tcPr>
          <w:p>
            <w:pPr>
              <w:pStyle w:val="TableContents"/>
              <w:bidi w:val="0"/>
              <w:spacing w:before="0" w:after="283"/>
              <w:jc w:val="left"/>
              <w:rPr/>
            </w:pPr>
            <w:r>
              <w:rPr/>
              <w:t> </w:t>
            </w:r>
          </w:p>
        </w:tc>
      </w:tr>
      <w:tr>
        <w:trPr/>
        <w:tc>
          <w:tcPr>
            <w:tcW w:w="8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June 30, 2025</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June 3i Note</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June 30, 2026</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1,725,000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June Warrant</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67,124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9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2.50</w:t>
            </w:r>
          </w:p>
        </w:tc>
        <w:tc>
          <w:tcPr>
            <w:tcW w:w="75" w:type="dxa"/>
            <w:tcBorders/>
            <w:shd w:fill="CCEEFF" w:val="clear"/>
            <w:vAlign w:val="center"/>
          </w:tcPr>
          <w:p>
            <w:pPr>
              <w:pStyle w:val="TableContents"/>
              <w:bidi w:val="0"/>
              <w:spacing w:before="0" w:after="283"/>
              <w:jc w:val="left"/>
              <w:rPr/>
            </w:pPr>
            <w:r>
              <w:rPr/>
              <w:t> </w:t>
            </w:r>
          </w:p>
        </w:tc>
      </w:tr>
      <w:tr>
        <w:trPr/>
        <w:tc>
          <w:tcPr>
            <w:tcW w:w="8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August 19, 2025</w:t>
            </w:r>
          </w:p>
        </w:tc>
        <w:tc>
          <w:tcPr>
            <w:tcW w:w="60"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August 3i Note</w:t>
            </w:r>
          </w:p>
        </w:tc>
        <w:tc>
          <w:tcPr>
            <w:tcW w:w="60"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September 19, 2026</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1,762,000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August Warrant</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126,107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9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2.50</w:t>
            </w:r>
          </w:p>
        </w:tc>
        <w:tc>
          <w:tcPr>
            <w:tcW w:w="75" w:type="dxa"/>
            <w:tcBorders/>
            <w:shd w:fill="FFFFFF" w:val="clear"/>
            <w:vAlign w:val="center"/>
          </w:tcPr>
          <w:p>
            <w:pPr>
              <w:pStyle w:val="TableContents"/>
              <w:bidi w:val="0"/>
              <w:spacing w:before="0" w:after="283"/>
              <w:jc w:val="left"/>
              <w:rPr/>
            </w:pPr>
            <w:r>
              <w:rPr/>
              <w:t> </w:t>
            </w:r>
          </w:p>
        </w:tc>
      </w:tr>
      <w:tr>
        <w:trPr/>
        <w:tc>
          <w:tcPr>
            <w:tcW w:w="8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October 8, 2025</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October 3i Note</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October 8, 2026</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2,010,909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October Warrant</w:t>
            </w:r>
          </w:p>
        </w:tc>
        <w:tc>
          <w:tcPr>
            <w:tcW w:w="60" w:type="dxa"/>
            <w:tcBorders/>
            <w:shd w:fill="CCEEFF" w:val="clear"/>
            <w:vAlign w:val="center"/>
          </w:tcPr>
          <w:p>
            <w:pPr>
              <w:pStyle w:val="TableContents"/>
              <w:bidi w:val="0"/>
              <w:spacing w:before="0" w:after="283"/>
              <w:jc w:val="left"/>
              <w:rPr/>
            </w:pPr>
            <w:r>
              <w:rPr/>
              <w:t> </w:t>
            </w:r>
          </w:p>
        </w:tc>
        <w:tc>
          <w:tcPr>
            <w:tcW w:w="7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5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9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2.50</w:t>
            </w:r>
          </w:p>
        </w:tc>
        <w:tc>
          <w:tcPr>
            <w:tcW w:w="75" w:type="dxa"/>
            <w:tcBorders/>
            <w:shd w:fill="CCEEFF" w:val="clear"/>
            <w:vAlign w:val="center"/>
          </w:tcPr>
          <w:p>
            <w:pPr>
              <w:pStyle w:val="TableContents"/>
              <w:bidi w:val="0"/>
              <w:spacing w:before="0" w:after="283"/>
              <w:jc w:val="left"/>
              <w:rPr/>
            </w:pPr>
            <w:r>
              <w:rPr/>
              <w:t> </w:t>
            </w:r>
          </w:p>
        </w:tc>
      </w:tr>
      <w:tr>
        <w:trPr/>
        <w:tc>
          <w:tcPr>
            <w:tcW w:w="80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w:t>
            </w:r>
          </w:p>
        </w:tc>
        <w:tc>
          <w:tcPr>
            <w:tcW w:w="60"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6,900,000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5,497,909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7"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7"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5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393,231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698"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Private Placement Notes were issued with an original issue discount of 10.0% and accrue interest at a rate of 10.0% per annum.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net proceeds received by the Company are after the original issue discount and issuance fees and costs, financial advisory fees and estimated offering expenses. The Private Placement Notes mature twelve (12) months from the respective date of issuance, unless extended pursuant to the terms thereof. The Notes are convertible (in whole or in part) at any time prior to the Maturity Date into the number of shares of Common Stock equal to quotient of the Conversion Amount divided by (y) the Conversion Price (the “Conversion Rate”). At no time may the Buyer hold more than 4.99% (or up to 9.99% at the election of the Buyers pursuant to the Notes) of the outstanding Common Stock. The Private Placement Notes have a respective conversion price that is subject to a floor price. In certain pricing conditions set by the conversion formula in the agreement, a conversion may result in the Company delivering both shares and cash to the Buyer. The Company intends to use the net proceeds received from the Private Placement Offering for general corporate purposes and working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September 2025, as per the terms of the Notes and Warrants, the conversion price and exercise price was adjusted to $2.50. On October 10, 2025, the Company and 3i, LP entered into a consent and waiver agreement (the “Waiver”) on certain terms of the Purchase Agreement (as defined in </w:t>
      </w:r>
      <w:r>
        <w:rPr>
          <w:rFonts w:ascii="Times New Roman;Times;Serif" w:hAnsi="Times New Roman;Times;Serif"/>
          <w:b w:val="false"/>
          <w:i/>
          <w:caps w:val="false"/>
          <w:smallCaps w:val="false"/>
          <w:sz w:val="20"/>
        </w:rPr>
        <w:t xml:space="preserve">Note 12 – Debt </w:t>
      </w:r>
      <w:r>
        <w:rPr>
          <w:rFonts w:ascii="Times New Roman;Times;Serif" w:hAnsi="Times New Roman;Times;Serif"/>
          <w:b w:val="false"/>
          <w:i w:val="false"/>
          <w:caps w:val="false"/>
          <w:smallCaps w:val="false"/>
          <w:sz w:val="20"/>
        </w:rPr>
        <w:t>in the notes to the consolidated financial statements) to waive the downward adjustment prohibition in the Purchase Agreement and to provide 3i with certain Variable Rate Securities, as defined in the Purchase Agreement, solely to the extent it would otherwise be violated by the conversion price of CP BF Letter Agreement, as defined below. As such, the parties waived that the conversion price amendment of the CP BF Letter Agreement, as defined below, shall not trigger or constitute an event of default under the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if an Event of Default (as defined in the Notes) has occurred, the Buyer may elect convert (each, an “Alternate Conversion,” and the date of such Alternate Conversion, each, an “Alternate Conversion Date”) all, or any part of, the Conversion Amount (such portion of the Conversion Amount subject to such Alternate Conversion, the “Alternate Conversion Amount”) into shares of Common Stock at a conversion rate equal to the quotient of (x) the product of (A) the Redemption Premium and (B) the Alternate Conversion Amount, divided by (y) the Alternate Conversion Price (the “Alternate Conversion Rate”). Upon the occurrence of an Event of Default, the Company is required to deliver written notice to the Buyer within one (1) business day (an “Event of Default Notice”). At any time after the earlier of (a) the Buyer’s receipt of an Event of Default Notice, and (b) the Buyer becoming aware of an Event of Default, the Buyer may require the Company to redeem all or any portion of the Notes at a 15% premium. Beginning the earlier to occur of (x) the Effective Date (as defined in the Registration Rights Agreement) of the initial Registration Statement filed pursuant to the Registration Rights Agreement and (y) August 1, 2025, and thereafter, the first Trading Day of the calendar month immediately following (each an “Installment Date”) until the Maturity Date, the Company shall repay the Buyer approximately $183,333 towards the principal balance of the Notes and any accrued and unpaid interest in cash or, provided certain conditions are satisfied, shares of Common Stock, at the Company’s option (collectively, the “Installment Amount”). In connection with a “Change of Control,” the Buyer shall have the right to require the Company to redeem part or all of the Notes outstanding in cash, at the highest calculation of the Change of Control Redemption Price, each of which is outlined in their entirety within the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Private Placement Convertible Notes include optional conversion rights to the holder upon an event of default, contingent redemption (put) rights which trigger mandatory prepayment upon event of default, and defaulted contingent interest upon an event of default.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these embedded features within the Private Placement Convertible Notes, the Company elected to account for the Private Placement Convertible Notes at fair value at their respective dates of issuance and in subsequent reporting periods, pursuant to ASC 825. The Company will record changes in the fair value of the notes that relate to changes in credit risk to other comprehensive income. The remaining changes in fair value, including the component related to accrued interest, will be recorded through the other (income) expense section of the Company’s consolidated statements of operations and comprehensive loss statement in a single line item.</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3i, LP Conversions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 August 12, 2025 and October 22, 2025, the Buyer exercised its contractual conversion options multiple times under the June 3i Note and received an aggregate of 616,450 shares of Class A Common Stock at conversion prices per share ranging from $1.91 to $2.58 in full satisfaction of the Company’s remaining obligations under the June 3i Note totaling $1,419,698.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 September 10, 2025 and October 14, 2025, the Buyer exercised its contractual conversion option multiple times under the August 3i Note and received an aggregate of 617,656 shares of Class A Common Stock at conversion prices per share ranging from $1.91 to $2.42 in satisfaction of $1,411,667 of the Company’s obligations under the August 3i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 October 16, 2025 and December 11, 2025, the Buyer exercised its contractual conversion option multiple times under the October 3i Note and received an aggregate of 1,331,675 shares of Class A Common Stock at conversion prices per share ranging from $1.03 to $2.50 in satisfaction of $1,676,667 of the Company’s obligations under the October 3i Note.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on the Private Placement Convertible Notes totaled approximately $1,193,231 for the year ending December 31, 2025.</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Private Placement Convertible Notes as of December 31, 2025:</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Notes </w:t>
      </w:r>
    </w:p>
    <w:tbl>
      <w:tblPr>
        <w:tblW w:w="6734" w:type="dxa"/>
        <w:jc w:val="left"/>
        <w:tblInd w:w="0" w:type="dxa"/>
        <w:tblLayout w:type="fixed"/>
        <w:tblCellMar>
          <w:top w:w="0" w:type="dxa"/>
          <w:left w:w="0" w:type="dxa"/>
          <w:bottom w:w="0" w:type="dxa"/>
          <w:right w:w="0" w:type="dxa"/>
        </w:tblCellMar>
      </w:tblPr>
      <w:tblGrid>
        <w:gridCol w:w="5300"/>
        <w:gridCol w:w="60"/>
        <w:gridCol w:w="148"/>
        <w:gridCol w:w="1116"/>
        <w:gridCol w:w="110"/>
      </w:tblGrid>
      <w:tr>
        <w:trPr/>
        <w:tc>
          <w:tcPr>
            <w:tcW w:w="53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6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3i, LP Notes</w:t>
            </w:r>
          </w:p>
        </w:tc>
        <w:tc>
          <w:tcPr>
            <w:tcW w:w="110" w:type="dxa"/>
            <w:tcBorders/>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283"/>
              <w:jc w:val="left"/>
              <w:rPr/>
            </w:pPr>
            <w:r>
              <w:rPr/>
              <w:t>Balance at December 31, 2024</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Private Placement Convertible Notes</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1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6,450,000</w:t>
            </w:r>
          </w:p>
        </w:tc>
        <w:tc>
          <w:tcPr>
            <w:tcW w:w="110" w:type="dxa"/>
            <w:tcBorders/>
            <w:shd w:fill="CCEEFF" w:val="clear"/>
            <w:vAlign w:val="center"/>
          </w:tcPr>
          <w:p>
            <w:pPr>
              <w:pStyle w:val="TableContents"/>
              <w:bidi w:val="0"/>
              <w:spacing w:before="0" w:after="283"/>
              <w:jc w:val="left"/>
              <w:rPr/>
            </w:pPr>
            <w:r>
              <w:rPr/>
              <w:t> </w:t>
            </w:r>
          </w:p>
        </w:tc>
      </w:tr>
      <w:tr>
        <w:trPr/>
        <w:tc>
          <w:tcPr>
            <w:tcW w:w="53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debt issuance</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11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3,349,000</w:t>
            </w:r>
          </w:p>
        </w:tc>
        <w:tc>
          <w:tcPr>
            <w:tcW w:w="110" w:type="dxa"/>
            <w:tcBorders/>
            <w:shd w:fill="FFFFFF" w:val="clear"/>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Repayments in cash</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(1,291,516</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3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11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(2,308,368</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3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Conversions</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1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(4,343,116</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3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as of December 31, 2025</w:t>
            </w:r>
          </w:p>
        </w:tc>
        <w:tc>
          <w:tcPr>
            <w:tcW w:w="60" w:type="dxa"/>
            <w:tcBorders/>
            <w:shd w:fill="FFFFFF" w:val="clear"/>
            <w:vAlign w:val="center"/>
          </w:tcPr>
          <w:p>
            <w:pPr>
              <w:pStyle w:val="TableContents"/>
              <w:bidi w:val="0"/>
              <w:spacing w:before="0" w:after="283"/>
              <w:jc w:val="left"/>
              <w:rPr/>
            </w:pPr>
            <w:r>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1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1,856,000</w:t>
            </w:r>
          </w:p>
        </w:tc>
        <w:tc>
          <w:tcPr>
            <w:tcW w:w="110" w:type="dxa"/>
            <w:tcBorders/>
            <w:shd w:fill="FFFFFF" w:val="clear"/>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3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Outstanding principal balance as of December 31, 2025</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1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1,709,091</w:t>
            </w:r>
          </w:p>
        </w:tc>
        <w:tc>
          <w:tcPr>
            <w:tcW w:w="110" w:type="dxa"/>
            <w:tcBorders/>
            <w:shd w:fill="FFFFFF" w:val="clear"/>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interest as of December 31, 2025</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1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170,909</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Boot Capital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3, 2025, the Company issued a first promissory note (the “Boot Capital Note”) for an aggregate principal amount of $115,000 and received $100,000 of proceeds, net of an original discount of $15,000, with a maturity date of August 30, 2026. The stated interest rate on the Boot Capital Note is 14% per annum, and interest shall accrue on the Boot Capital Note commencing on and including the issuance date pursuant to the agreement’s repayment and amortization schedule.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an event of default, as defined in the agreement, all or any portion of the Boot Capital Note that is then outstanding, may become convertible at the option of the Lender into fully paid and non-assessable shares of the Company’s Common Stock up to 4.99% of the Company’s outstanding shares of Common Stock. The Boot Capital Note becomes convertible at the Lender’s option upon an event of default, at a conversion price equal to the quotient resulting from dividing the Conversion Amount, measured as the sum of (1) the principal amount of the note being converted in such conversion, plus (2) at the Lender’s option, accrued and unpaid interest, if any, on such principal amount at the interest rates to the respective note being converted through the conversion date, plus (3) at the Lender’s option, the default interest, divided by the “Conversion Price” then in effect on the date specified in the notice of conversion (the conversion date). The Conversion Price will be measured as seventy-five percent (75%) multiplied by the market price, which means the lowest trading price for the Company’s Common Stock during the ten (10) trading day period ending on the latest complete trading day prior to the conversion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Boot Capital Note include optional conversion rights to the holder upon an event of default, contingent redemption (put) rights which trigger mandatory prepayment upon event of default, and defaulted contingent interest upon an event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Due to these embedded features, the Company elected to account for the Boot Capital Note at fair value pursuant to ASC 825. For further discussion of fair value, see </w:t>
      </w:r>
      <w:r>
        <w:rPr>
          <w:rFonts w:ascii="Times New Roman;Times;Serif" w:hAnsi="Times New Roman;Times;Serif"/>
          <w:b w:val="false"/>
          <w:i/>
          <w:caps w:val="false"/>
          <w:smallCaps w:val="false"/>
          <w:sz w:val="20"/>
        </w:rPr>
        <w:t>Note 7 – Fair Value Measurements.</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Boot Capital Convertible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Private Placement Convertible Notes as of December 31, 2025:</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Notes</w:t>
      </w:r>
    </w:p>
    <w:tbl>
      <w:tblPr>
        <w:tblW w:w="6744" w:type="dxa"/>
        <w:jc w:val="left"/>
        <w:tblInd w:w="0" w:type="dxa"/>
        <w:tblLayout w:type="fixed"/>
        <w:tblCellMar>
          <w:top w:w="0" w:type="dxa"/>
          <w:left w:w="0" w:type="dxa"/>
          <w:bottom w:w="0" w:type="dxa"/>
          <w:right w:w="0" w:type="dxa"/>
        </w:tblCellMar>
      </w:tblPr>
      <w:tblGrid>
        <w:gridCol w:w="5300"/>
        <w:gridCol w:w="60"/>
        <w:gridCol w:w="195"/>
        <w:gridCol w:w="1114"/>
        <w:gridCol w:w="75"/>
      </w:tblGrid>
      <w:tr>
        <w:trPr/>
        <w:tc>
          <w:tcPr>
            <w:tcW w:w="53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0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Boot Capital</w:t>
            </w:r>
          </w:p>
        </w:tc>
        <w:tc>
          <w:tcPr>
            <w:tcW w:w="75" w:type="dxa"/>
            <w:tcBorders/>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at December 31, 2024</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14"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53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convertible notes</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11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100,000</w:t>
            </w:r>
          </w:p>
        </w:tc>
        <w:tc>
          <w:tcPr>
            <w:tcW w:w="75" w:type="dxa"/>
            <w:tcBorders/>
            <w:shd w:fill="FFFFFF" w:val="clear"/>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debt issuance</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11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12,611</w:t>
            </w:r>
          </w:p>
        </w:tc>
        <w:tc>
          <w:tcPr>
            <w:tcW w:w="75" w:type="dxa"/>
            <w:tcBorders/>
            <w:shd w:fill="CCEEFF" w:val="clear"/>
            <w:vAlign w:val="center"/>
          </w:tcPr>
          <w:p>
            <w:pPr>
              <w:pStyle w:val="TableContents"/>
              <w:bidi w:val="0"/>
              <w:spacing w:before="0" w:after="283"/>
              <w:jc w:val="left"/>
              <w:rPr/>
            </w:pPr>
            <w:r>
              <w:rPr/>
              <w:t> </w:t>
            </w:r>
          </w:p>
        </w:tc>
      </w:tr>
      <w:tr>
        <w:trPr/>
        <w:tc>
          <w:tcPr>
            <w:tcW w:w="53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Repayments in cash</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114"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11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3,225</w:t>
            </w:r>
          </w:p>
        </w:tc>
        <w:tc>
          <w:tcPr>
            <w:tcW w:w="75" w:type="dxa"/>
            <w:tcBorders/>
            <w:shd w:fill="CCEEFF" w:val="clear"/>
            <w:vAlign w:val="center"/>
          </w:tcPr>
          <w:p>
            <w:pPr>
              <w:pStyle w:val="TableContents"/>
              <w:bidi w:val="0"/>
              <w:spacing w:before="0" w:after="283"/>
              <w:jc w:val="left"/>
              <w:rPr/>
            </w:pPr>
            <w:r>
              <w:rPr/>
              <w:t> </w:t>
            </w:r>
          </w:p>
        </w:tc>
      </w:tr>
      <w:tr>
        <w:trPr/>
        <w:tc>
          <w:tcPr>
            <w:tcW w:w="53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Conversions</w:t>
            </w:r>
          </w:p>
        </w:tc>
        <w:tc>
          <w:tcPr>
            <w:tcW w:w="60" w:type="dxa"/>
            <w:tcBorders/>
            <w:shd w:fill="FFFFFF" w:val="clear"/>
            <w:vAlign w:val="center"/>
          </w:tcPr>
          <w:p>
            <w:pPr>
              <w:pStyle w:val="TableContents"/>
              <w:bidi w:val="0"/>
              <w:spacing w:before="0" w:after="283"/>
              <w:jc w:val="left"/>
              <w:rPr/>
            </w:pPr>
            <w:r>
              <w:rPr/>
              <w:t> </w:t>
            </w:r>
          </w:p>
        </w:tc>
        <w:tc>
          <w:tcPr>
            <w:tcW w:w="1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1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at December 31, 2025</w:t>
            </w:r>
          </w:p>
        </w:tc>
        <w:tc>
          <w:tcPr>
            <w:tcW w:w="60" w:type="dxa"/>
            <w:tcBorders/>
            <w:shd w:fill="CCEEFF" w:val="clear"/>
            <w:vAlign w:val="center"/>
          </w:tcPr>
          <w:p>
            <w:pPr>
              <w:pStyle w:val="TableContents"/>
              <w:bidi w:val="0"/>
              <w:spacing w:before="0" w:after="283"/>
              <w:jc w:val="left"/>
              <w:rPr/>
            </w:pPr>
            <w:r>
              <w:rPr/>
              <w:t> </w:t>
            </w:r>
          </w:p>
        </w:tc>
        <w:tc>
          <w:tcPr>
            <w:tcW w:w="19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1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115,836</w:t>
            </w:r>
          </w:p>
        </w:tc>
        <w:tc>
          <w:tcPr>
            <w:tcW w:w="75" w:type="dxa"/>
            <w:tcBorders/>
            <w:shd w:fill="CCEEFF" w:val="clear"/>
            <w:vAlign w:val="center"/>
          </w:tcPr>
          <w:p>
            <w:pPr>
              <w:pStyle w:val="TableContents"/>
              <w:bidi w:val="0"/>
              <w:spacing w:before="0" w:after="283"/>
              <w:jc w:val="left"/>
              <w:rPr/>
            </w:pPr>
            <w:r>
              <w:rPr/>
              <w:t> </w:t>
            </w:r>
          </w:p>
        </w:tc>
      </w:tr>
      <w:tr>
        <w:trPr/>
        <w:tc>
          <w:tcPr>
            <w:tcW w:w="53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114"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Outstanding principal balance as of December 31, 2025</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1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115,000</w:t>
            </w:r>
          </w:p>
        </w:tc>
        <w:tc>
          <w:tcPr>
            <w:tcW w:w="75" w:type="dxa"/>
            <w:tcBorders/>
            <w:shd w:fill="CCEEFF" w:val="clear"/>
            <w:vAlign w:val="center"/>
          </w:tcPr>
          <w:p>
            <w:pPr>
              <w:pStyle w:val="TableContents"/>
              <w:bidi w:val="0"/>
              <w:spacing w:before="0" w:after="283"/>
              <w:jc w:val="left"/>
              <w:rPr/>
            </w:pPr>
            <w:r>
              <w:rPr/>
              <w:t> </w:t>
            </w:r>
          </w:p>
        </w:tc>
      </w:tr>
      <w:tr>
        <w:trPr/>
        <w:tc>
          <w:tcPr>
            <w:tcW w:w="53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interest as of December 31, 2025</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1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1,670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 Warrant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Public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assumed Public Warrants in the Merger, exercisable into 23,000 shares of Common Stock of the Company, and which remained outstanding as of December 31, 2025. The Public Warrants have an exercise price of $5,750 per share, subject to adjustments, and will expire five years from the Merger Closing Date (in December 2028). The exercise price and number of shares of Class A Common Stock issuable upon exercise of the warrants may be adjusted in certain circumstances including in the event of a share dividend, or recapitalization, reorganization, merger or consolidation.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not be obligated to deliver any shares of Class A Common Stock pursuant to the exercise of a Public Warrant and will have no obligation to settle such Public Warrant exercise unless a registration statement under the Securities Act with respect to the shares of Class A Common Stock underlying the Public Warrants is then effective and a prospectus relating thereto is current, subject to the Company’s satisfying its obligations described below with respect to registration, or a valid exemption from registration is available. No Public Warrant will be exercisable and the Company will not be obligated to issue a share of Class A Common Stock upon exercise of a Public Warrant unless the shares of Class A Common Stock issuable upon such Public Warrant exercise has been registered, qualified, or deemed to be exempt under the securities laws of the state of the registered holder of the Public Warrants. In the event that the conditions in the two immediately preceding sentences are not satisfied with respect to a Public Warrant, the holder of such Public Warrant will not be entitled to exercise such Public Warrant and such Public Warrant may have no value and expire worthless. In no event will the Company be required to net cash settle any Public Warrant. The Resale Registration statement went effective on February 14, 2024 (Registration No. 333-276307) and since it was declared effective within the contractual 60-day term upon closing of the Merger, no “cashless basis” exercises were triggered during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Redemption of Public Warrants When the price per Share of Class A Common Stock Equals or Exceeds $9,000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the Public Warrants become exercisable, the Company may redeem the outstanding Public Warrants:</w:t>
      </w:r>
    </w:p>
    <w:p>
      <w:pPr>
        <w:pStyle w:val="TextBody"/>
        <w:bidi w:val="0"/>
        <w:spacing w:before="0" w:after="0"/>
        <w:ind w:left="979" w:right="0" w:hanging="49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whole and not in part;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 price of $5.00 per Warrant;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 minimum of 30 days’ prior written notice of redemption (the “30-day redemption period”);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and only if, the closing price per share of Class A Common Stock equals or exceeds $9,000 per share (as adjusted for adjustments to the number of shares issuable upon exercise or the exercise price of a Public Warrant as described under the heading “—</w:t>
            </w:r>
            <w:r>
              <w:rPr>
                <w:rFonts w:ascii="Times New Roman;Times;Serif" w:hAnsi="Times New Roman;Times;Serif"/>
                <w:b w:val="false"/>
                <w:i/>
                <w:caps w:val="false"/>
                <w:smallCaps w:val="false"/>
                <w:sz w:val="20"/>
              </w:rPr>
              <w:t>Warrants—Public Stockholder Warrants—Anti-dilution Adjustments</w:t>
            </w:r>
            <w:r>
              <w:rPr>
                <w:rFonts w:ascii="Times New Roman;Times;Serif" w:hAnsi="Times New Roman;Times;Serif"/>
                <w:b w:val="false"/>
                <w:i w:val="false"/>
                <w:caps w:val="false"/>
                <w:smallCaps w:val="false"/>
                <w:sz w:val="20"/>
              </w:rPr>
              <w:t>” in the Resale Registration Statement) for any 20 trading days within a 30-trading day period ending three trading days before the Company sends the notice of redemption to the warrant holders.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not redeem the Public Warrants as described above unless a registration statement under the Securities Act covering the issuance of shares of Class A Common Stock issuable upon exercise of the Public Warrants is then effective and a current prospectus relating to those shares of Class A Common Stock is available throughout the 30-day redemption period. If and when the Public Warrants become redeemable by the Company, the Company may not exercise its redemption right if the Company is unable to register or qualify the underlying securities for sale under all applicable state securities laws.</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established the last of the redemption criterion discussed above to prevent a redemption call unless there is at the time of the call a significant premium to the Public Warrant exercise price. If the foregoing conditions are satisfied and the Company issues a notice of redemption of the Public Warrants, each warrant holder will be entitled to exercise his, her or its Public Warrant prior to the scheduled redemption date. However, the price per share of Class A Common Stock may fall below the $9,000 redemption trigger price (as adjusted for adjustments to the number of shares issuable upon exercise or the exercise price of a Public Warrant as described under the heading “—</w:t>
      </w:r>
      <w:r>
        <w:rPr>
          <w:rFonts w:ascii="Times New Roman;Times;Serif" w:hAnsi="Times New Roman;Times;Serif"/>
          <w:b w:val="false"/>
          <w:i/>
          <w:caps w:val="false"/>
          <w:smallCaps w:val="false"/>
          <w:sz w:val="20"/>
        </w:rPr>
        <w:t>Warrants—Public Stockholder Warrants—Anti-dilution Adjustments</w:t>
      </w:r>
      <w:r>
        <w:rPr>
          <w:rFonts w:ascii="Times New Roman;Times;Serif" w:hAnsi="Times New Roman;Times;Serif"/>
          <w:b w:val="false"/>
          <w:i w:val="false"/>
          <w:caps w:val="false"/>
          <w:smallCaps w:val="false"/>
          <w:sz w:val="20"/>
        </w:rPr>
        <w:t>” in the Resale Registration Statement as well as the $5,750 (for whole shares) Public Warrant exercise price after the redemption notice is issued.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fractional shares of Class A Common Stock will be issued upon exercise. If, upon exercise, a holder would be entitled to receive a fractional interest in a share, the Company will round down to the nearest whole number of the number of shares of Class A Common Stock to be issued to the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GEM Financing Arrangement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association with the GEM Letter, see </w:t>
      </w:r>
      <w:r>
        <w:rPr>
          <w:rFonts w:ascii="Times New Roman;Times;Serif" w:hAnsi="Times New Roman;Times;Serif"/>
          <w:b w:val="false"/>
          <w:i/>
          <w:caps w:val="false"/>
          <w:smallCaps w:val="false"/>
          <w:sz w:val="20"/>
        </w:rPr>
        <w:t>Note 12 – Debt</w:t>
      </w:r>
      <w:r>
        <w:rPr>
          <w:rFonts w:ascii="Times New Roman;Times;Serif" w:hAnsi="Times New Roman;Times;Serif"/>
          <w:b w:val="false"/>
          <w:i w:val="false"/>
          <w:caps w:val="false"/>
          <w:smallCaps w:val="false"/>
          <w:sz w:val="20"/>
        </w:rPr>
        <w:t xml:space="preserve"> for further details, at Closing, the GEM Warrant automatically became an obligation of the Company, and on December 15, 2023, the Company issued the GEM Warrant granting GEM the right to purchase 1,657 shares at an exercise price of $3,245 per share. GEM may exercise the GEM Warrant at any time and from time to time until December 14, 2026. The terms of the GEM Warrant provide that the exercise price of the GEM Warrant, and the number of shares of Class A Common Stock for which the GEM Warrant may be exercised, are subject to adjustment to account for increases or decreases in the number of outstanding shares of New Banzai Common Stock resulting from stock splits, reverse stock splits, consolidations, combinations and reclassifications. Additionally, the GEM Warrant contains weighted average anti-dilution provisions that provide that if the Company issues shares of Common Stock, or securities convertible into or exercisable or exchange for, shares of Common Stock at a price per share that is less than 90% of the exercise price then in effect or without consideration, then the exercise price of the GEM Warrant upon each such issuance will be adjusted to the price equal to 105% of the consideration per share paid for such Common Stock or other securities. In the event of a Change of Control, if the Surviving Corporation does not have registered class of equity securities and common shares listed on a U.S. national securities exchange, then the Holder is entitled to receive one percent of the total consideration received by the Company’s stockholders and the GEM Warrants will expire upon payment. Upon the closing of the OpenReel Merger, the exercise price of the GEM Warrants were adjusted to the price equal to 105% of the consideration per share paid which resulted in a strike price of $18.30. The effect of the change in strike price feature being triggered resulted in a change of value of approximately $15,000 which is recorded in the statement of operations line change in fair value of warrant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per share market value of one share of Class A Common Stock is greater than the then-current exercise price, then GEM will have the option to exercise the GEM Warrant on a cashless basis and receive a number of shares of Class A Common Stock equal to (x) the number of shares of Class A Common Stock purchasable upon exercise of all of the GEM Warrant or, if only a portion of the GEM Warrant is being exercised, the portion of the GEM Warrant being exercised, less (y) the product of the then-current exercise price and the number of shares of Class A Common Stock purchasable upon exercise of all of the GEM Warrant or, if only a portion of the GEM Warrant is being exercised, the portion of the GEM Warrant being exercised, divided by the per share market value of one share of Class A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GEM Warrant may not be exercised if such exercise would result in the beneficial ownership of the holder and its affiliates in excess of 9.99% of the then-issued and outstanding shares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shd w:fill="FFFFFF" w:val="clear"/>
        </w:rPr>
      </w:pPr>
      <w:r>
        <w:rPr>
          <w:rFonts w:ascii="Times New Roman;Times;Serif" w:hAnsi="Times New Roman;Times;Serif"/>
          <w:b w:val="false"/>
          <w:i/>
          <w:caps w:val="false"/>
          <w:smallCaps w:val="false"/>
          <w:sz w:val="20"/>
          <w:shd w:fill="FFFFFF" w:val="clear"/>
        </w:rPr>
        <w:t>Private Placement Offering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association with the Private Placement Convertible Notes, see </w:t>
      </w:r>
      <w:r>
        <w:rPr>
          <w:rFonts w:ascii="Times New Roman;Times;Serif" w:hAnsi="Times New Roman;Times;Serif"/>
          <w:b w:val="false"/>
          <w:i/>
          <w:caps w:val="false"/>
          <w:smallCaps w:val="false"/>
          <w:sz w:val="20"/>
        </w:rPr>
        <w:t>Note 12 – Debt</w:t>
      </w:r>
      <w:r>
        <w:rPr>
          <w:rFonts w:ascii="Times New Roman;Times;Serif" w:hAnsi="Times New Roman;Times;Serif"/>
          <w:b w:val="false"/>
          <w:i w:val="false"/>
          <w:caps w:val="false"/>
          <w:smallCaps w:val="false"/>
          <w:sz w:val="20"/>
        </w:rPr>
        <w:t xml:space="preserve"> for further details, at Closing, the Company issued Private Placement Warrants. Holders of the Private Placement Warrants may exercise the Private Placement Warrants at any time and from time to time until the three years from the date of issuance for the June issuance and five years from the date of issuance for the August issuance. The terms of the Private Placement Warrants provide that the exercise price of the Private Placement Warrants, and the number of shares of Class A Common Stock for which the Private Placement Warrants may be exercised, are subject to adjustment to account for increases or decreases in the number of outstanding shares of Banzai Common Stock resulting from stock splits, reverse stock splits, consolidations, combinations, and reclassifications. Additionally, the Private Placement Warrants contain anti-dilution and change in option price or rate of conversion price (“Variable Price”) provisions that provide that if the Company issues shares of Common Stock, or securities convertible into or exercisable or exchange for, shares of Common Stock after the Private Placement Offering, at a price per share that varies or may vary with the market price of the shares of Common Stock, including by way of one or more reset(s) to a fixed price, then the Holders of Private Placement Warrants have the right, but not the obligation, at their sole discretion, to elect to substitute the Variable Price for the Exercise Price upon exercise of the Private Placement Warrants. For further discussion of the accounting treatment and fair value of the Private Placement Warrants, see </w:t>
      </w:r>
      <w:r>
        <w:rPr>
          <w:rFonts w:ascii="Times New Roman;Times;Serif" w:hAnsi="Times New Roman;Times;Serif"/>
          <w:b w:val="false"/>
          <w:i/>
          <w:caps w:val="false"/>
          <w:smallCaps w:val="false"/>
          <w:sz w:val="20"/>
        </w:rPr>
        <w:t>Note 7 – Fair Value Measurements.</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 Commitments and Contingencies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an operating lease for its office space. The lease agreement does not provide an implicit borrowing rate therefore the Company used a benchmark approach to derive an appropriate incremental borrowing rate to discount remaining lease payments.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Leases with an initial term of twelve months or less are not recorded on the balance sheet. There are no material residual guarantees associated with the Company’s lease nor are there significant restrictions or covenants. Certain leases include variable payments related to common area maintenance and property taxes, which are billed by the landlord, as is customary with these types of charges for office space. The Company has not entered into any lease arrangements with related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existing lease contains an escalation clause and a renewal option. The Company is not reasonably certain that the renewal option will be exercised upon expiration of the initial terms of its existing lease.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entered into a sublease which it has identified as an operating lease prior to the adoption of FASB ASC 842, </w:t>
      </w:r>
      <w:r>
        <w:rPr>
          <w:rFonts w:ascii="Times New Roman;Times;Serif" w:hAnsi="Times New Roman;Times;Serif"/>
          <w:b w:val="false"/>
          <w:i/>
          <w:caps w:val="false"/>
          <w:smallCaps w:val="false"/>
          <w:sz w:val="20"/>
        </w:rPr>
        <w:t>Leases</w:t>
      </w:r>
      <w:r>
        <w:rPr>
          <w:rFonts w:ascii="Times New Roman;Times;Serif" w:hAnsi="Times New Roman;Times;Serif"/>
          <w:b w:val="false"/>
          <w:i w:val="false"/>
          <w:caps w:val="false"/>
          <w:smallCaps w:val="false"/>
          <w:sz w:val="20"/>
        </w:rPr>
        <w:t>. The Company remains the primary obligor to the head lease lessor, making rental payments directly to the lessor and separately billing the sublessee. The sublease is subordinate to the master lease, and the sublessee must comply with all applicable terms of the master lease. The Company subleased the real estate to a third-party at a monthly rental payment amount that was less than the monthly cost that it pays on the headlease with the lessor. The sublease expired at the end of September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components of lease expense for the years ended December 31, 2025 and 2024, are as follows:</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Components of Lease Expense</w:t>
      </w:r>
    </w:p>
    <w:tbl>
      <w:tblPr>
        <w:tblW w:w="6746" w:type="dxa"/>
        <w:jc w:val="left"/>
        <w:tblInd w:w="0" w:type="dxa"/>
        <w:tblLayout w:type="fixed"/>
        <w:tblCellMar>
          <w:top w:w="0" w:type="dxa"/>
          <w:left w:w="0" w:type="dxa"/>
          <w:bottom w:w="28" w:type="dxa"/>
          <w:right w:w="0" w:type="dxa"/>
        </w:tblCellMar>
      </w:tblPr>
      <w:tblGrid>
        <w:gridCol w:w="3050"/>
        <w:gridCol w:w="60"/>
        <w:gridCol w:w="252"/>
        <w:gridCol w:w="1227"/>
        <w:gridCol w:w="108"/>
        <w:gridCol w:w="108"/>
        <w:gridCol w:w="252"/>
        <w:gridCol w:w="1579"/>
        <w:gridCol w:w="110"/>
      </w:tblGrid>
      <w:tr>
        <w:trPr/>
        <w:tc>
          <w:tcPr>
            <w:tcW w:w="3050" w:type="dxa"/>
            <w:tcBorders>
              <w:bottom w:val="single" w:sz="8"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Components of lease expense:</w:t>
            </w:r>
          </w:p>
        </w:tc>
        <w:tc>
          <w:tcPr>
            <w:tcW w:w="60" w:type="dxa"/>
            <w:tcBorders/>
            <w:tcMar>
              <w:bottom w:w="0" w:type="dxa"/>
            </w:tcMar>
            <w:vAlign w:val="center"/>
          </w:tcPr>
          <w:p>
            <w:pPr>
              <w:pStyle w:val="TableContents"/>
              <w:bidi w:val="0"/>
              <w:spacing w:before="0" w:after="283"/>
              <w:jc w:val="left"/>
              <w:rPr/>
            </w:pPr>
            <w:r>
              <w:rPr/>
              <w:t> </w:t>
            </w:r>
          </w:p>
        </w:tc>
        <w:tc>
          <w:tcPr>
            <w:tcW w:w="147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08" w:type="dxa"/>
            <w:tcBorders/>
            <w:tcMar>
              <w:bottom w:w="0" w:type="dxa"/>
            </w:tcMar>
            <w:vAlign w:val="center"/>
          </w:tcPr>
          <w:p>
            <w:pPr>
              <w:pStyle w:val="TableContents"/>
              <w:bidi w:val="0"/>
              <w:spacing w:before="0" w:after="283"/>
              <w:jc w:val="left"/>
              <w:rPr/>
            </w:pPr>
            <w:r>
              <w:rPr/>
              <w:t> </w:t>
            </w:r>
          </w:p>
        </w:tc>
        <w:tc>
          <w:tcPr>
            <w:tcW w:w="108" w:type="dxa"/>
            <w:tcBorders/>
            <w:tcMar>
              <w:bottom w:w="0" w:type="dxa"/>
            </w:tcMar>
            <w:vAlign w:val="center"/>
          </w:tcPr>
          <w:p>
            <w:pPr>
              <w:pStyle w:val="TableContents"/>
              <w:bidi w:val="0"/>
              <w:spacing w:before="0" w:after="283"/>
              <w:jc w:val="left"/>
              <w:rPr/>
            </w:pPr>
            <w:r>
              <w:rPr/>
              <w:t> </w:t>
            </w:r>
          </w:p>
        </w:tc>
        <w:tc>
          <w:tcPr>
            <w:tcW w:w="1831"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10" w:type="dxa"/>
            <w:tcBorders/>
            <w:tcMar>
              <w:bottom w:w="0" w:type="dxa"/>
            </w:tcMar>
            <w:vAlign w:val="center"/>
          </w:tcPr>
          <w:p>
            <w:pPr>
              <w:pStyle w:val="TableContents"/>
              <w:bidi w:val="0"/>
              <w:spacing w:before="0" w:after="283"/>
              <w:jc w:val="left"/>
              <w:rPr/>
            </w:pPr>
            <w:r>
              <w:rPr/>
              <w:t> </w:t>
            </w:r>
          </w:p>
        </w:tc>
      </w:tr>
      <w:tr>
        <w:trPr/>
        <w:tc>
          <w:tcPr>
            <w:tcW w:w="305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3526" w:type="dxa"/>
            <w:gridSpan w:val="6"/>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For the Year Ended December 31,</w:t>
            </w:r>
          </w:p>
        </w:tc>
        <w:tc>
          <w:tcPr>
            <w:tcW w:w="110" w:type="dxa"/>
            <w:tcBorders/>
            <w:tcMar>
              <w:bottom w:w="0" w:type="dxa"/>
            </w:tcMar>
            <w:vAlign w:val="center"/>
          </w:tcPr>
          <w:p>
            <w:pPr>
              <w:pStyle w:val="TableContents"/>
              <w:bidi w:val="0"/>
              <w:spacing w:before="0" w:after="283"/>
              <w:jc w:val="left"/>
              <w:rPr/>
            </w:pPr>
            <w:r>
              <w:rPr/>
              <w:t> </w:t>
            </w:r>
          </w:p>
        </w:tc>
      </w:tr>
      <w:tr>
        <w:trPr/>
        <w:tc>
          <w:tcPr>
            <w:tcW w:w="3050" w:type="dxa"/>
            <w:tcBorders>
              <w:bottom w:val="single" w:sz="8"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Components of lease expense:</w:t>
            </w:r>
          </w:p>
        </w:tc>
        <w:tc>
          <w:tcPr>
            <w:tcW w:w="60" w:type="dxa"/>
            <w:tcBorders/>
            <w:tcMar>
              <w:bottom w:w="0" w:type="dxa"/>
            </w:tcMar>
            <w:vAlign w:val="center"/>
          </w:tcPr>
          <w:p>
            <w:pPr>
              <w:pStyle w:val="TableContents"/>
              <w:bidi w:val="0"/>
              <w:spacing w:before="0" w:after="283"/>
              <w:jc w:val="left"/>
              <w:rPr/>
            </w:pPr>
            <w:r>
              <w:rPr/>
              <w:t> </w:t>
            </w:r>
          </w:p>
        </w:tc>
        <w:tc>
          <w:tcPr>
            <w:tcW w:w="147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08" w:type="dxa"/>
            <w:tcBorders/>
            <w:tcMar>
              <w:bottom w:w="0" w:type="dxa"/>
            </w:tcMar>
            <w:vAlign w:val="center"/>
          </w:tcPr>
          <w:p>
            <w:pPr>
              <w:pStyle w:val="TableContents"/>
              <w:bidi w:val="0"/>
              <w:spacing w:before="0" w:after="283"/>
              <w:jc w:val="left"/>
              <w:rPr/>
            </w:pPr>
            <w:r>
              <w:rPr/>
              <w:t> </w:t>
            </w:r>
          </w:p>
        </w:tc>
        <w:tc>
          <w:tcPr>
            <w:tcW w:w="108" w:type="dxa"/>
            <w:tcBorders/>
            <w:tcMar>
              <w:bottom w:w="0" w:type="dxa"/>
            </w:tcMar>
            <w:vAlign w:val="center"/>
          </w:tcPr>
          <w:p>
            <w:pPr>
              <w:pStyle w:val="TableContents"/>
              <w:bidi w:val="0"/>
              <w:spacing w:before="0" w:after="283"/>
              <w:jc w:val="left"/>
              <w:rPr/>
            </w:pPr>
            <w:r>
              <w:rPr/>
              <w:t> </w:t>
            </w:r>
          </w:p>
        </w:tc>
        <w:tc>
          <w:tcPr>
            <w:tcW w:w="1831"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10" w:type="dxa"/>
            <w:tcBorders/>
            <w:tcMar>
              <w:bottom w:w="0" w:type="dxa"/>
            </w:tcMar>
            <w:vAlign w:val="center"/>
          </w:tcPr>
          <w:p>
            <w:pPr>
              <w:pStyle w:val="TableContents"/>
              <w:bidi w:val="0"/>
              <w:spacing w:before="0" w:after="283"/>
              <w:jc w:val="left"/>
              <w:rPr/>
            </w:pPr>
            <w:r>
              <w:rPr/>
              <w:t> </w:t>
            </w:r>
          </w:p>
        </w:tc>
      </w:tr>
      <w:tr>
        <w:trPr/>
        <w:tc>
          <w:tcPr>
            <w:tcW w:w="305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 expense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2"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27"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30,000</w:t>
            </w:r>
          </w:p>
        </w:tc>
        <w:tc>
          <w:tcPr>
            <w:tcW w:w="108" w:type="dxa"/>
            <w:tcBorders/>
            <w:shd w:fill="CCEEFF" w:val="clear"/>
            <w:tcMar>
              <w:bottom w:w="0" w:type="dxa"/>
            </w:tcMar>
            <w:vAlign w:val="center"/>
          </w:tcPr>
          <w:p>
            <w:pPr>
              <w:pStyle w:val="TableContents"/>
              <w:bidi w:val="0"/>
              <w:spacing w:before="0" w:after="283"/>
              <w:jc w:val="left"/>
              <w:rPr/>
            </w:pPr>
            <w:r>
              <w:rPr/>
              <w:t> </w:t>
            </w:r>
          </w:p>
        </w:tc>
        <w:tc>
          <w:tcPr>
            <w:tcW w:w="108" w:type="dxa"/>
            <w:tcBorders/>
            <w:shd w:fill="CCEEFF" w:val="clear"/>
            <w:tcMar>
              <w:bottom w:w="0" w:type="dxa"/>
            </w:tcMar>
            <w:vAlign w:val="center"/>
          </w:tcPr>
          <w:p>
            <w:pPr>
              <w:pStyle w:val="TableContents"/>
              <w:bidi w:val="0"/>
              <w:spacing w:before="0" w:after="283"/>
              <w:jc w:val="left"/>
              <w:rPr/>
            </w:pPr>
            <w:r>
              <w:rPr/>
              <w:t> </w:t>
            </w:r>
          </w:p>
        </w:tc>
        <w:tc>
          <w:tcPr>
            <w:tcW w:w="252"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579"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145,674</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305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Sublease income</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2" w:type="dxa"/>
            <w:tcBorders>
              <w:bottom w:val="single" w:sz="8" w:space="0" w:color="000000"/>
            </w:tcBorders>
            <w:shd w:fill="FFFFFF" w:val="clear"/>
            <w:vAlign w:val="center"/>
          </w:tcPr>
          <w:p>
            <w:pPr>
              <w:pStyle w:val="TableContents"/>
              <w:bidi w:val="0"/>
              <w:spacing w:before="0" w:after="283"/>
              <w:jc w:val="left"/>
              <w:rPr/>
            </w:pPr>
            <w:r>
              <w:rPr/>
              <w:t> </w:t>
            </w:r>
          </w:p>
        </w:tc>
        <w:tc>
          <w:tcPr>
            <w:tcW w:w="1227" w:type="dxa"/>
            <w:tcBorders>
              <w:bottom w:val="single" w:sz="8" w:space="0" w:color="000000"/>
            </w:tcBorders>
            <w:shd w:fill="FFFFFF" w:val="clear"/>
            <w:vAlign w:val="center"/>
          </w:tcPr>
          <w:p>
            <w:pPr>
              <w:pStyle w:val="TableContents"/>
              <w:bidi w:val="0"/>
              <w:spacing w:before="0" w:after="283"/>
              <w:jc w:val="right"/>
              <w:rPr/>
            </w:pPr>
            <w:r>
              <w:rPr/>
              <w:t>—</w:t>
            </w:r>
          </w:p>
        </w:tc>
        <w:tc>
          <w:tcPr>
            <w:tcW w:w="108" w:type="dxa"/>
            <w:tcBorders/>
            <w:shd w:fill="FFFFFF" w:val="clear"/>
            <w:tcMar>
              <w:bottom w:w="0" w:type="dxa"/>
            </w:tcMar>
            <w:vAlign w:val="center"/>
          </w:tcPr>
          <w:p>
            <w:pPr>
              <w:pStyle w:val="TableContents"/>
              <w:bidi w:val="0"/>
              <w:spacing w:before="0" w:after="283"/>
              <w:jc w:val="left"/>
              <w:rPr/>
            </w:pPr>
            <w:r>
              <w:rPr/>
              <w:t> </w:t>
            </w:r>
          </w:p>
        </w:tc>
        <w:tc>
          <w:tcPr>
            <w:tcW w:w="108" w:type="dxa"/>
            <w:tcBorders/>
            <w:shd w:fill="FFFFFF" w:val="clear"/>
            <w:tcMar>
              <w:bottom w:w="0" w:type="dxa"/>
            </w:tcMar>
            <w:vAlign w:val="center"/>
          </w:tcPr>
          <w:p>
            <w:pPr>
              <w:pStyle w:val="TableContents"/>
              <w:bidi w:val="0"/>
              <w:spacing w:before="0" w:after="283"/>
              <w:jc w:val="left"/>
              <w:rPr/>
            </w:pPr>
            <w:r>
              <w:rPr/>
              <w:t> </w:t>
            </w:r>
          </w:p>
        </w:tc>
        <w:tc>
          <w:tcPr>
            <w:tcW w:w="252" w:type="dxa"/>
            <w:tcBorders>
              <w:bottom w:val="single" w:sz="8" w:space="0" w:color="000000"/>
            </w:tcBorders>
            <w:shd w:fill="FFFFFF" w:val="clear"/>
            <w:vAlign w:val="center"/>
          </w:tcPr>
          <w:p>
            <w:pPr>
              <w:pStyle w:val="TableContents"/>
              <w:bidi w:val="0"/>
              <w:spacing w:before="0" w:after="283"/>
              <w:jc w:val="left"/>
              <w:rPr/>
            </w:pPr>
            <w:r>
              <w:rPr/>
              <w:t> </w:t>
            </w:r>
          </w:p>
        </w:tc>
        <w:tc>
          <w:tcPr>
            <w:tcW w:w="1579"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(117,084</w:t>
            </w:r>
          </w:p>
        </w:tc>
        <w:tc>
          <w:tcPr>
            <w:tcW w:w="11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05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lease (income) expense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2"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27"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30,000</w:t>
            </w:r>
          </w:p>
        </w:tc>
        <w:tc>
          <w:tcPr>
            <w:tcW w:w="108" w:type="dxa"/>
            <w:tcBorders/>
            <w:shd w:fill="CCEEFF" w:val="clear"/>
            <w:tcMar>
              <w:bottom w:w="0" w:type="dxa"/>
            </w:tcMar>
            <w:vAlign w:val="center"/>
          </w:tcPr>
          <w:p>
            <w:pPr>
              <w:pStyle w:val="TableContents"/>
              <w:bidi w:val="0"/>
              <w:spacing w:before="0" w:after="283"/>
              <w:jc w:val="left"/>
              <w:rPr/>
            </w:pPr>
            <w:r>
              <w:rPr/>
              <w:t> </w:t>
            </w:r>
          </w:p>
        </w:tc>
        <w:tc>
          <w:tcPr>
            <w:tcW w:w="108" w:type="dxa"/>
            <w:tcBorders/>
            <w:shd w:fill="CCEEFF" w:val="clear"/>
            <w:tcMar>
              <w:bottom w:w="0" w:type="dxa"/>
            </w:tcMar>
            <w:vAlign w:val="center"/>
          </w:tcPr>
          <w:p>
            <w:pPr>
              <w:pStyle w:val="TableContents"/>
              <w:bidi w:val="0"/>
              <w:spacing w:before="0" w:after="283"/>
              <w:jc w:val="left"/>
              <w:rPr/>
            </w:pPr>
            <w:r>
              <w:rPr/>
              <w:t> </w:t>
            </w:r>
          </w:p>
        </w:tc>
        <w:tc>
          <w:tcPr>
            <w:tcW w:w="252"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579"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28,590</w:t>
            </w:r>
          </w:p>
        </w:tc>
        <w:tc>
          <w:tcPr>
            <w:tcW w:w="11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Supplemental cash flow information related to leases are as follows:</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Supplemental Cash Flow Information Related to Leases</w:t>
      </w:r>
    </w:p>
    <w:tbl>
      <w:tblPr>
        <w:tblW w:w="10205" w:type="dxa"/>
        <w:jc w:val="left"/>
        <w:tblInd w:w="0" w:type="dxa"/>
        <w:tblLayout w:type="fixed"/>
        <w:tblCellMar>
          <w:top w:w="0" w:type="dxa"/>
          <w:left w:w="0" w:type="dxa"/>
          <w:bottom w:w="28" w:type="dxa"/>
          <w:right w:w="0" w:type="dxa"/>
        </w:tblCellMar>
      </w:tblPr>
      <w:tblGrid>
        <w:gridCol w:w="6542"/>
        <w:gridCol w:w="60"/>
        <w:gridCol w:w="236"/>
        <w:gridCol w:w="1277"/>
        <w:gridCol w:w="160"/>
        <w:gridCol w:w="101"/>
        <w:gridCol w:w="236"/>
        <w:gridCol w:w="1480"/>
        <w:gridCol w:w="113"/>
      </w:tblGrid>
      <w:tr>
        <w:trPr/>
        <w:tc>
          <w:tcPr>
            <w:tcW w:w="6542" w:type="dxa"/>
            <w:tcBorders>
              <w:bottom w:val="single" w:sz="8"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Supplemental cash flow information:</w:t>
            </w:r>
          </w:p>
        </w:tc>
        <w:tc>
          <w:tcPr>
            <w:tcW w:w="60" w:type="dxa"/>
            <w:tcBorders/>
            <w:tcMar>
              <w:bottom w:w="0" w:type="dxa"/>
            </w:tcMar>
            <w:vAlign w:val="center"/>
          </w:tcPr>
          <w:p>
            <w:pPr>
              <w:pStyle w:val="TableContents"/>
              <w:bidi w:val="0"/>
              <w:spacing w:before="0" w:after="283"/>
              <w:jc w:val="left"/>
              <w:rPr/>
            </w:pPr>
            <w:r>
              <w:rPr/>
              <w:t> </w:t>
            </w:r>
          </w:p>
        </w:tc>
        <w:tc>
          <w:tcPr>
            <w:tcW w:w="1513"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60" w:type="dxa"/>
            <w:tcBorders/>
            <w:tcMar>
              <w:bottom w:w="0" w:type="dxa"/>
            </w:tcMar>
            <w:vAlign w:val="center"/>
          </w:tcPr>
          <w:p>
            <w:pPr>
              <w:pStyle w:val="TableContents"/>
              <w:bidi w:val="0"/>
              <w:spacing w:before="0" w:after="283"/>
              <w:jc w:val="left"/>
              <w:rPr/>
            </w:pPr>
            <w:r>
              <w:rPr/>
              <w:t> </w:t>
            </w:r>
          </w:p>
        </w:tc>
        <w:tc>
          <w:tcPr>
            <w:tcW w:w="101" w:type="dxa"/>
            <w:tcBorders/>
            <w:tcMar>
              <w:bottom w:w="0" w:type="dxa"/>
            </w:tcMar>
            <w:vAlign w:val="center"/>
          </w:tcPr>
          <w:p>
            <w:pPr>
              <w:pStyle w:val="TableContents"/>
              <w:bidi w:val="0"/>
              <w:spacing w:before="0" w:after="283"/>
              <w:jc w:val="left"/>
              <w:rPr/>
            </w:pPr>
            <w:r>
              <w:rPr/>
              <w:t> </w:t>
            </w:r>
          </w:p>
        </w:tc>
        <w:tc>
          <w:tcPr>
            <w:tcW w:w="1716"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13" w:type="dxa"/>
            <w:tcBorders/>
            <w:tcMar>
              <w:bottom w:w="0" w:type="dxa"/>
            </w:tcMar>
            <w:vAlign w:val="center"/>
          </w:tcPr>
          <w:p>
            <w:pPr>
              <w:pStyle w:val="TableContents"/>
              <w:bidi w:val="0"/>
              <w:spacing w:before="0" w:after="283"/>
              <w:jc w:val="left"/>
              <w:rPr/>
            </w:pPr>
            <w:r>
              <w:rPr/>
              <w:t> </w:t>
            </w:r>
          </w:p>
        </w:tc>
      </w:tr>
      <w:tr>
        <w:trPr/>
        <w:tc>
          <w:tcPr>
            <w:tcW w:w="6542"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3490" w:type="dxa"/>
            <w:gridSpan w:val="6"/>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For the Year Ended December 31,</w:t>
            </w:r>
          </w:p>
        </w:tc>
        <w:tc>
          <w:tcPr>
            <w:tcW w:w="113" w:type="dxa"/>
            <w:tcBorders/>
            <w:tcMar>
              <w:bottom w:w="0" w:type="dxa"/>
            </w:tcMar>
            <w:vAlign w:val="center"/>
          </w:tcPr>
          <w:p>
            <w:pPr>
              <w:pStyle w:val="TableContents"/>
              <w:bidi w:val="0"/>
              <w:spacing w:before="0" w:after="283"/>
              <w:jc w:val="left"/>
              <w:rPr/>
            </w:pPr>
            <w:r>
              <w:rPr/>
              <w:t> </w:t>
            </w:r>
          </w:p>
        </w:tc>
      </w:tr>
      <w:tr>
        <w:trPr/>
        <w:tc>
          <w:tcPr>
            <w:tcW w:w="6542" w:type="dxa"/>
            <w:tcBorders>
              <w:bottom w:val="single" w:sz="8"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Supplemental cash flow information:</w:t>
            </w:r>
          </w:p>
        </w:tc>
        <w:tc>
          <w:tcPr>
            <w:tcW w:w="60" w:type="dxa"/>
            <w:tcBorders/>
            <w:tcMar>
              <w:bottom w:w="0" w:type="dxa"/>
            </w:tcMar>
            <w:vAlign w:val="center"/>
          </w:tcPr>
          <w:p>
            <w:pPr>
              <w:pStyle w:val="TableContents"/>
              <w:bidi w:val="0"/>
              <w:spacing w:before="0" w:after="283"/>
              <w:jc w:val="left"/>
              <w:rPr/>
            </w:pPr>
            <w:r>
              <w:rPr/>
              <w:t> </w:t>
            </w:r>
          </w:p>
        </w:tc>
        <w:tc>
          <w:tcPr>
            <w:tcW w:w="1513"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60" w:type="dxa"/>
            <w:tcBorders/>
            <w:tcMar>
              <w:bottom w:w="0" w:type="dxa"/>
            </w:tcMar>
            <w:vAlign w:val="center"/>
          </w:tcPr>
          <w:p>
            <w:pPr>
              <w:pStyle w:val="TableContents"/>
              <w:bidi w:val="0"/>
              <w:spacing w:before="0" w:after="283"/>
              <w:jc w:val="left"/>
              <w:rPr/>
            </w:pPr>
            <w:r>
              <w:rPr/>
              <w:t> </w:t>
            </w:r>
          </w:p>
        </w:tc>
        <w:tc>
          <w:tcPr>
            <w:tcW w:w="101" w:type="dxa"/>
            <w:tcBorders/>
            <w:tcMar>
              <w:bottom w:w="0" w:type="dxa"/>
            </w:tcMar>
            <w:vAlign w:val="center"/>
          </w:tcPr>
          <w:p>
            <w:pPr>
              <w:pStyle w:val="TableContents"/>
              <w:bidi w:val="0"/>
              <w:spacing w:before="0" w:after="283"/>
              <w:jc w:val="left"/>
              <w:rPr/>
            </w:pPr>
            <w:r>
              <w:rPr/>
              <w:t> </w:t>
            </w:r>
          </w:p>
        </w:tc>
        <w:tc>
          <w:tcPr>
            <w:tcW w:w="1716"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13" w:type="dxa"/>
            <w:tcBorders/>
            <w:tcMar>
              <w:bottom w:w="0" w:type="dxa"/>
            </w:tcMar>
            <w:vAlign w:val="center"/>
          </w:tcPr>
          <w:p>
            <w:pPr>
              <w:pStyle w:val="TableContents"/>
              <w:bidi w:val="0"/>
              <w:spacing w:before="0" w:after="283"/>
              <w:jc w:val="left"/>
              <w:rPr/>
            </w:pPr>
            <w:r>
              <w:rPr/>
              <w:t> </w:t>
            </w:r>
          </w:p>
        </w:tc>
      </w:tr>
      <w:tr>
        <w:trPr/>
        <w:tc>
          <w:tcPr>
            <w:tcW w:w="6542"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paid for amounts included in the measurement of lease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6" w:type="dxa"/>
            <w:tcBorders/>
            <w:shd w:fill="CCEEFF" w:val="clear"/>
            <w:tcMar>
              <w:bottom w:w="0" w:type="dxa"/>
            </w:tcMar>
            <w:vAlign w:val="center"/>
          </w:tcPr>
          <w:p>
            <w:pPr>
              <w:pStyle w:val="TableContents"/>
              <w:bidi w:val="0"/>
              <w:spacing w:before="0" w:after="283"/>
              <w:jc w:val="left"/>
              <w:rPr/>
            </w:pPr>
            <w:r>
              <w:rPr/>
              <w:t> </w:t>
            </w:r>
          </w:p>
        </w:tc>
        <w:tc>
          <w:tcPr>
            <w:tcW w:w="1277" w:type="dxa"/>
            <w:tcBorders/>
            <w:shd w:fill="CCEEFF" w:val="clear"/>
            <w:tcMar>
              <w:bottom w:w="0" w:type="dxa"/>
            </w:tcMar>
            <w:vAlign w:val="center"/>
          </w:tcPr>
          <w:p>
            <w:pPr>
              <w:pStyle w:val="TableContents"/>
              <w:bidi w:val="0"/>
              <w:spacing w:before="0" w:after="283"/>
              <w:jc w:val="right"/>
              <w:rPr/>
            </w:pPr>
            <w:r>
              <w:rPr/>
              <w:t> </w:t>
            </w:r>
          </w:p>
        </w:tc>
        <w:tc>
          <w:tcPr>
            <w:tcW w:w="160" w:type="dxa"/>
            <w:tcBorders/>
            <w:shd w:fill="CCEEFF" w:val="clear"/>
            <w:tcMar>
              <w:bottom w:w="0" w:type="dxa"/>
            </w:tcMar>
            <w:vAlign w:val="center"/>
          </w:tcPr>
          <w:p>
            <w:pPr>
              <w:pStyle w:val="TableContents"/>
              <w:bidi w:val="0"/>
              <w:spacing w:before="0" w:after="283"/>
              <w:jc w:val="left"/>
              <w:rPr/>
            </w:pPr>
            <w:r>
              <w:rPr/>
              <w:t> </w:t>
            </w:r>
          </w:p>
        </w:tc>
        <w:tc>
          <w:tcPr>
            <w:tcW w:w="101" w:type="dxa"/>
            <w:tcBorders/>
            <w:shd w:fill="CCEEFF" w:val="clear"/>
            <w:tcMar>
              <w:bottom w:w="0" w:type="dxa"/>
            </w:tcMar>
            <w:vAlign w:val="center"/>
          </w:tcPr>
          <w:p>
            <w:pPr>
              <w:pStyle w:val="TableContents"/>
              <w:bidi w:val="0"/>
              <w:spacing w:before="0" w:after="283"/>
              <w:jc w:val="left"/>
              <w:rPr/>
            </w:pPr>
            <w:r>
              <w:rPr/>
              <w:t> </w:t>
            </w:r>
          </w:p>
        </w:tc>
        <w:tc>
          <w:tcPr>
            <w:tcW w:w="236" w:type="dxa"/>
            <w:tcBorders/>
            <w:shd w:fill="CCEEFF" w:val="clear"/>
            <w:tcMar>
              <w:bottom w:w="0" w:type="dxa"/>
            </w:tcMar>
            <w:vAlign w:val="center"/>
          </w:tcPr>
          <w:p>
            <w:pPr>
              <w:pStyle w:val="TableContents"/>
              <w:bidi w:val="0"/>
              <w:spacing w:before="0" w:after="283"/>
              <w:jc w:val="left"/>
              <w:rPr/>
            </w:pPr>
            <w:r>
              <w:rPr/>
              <w:t> </w:t>
            </w:r>
          </w:p>
        </w:tc>
        <w:tc>
          <w:tcPr>
            <w:tcW w:w="1480" w:type="dxa"/>
            <w:tcBorders/>
            <w:shd w:fill="CCEEFF" w:val="clear"/>
            <w:tcMar>
              <w:bottom w:w="0" w:type="dxa"/>
            </w:tcMar>
            <w:vAlign w:val="center"/>
          </w:tcPr>
          <w:p>
            <w:pPr>
              <w:pStyle w:val="TableContents"/>
              <w:bidi w:val="0"/>
              <w:spacing w:before="0" w:after="283"/>
              <w:jc w:val="right"/>
              <w:rPr/>
            </w:pPr>
            <w:r>
              <w:rPr/>
              <w:t> </w:t>
            </w:r>
          </w:p>
        </w:tc>
        <w:tc>
          <w:tcPr>
            <w:tcW w:w="113" w:type="dxa"/>
            <w:tcBorders/>
            <w:shd w:fill="CCEEFF" w:val="clear"/>
            <w:tcMar>
              <w:bottom w:w="0" w:type="dxa"/>
            </w:tcMar>
            <w:vAlign w:val="center"/>
          </w:tcPr>
          <w:p>
            <w:pPr>
              <w:pStyle w:val="TableContents"/>
              <w:bidi w:val="0"/>
              <w:spacing w:before="0" w:after="283"/>
              <w:jc w:val="left"/>
              <w:rPr/>
            </w:pPr>
            <w:r>
              <w:rPr/>
              <w:t> </w:t>
            </w:r>
          </w:p>
        </w:tc>
      </w:tr>
      <w:tr>
        <w:trPr/>
        <w:tc>
          <w:tcPr>
            <w:tcW w:w="6542"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Non-cash lease expense (operating cash flow)</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6"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77"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24,011</w:t>
            </w:r>
          </w:p>
        </w:tc>
        <w:tc>
          <w:tcPr>
            <w:tcW w:w="160" w:type="dxa"/>
            <w:tcBorders/>
            <w:shd w:fill="FFFFFF" w:val="clear"/>
            <w:tcMar>
              <w:bottom w:w="0" w:type="dxa"/>
            </w:tcMar>
            <w:vAlign w:val="center"/>
          </w:tcPr>
          <w:p>
            <w:pPr>
              <w:pStyle w:val="TableContents"/>
              <w:bidi w:val="0"/>
              <w:spacing w:before="0" w:after="283"/>
              <w:jc w:val="left"/>
              <w:rPr/>
            </w:pPr>
            <w:r>
              <w:rPr/>
              <w:t> </w:t>
            </w:r>
          </w:p>
        </w:tc>
        <w:tc>
          <w:tcPr>
            <w:tcW w:w="101" w:type="dxa"/>
            <w:tcBorders/>
            <w:shd w:fill="FFFFFF" w:val="clear"/>
            <w:tcMar>
              <w:bottom w:w="0" w:type="dxa"/>
            </w:tcMar>
            <w:vAlign w:val="center"/>
          </w:tcPr>
          <w:p>
            <w:pPr>
              <w:pStyle w:val="TableContents"/>
              <w:bidi w:val="0"/>
              <w:spacing w:before="0" w:after="283"/>
              <w:jc w:val="left"/>
              <w:rPr/>
            </w:pPr>
            <w:r>
              <w:rPr/>
              <w:t> </w:t>
            </w:r>
          </w:p>
        </w:tc>
        <w:tc>
          <w:tcPr>
            <w:tcW w:w="236"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137,717</w:t>
            </w:r>
          </w:p>
        </w:tc>
        <w:tc>
          <w:tcPr>
            <w:tcW w:w="113" w:type="dxa"/>
            <w:tcBorders/>
            <w:shd w:fill="FFFFFF" w:val="clear"/>
            <w:tcMar>
              <w:bottom w:w="0" w:type="dxa"/>
            </w:tcMar>
            <w:vAlign w:val="center"/>
          </w:tcPr>
          <w:p>
            <w:pPr>
              <w:pStyle w:val="TableContents"/>
              <w:bidi w:val="0"/>
              <w:spacing w:before="0" w:after="283"/>
              <w:jc w:val="left"/>
              <w:rPr/>
            </w:pPr>
            <w:r>
              <w:rPr/>
              <w:t> </w:t>
            </w:r>
          </w:p>
        </w:tc>
      </w:tr>
      <w:tr>
        <w:trPr/>
        <w:tc>
          <w:tcPr>
            <w:tcW w:w="6542"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lease liabilities (operating cash flow)</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6" w:type="dxa"/>
            <w:tcBorders/>
            <w:shd w:fill="CCEEFF" w:val="clear"/>
            <w:tcMar>
              <w:bottom w:w="0" w:type="dxa"/>
            </w:tcMar>
            <w:vAlign w:val="center"/>
          </w:tcPr>
          <w:p>
            <w:pPr>
              <w:pStyle w:val="TableContents"/>
              <w:bidi w:val="0"/>
              <w:spacing w:before="0" w:after="283"/>
              <w:jc w:val="left"/>
              <w:rPr/>
            </w:pPr>
            <w:r>
              <w:rPr/>
              <w:t> </w:t>
            </w:r>
          </w:p>
        </w:tc>
        <w:tc>
          <w:tcPr>
            <w:tcW w:w="1277"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(23,280</w:t>
            </w:r>
          </w:p>
        </w:tc>
        <w:tc>
          <w:tcPr>
            <w:tcW w:w="16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1" w:type="dxa"/>
            <w:tcBorders/>
            <w:shd w:fill="CCEEFF" w:val="clear"/>
            <w:tcMar>
              <w:bottom w:w="0" w:type="dxa"/>
            </w:tcMar>
            <w:vAlign w:val="center"/>
          </w:tcPr>
          <w:p>
            <w:pPr>
              <w:pStyle w:val="TableContents"/>
              <w:bidi w:val="0"/>
              <w:spacing w:before="0" w:after="283"/>
              <w:jc w:val="left"/>
              <w:rPr/>
            </w:pPr>
            <w:r>
              <w:rPr/>
              <w:t> </w:t>
            </w:r>
          </w:p>
        </w:tc>
        <w:tc>
          <w:tcPr>
            <w:tcW w:w="236" w:type="dxa"/>
            <w:tcBorders/>
            <w:shd w:fill="CCEEFF" w:val="clear"/>
            <w:tcMar>
              <w:bottom w:w="0" w:type="dxa"/>
            </w:tcMar>
            <w:vAlign w:val="center"/>
          </w:tcPr>
          <w:p>
            <w:pPr>
              <w:pStyle w:val="TableContents"/>
              <w:bidi w:val="0"/>
              <w:spacing w:before="0" w:after="283"/>
              <w:jc w:val="left"/>
              <w:rPr/>
            </w:pPr>
            <w:r>
              <w:rPr/>
              <w:t> </w:t>
            </w:r>
          </w:p>
        </w:tc>
        <w:tc>
          <w:tcPr>
            <w:tcW w:w="14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(237,607</w:t>
            </w:r>
          </w:p>
        </w:tc>
        <w:tc>
          <w:tcPr>
            <w:tcW w:w="113"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542"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Right of use assets obtained in exchange for lease obligations: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6" w:type="dxa"/>
            <w:tcBorders/>
            <w:shd w:fill="FFFFFF" w:val="clear"/>
            <w:tcMar>
              <w:bottom w:w="0" w:type="dxa"/>
            </w:tcMar>
            <w:vAlign w:val="center"/>
          </w:tcPr>
          <w:p>
            <w:pPr>
              <w:pStyle w:val="TableContents"/>
              <w:bidi w:val="0"/>
              <w:spacing w:before="0" w:after="283"/>
              <w:jc w:val="left"/>
              <w:rPr/>
            </w:pPr>
            <w:r>
              <w:rPr/>
              <w:t> </w:t>
            </w:r>
          </w:p>
        </w:tc>
        <w:tc>
          <w:tcPr>
            <w:tcW w:w="1277" w:type="dxa"/>
            <w:tcBorders/>
            <w:shd w:fill="FFFFFF" w:val="clear"/>
            <w:tcMar>
              <w:bottom w:w="0" w:type="dxa"/>
            </w:tcMar>
            <w:vAlign w:val="center"/>
          </w:tcPr>
          <w:p>
            <w:pPr>
              <w:pStyle w:val="TableContents"/>
              <w:bidi w:val="0"/>
              <w:spacing w:before="0" w:after="283"/>
              <w:jc w:val="right"/>
              <w:rPr/>
            </w:pPr>
            <w:r>
              <w:rPr/>
              <w:t> </w:t>
            </w:r>
          </w:p>
        </w:tc>
        <w:tc>
          <w:tcPr>
            <w:tcW w:w="160" w:type="dxa"/>
            <w:tcBorders/>
            <w:shd w:fill="FFFFFF" w:val="clear"/>
            <w:tcMar>
              <w:bottom w:w="0" w:type="dxa"/>
            </w:tcMar>
            <w:vAlign w:val="center"/>
          </w:tcPr>
          <w:p>
            <w:pPr>
              <w:pStyle w:val="TableContents"/>
              <w:bidi w:val="0"/>
              <w:spacing w:before="0" w:after="283"/>
              <w:jc w:val="left"/>
              <w:rPr/>
            </w:pPr>
            <w:r>
              <w:rPr/>
              <w:t> </w:t>
            </w:r>
          </w:p>
        </w:tc>
        <w:tc>
          <w:tcPr>
            <w:tcW w:w="101" w:type="dxa"/>
            <w:tcBorders/>
            <w:shd w:fill="FFFFFF" w:val="clear"/>
            <w:tcMar>
              <w:bottom w:w="0" w:type="dxa"/>
            </w:tcMar>
            <w:vAlign w:val="center"/>
          </w:tcPr>
          <w:p>
            <w:pPr>
              <w:pStyle w:val="TableContents"/>
              <w:bidi w:val="0"/>
              <w:spacing w:before="0" w:after="283"/>
              <w:jc w:val="left"/>
              <w:rPr/>
            </w:pPr>
            <w:r>
              <w:rPr/>
              <w:t> </w:t>
            </w:r>
          </w:p>
        </w:tc>
        <w:tc>
          <w:tcPr>
            <w:tcW w:w="236" w:type="dxa"/>
            <w:tcBorders/>
            <w:shd w:fill="FFFFFF" w:val="clear"/>
            <w:tcMar>
              <w:bottom w:w="0" w:type="dxa"/>
            </w:tcMar>
            <w:vAlign w:val="center"/>
          </w:tcPr>
          <w:p>
            <w:pPr>
              <w:pStyle w:val="TableContents"/>
              <w:bidi w:val="0"/>
              <w:spacing w:before="0" w:after="283"/>
              <w:jc w:val="left"/>
              <w:rPr/>
            </w:pPr>
            <w:r>
              <w:rPr/>
              <w:t> </w:t>
            </w:r>
          </w:p>
        </w:tc>
        <w:tc>
          <w:tcPr>
            <w:tcW w:w="1480" w:type="dxa"/>
            <w:tcBorders/>
            <w:shd w:fill="FFFFFF" w:val="clear"/>
            <w:tcMar>
              <w:bottom w:w="0" w:type="dxa"/>
            </w:tcMar>
            <w:vAlign w:val="center"/>
          </w:tcPr>
          <w:p>
            <w:pPr>
              <w:pStyle w:val="TableContents"/>
              <w:bidi w:val="0"/>
              <w:spacing w:before="0" w:after="283"/>
              <w:jc w:val="right"/>
              <w:rPr/>
            </w:pPr>
            <w:r>
              <w:rPr/>
              <w:t> </w:t>
            </w:r>
          </w:p>
        </w:tc>
        <w:tc>
          <w:tcPr>
            <w:tcW w:w="113" w:type="dxa"/>
            <w:tcBorders/>
            <w:shd w:fill="FFFFFF" w:val="clear"/>
            <w:tcMar>
              <w:bottom w:w="0" w:type="dxa"/>
            </w:tcMar>
            <w:vAlign w:val="center"/>
          </w:tcPr>
          <w:p>
            <w:pPr>
              <w:pStyle w:val="TableContents"/>
              <w:bidi w:val="0"/>
              <w:spacing w:before="0" w:after="283"/>
              <w:jc w:val="left"/>
              <w:rPr/>
            </w:pPr>
            <w:r>
              <w:rPr/>
              <w:t> </w:t>
            </w:r>
          </w:p>
        </w:tc>
      </w:tr>
      <w:tr>
        <w:trPr/>
        <w:tc>
          <w:tcPr>
            <w:tcW w:w="6542"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6"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77"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7,319</w:t>
            </w:r>
          </w:p>
        </w:tc>
        <w:tc>
          <w:tcPr>
            <w:tcW w:w="160" w:type="dxa"/>
            <w:tcBorders/>
            <w:shd w:fill="CCEEFF" w:val="clear"/>
            <w:tcMar>
              <w:bottom w:w="0" w:type="dxa"/>
            </w:tcMar>
            <w:vAlign w:val="center"/>
          </w:tcPr>
          <w:p>
            <w:pPr>
              <w:pStyle w:val="TableContents"/>
              <w:bidi w:val="0"/>
              <w:spacing w:before="0" w:after="283"/>
              <w:jc w:val="left"/>
              <w:rPr/>
            </w:pPr>
            <w:r>
              <w:rPr/>
              <w:t> </w:t>
            </w:r>
          </w:p>
        </w:tc>
        <w:tc>
          <w:tcPr>
            <w:tcW w:w="101" w:type="dxa"/>
            <w:tcBorders/>
            <w:shd w:fill="CCEEFF" w:val="clear"/>
            <w:tcMar>
              <w:bottom w:w="0" w:type="dxa"/>
            </w:tcMar>
            <w:vAlign w:val="center"/>
          </w:tcPr>
          <w:p>
            <w:pPr>
              <w:pStyle w:val="TableContents"/>
              <w:bidi w:val="0"/>
              <w:spacing w:before="0" w:after="283"/>
              <w:jc w:val="left"/>
              <w:rPr/>
            </w:pPr>
            <w:r>
              <w:rPr/>
              <w:t> </w:t>
            </w:r>
          </w:p>
        </w:tc>
        <w:tc>
          <w:tcPr>
            <w:tcW w:w="236"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76,269</w:t>
            </w:r>
          </w:p>
        </w:tc>
        <w:tc>
          <w:tcPr>
            <w:tcW w:w="113"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Supplemental balance sheet information related to leases was as follows:</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Supplemental Balance Sheet Information Related to Leases</w:t>
      </w:r>
    </w:p>
    <w:tbl>
      <w:tblPr>
        <w:tblW w:w="5618" w:type="dxa"/>
        <w:jc w:val="left"/>
        <w:tblInd w:w="0" w:type="dxa"/>
        <w:tblLayout w:type="fixed"/>
        <w:tblCellMar>
          <w:top w:w="0" w:type="dxa"/>
          <w:left w:w="0" w:type="dxa"/>
          <w:bottom w:w="28" w:type="dxa"/>
          <w:right w:w="0" w:type="dxa"/>
        </w:tblCellMar>
      </w:tblPr>
      <w:tblGrid>
        <w:gridCol w:w="3485"/>
        <w:gridCol w:w="60"/>
        <w:gridCol w:w="159"/>
        <w:gridCol w:w="772"/>
        <w:gridCol w:w="68"/>
        <w:gridCol w:w="68"/>
        <w:gridCol w:w="159"/>
        <w:gridCol w:w="772"/>
        <w:gridCol w:w="75"/>
      </w:tblGrid>
      <w:tr>
        <w:trPr/>
        <w:tc>
          <w:tcPr>
            <w:tcW w:w="3485" w:type="dxa"/>
            <w:tcBorders>
              <w:bottom w:val="single" w:sz="8"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Operating leases:</w:t>
            </w:r>
          </w:p>
        </w:tc>
        <w:tc>
          <w:tcPr>
            <w:tcW w:w="60" w:type="dxa"/>
            <w:tcBorders/>
            <w:tcMar>
              <w:bottom w:w="0" w:type="dxa"/>
            </w:tcMar>
            <w:vAlign w:val="center"/>
          </w:tcPr>
          <w:p>
            <w:pPr>
              <w:pStyle w:val="TableContents"/>
              <w:bidi w:val="0"/>
              <w:spacing w:before="0" w:after="283"/>
              <w:jc w:val="left"/>
              <w:rPr/>
            </w:pPr>
            <w:r>
              <w:rPr/>
              <w:t> </w:t>
            </w:r>
          </w:p>
        </w:tc>
        <w:tc>
          <w:tcPr>
            <w:tcW w:w="931"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68" w:type="dxa"/>
            <w:tcBorders/>
            <w:tcMar>
              <w:bottom w:w="0" w:type="dxa"/>
            </w:tcMar>
            <w:vAlign w:val="center"/>
          </w:tcPr>
          <w:p>
            <w:pPr>
              <w:pStyle w:val="TableContents"/>
              <w:bidi w:val="0"/>
              <w:spacing w:before="0" w:after="283"/>
              <w:jc w:val="left"/>
              <w:rPr/>
            </w:pPr>
            <w:r>
              <w:rPr/>
              <w:t> </w:t>
            </w:r>
          </w:p>
        </w:tc>
        <w:tc>
          <w:tcPr>
            <w:tcW w:w="68" w:type="dxa"/>
            <w:tcBorders/>
            <w:tcMar>
              <w:bottom w:w="0" w:type="dxa"/>
            </w:tcMar>
            <w:vAlign w:val="center"/>
          </w:tcPr>
          <w:p>
            <w:pPr>
              <w:pStyle w:val="TableContents"/>
              <w:bidi w:val="0"/>
              <w:spacing w:before="0" w:after="283"/>
              <w:jc w:val="left"/>
              <w:rPr/>
            </w:pPr>
            <w:r>
              <w:rPr/>
              <w:t> </w:t>
            </w:r>
          </w:p>
        </w:tc>
        <w:tc>
          <w:tcPr>
            <w:tcW w:w="931"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75" w:type="dxa"/>
            <w:tcBorders/>
            <w:tcMar>
              <w:bottom w:w="0" w:type="dxa"/>
            </w:tcMar>
            <w:vAlign w:val="center"/>
          </w:tcPr>
          <w:p>
            <w:pPr>
              <w:pStyle w:val="TableContents"/>
              <w:bidi w:val="0"/>
              <w:spacing w:before="0" w:after="283"/>
              <w:jc w:val="left"/>
              <w:rPr/>
            </w:pPr>
            <w:r>
              <w:rPr/>
              <w:t> </w:t>
            </w:r>
          </w:p>
        </w:tc>
      </w:tr>
      <w:tr>
        <w:trPr/>
        <w:tc>
          <w:tcPr>
            <w:tcW w:w="34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998" w:type="dxa"/>
            <w:gridSpan w:val="6"/>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 of December 31,</w:t>
            </w:r>
          </w:p>
        </w:tc>
        <w:tc>
          <w:tcPr>
            <w:tcW w:w="75" w:type="dxa"/>
            <w:tcBorders/>
            <w:tcMar>
              <w:bottom w:w="0" w:type="dxa"/>
            </w:tcMar>
            <w:vAlign w:val="center"/>
          </w:tcPr>
          <w:p>
            <w:pPr>
              <w:pStyle w:val="TableContents"/>
              <w:bidi w:val="0"/>
              <w:spacing w:before="0" w:after="283"/>
              <w:jc w:val="left"/>
              <w:rPr/>
            </w:pPr>
            <w:r>
              <w:rPr/>
              <w:t> </w:t>
            </w:r>
          </w:p>
        </w:tc>
      </w:tr>
      <w:tr>
        <w:trPr/>
        <w:tc>
          <w:tcPr>
            <w:tcW w:w="3485" w:type="dxa"/>
            <w:tcBorders>
              <w:bottom w:val="single" w:sz="8"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Operating leases:</w:t>
            </w:r>
          </w:p>
        </w:tc>
        <w:tc>
          <w:tcPr>
            <w:tcW w:w="60" w:type="dxa"/>
            <w:tcBorders/>
            <w:tcMar>
              <w:bottom w:w="0" w:type="dxa"/>
            </w:tcMar>
            <w:vAlign w:val="center"/>
          </w:tcPr>
          <w:p>
            <w:pPr>
              <w:pStyle w:val="TableContents"/>
              <w:bidi w:val="0"/>
              <w:spacing w:before="0" w:after="283"/>
              <w:jc w:val="left"/>
              <w:rPr/>
            </w:pPr>
            <w:r>
              <w:rPr/>
              <w:t> </w:t>
            </w:r>
          </w:p>
        </w:tc>
        <w:tc>
          <w:tcPr>
            <w:tcW w:w="931"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68" w:type="dxa"/>
            <w:tcBorders/>
            <w:tcMar>
              <w:bottom w:w="0" w:type="dxa"/>
            </w:tcMar>
            <w:vAlign w:val="center"/>
          </w:tcPr>
          <w:p>
            <w:pPr>
              <w:pStyle w:val="TableContents"/>
              <w:bidi w:val="0"/>
              <w:spacing w:before="0" w:after="283"/>
              <w:jc w:val="left"/>
              <w:rPr/>
            </w:pPr>
            <w:r>
              <w:rPr/>
              <w:t> </w:t>
            </w:r>
          </w:p>
        </w:tc>
        <w:tc>
          <w:tcPr>
            <w:tcW w:w="68" w:type="dxa"/>
            <w:tcBorders/>
            <w:tcMar>
              <w:bottom w:w="0" w:type="dxa"/>
            </w:tcMar>
            <w:vAlign w:val="center"/>
          </w:tcPr>
          <w:p>
            <w:pPr>
              <w:pStyle w:val="TableContents"/>
              <w:bidi w:val="0"/>
              <w:spacing w:before="0" w:after="283"/>
              <w:jc w:val="left"/>
              <w:rPr/>
            </w:pPr>
            <w:r>
              <w:rPr/>
              <w:t> </w:t>
            </w:r>
          </w:p>
        </w:tc>
        <w:tc>
          <w:tcPr>
            <w:tcW w:w="931"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75" w:type="dxa"/>
            <w:tcBorders/>
            <w:tcMar>
              <w:bottom w:w="0" w:type="dxa"/>
            </w:tcMar>
            <w:vAlign w:val="center"/>
          </w:tcPr>
          <w:p>
            <w:pPr>
              <w:pStyle w:val="TableContents"/>
              <w:bidi w:val="0"/>
              <w:spacing w:before="0" w:after="283"/>
              <w:jc w:val="left"/>
              <w:rPr/>
            </w:pPr>
            <w:r>
              <w:rPr/>
              <w:t> </w:t>
            </w:r>
          </w:p>
        </w:tc>
      </w:tr>
      <w:tr>
        <w:trPr/>
        <w:tc>
          <w:tcPr>
            <w:tcW w:w="348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 right-of-use 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9" w:type="dxa"/>
            <w:tcBorders>
              <w:bottom w:val="single" w:sz="8"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72"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55,871</w:t>
            </w:r>
          </w:p>
        </w:tc>
        <w:tc>
          <w:tcPr>
            <w:tcW w:w="68" w:type="dxa"/>
            <w:tcBorders/>
            <w:shd w:fill="CCEEFF" w:val="clear"/>
            <w:tcMar>
              <w:bottom w:w="0" w:type="dxa"/>
            </w:tcMar>
            <w:vAlign w:val="center"/>
          </w:tcPr>
          <w:p>
            <w:pPr>
              <w:pStyle w:val="TableContents"/>
              <w:bidi w:val="0"/>
              <w:spacing w:before="0" w:after="283"/>
              <w:jc w:val="left"/>
              <w:rPr/>
            </w:pPr>
            <w:r>
              <w:rPr/>
              <w:t> </w:t>
            </w:r>
          </w:p>
        </w:tc>
        <w:tc>
          <w:tcPr>
            <w:tcW w:w="68" w:type="dxa"/>
            <w:tcBorders/>
            <w:shd w:fill="CCEEFF" w:val="clear"/>
            <w:tcMar>
              <w:bottom w:w="0" w:type="dxa"/>
            </w:tcMar>
            <w:vAlign w:val="center"/>
          </w:tcPr>
          <w:p>
            <w:pPr>
              <w:pStyle w:val="TableContents"/>
              <w:bidi w:val="0"/>
              <w:spacing w:before="0" w:after="283"/>
              <w:jc w:val="left"/>
              <w:rPr/>
            </w:pPr>
            <w:r>
              <w:rPr/>
              <w:t> </w:t>
            </w:r>
          </w:p>
        </w:tc>
        <w:tc>
          <w:tcPr>
            <w:tcW w:w="159" w:type="dxa"/>
            <w:tcBorders>
              <w:bottom w:val="single" w:sz="8"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72"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72,565</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48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 liability, current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 w:type="dxa"/>
            <w:tcBorders/>
            <w:shd w:fill="FFFFFF" w:val="clear"/>
            <w:tcMar>
              <w:bottom w:w="0" w:type="dxa"/>
            </w:tcMar>
            <w:vAlign w:val="center"/>
          </w:tcPr>
          <w:p>
            <w:pPr>
              <w:pStyle w:val="TableContents"/>
              <w:bidi w:val="0"/>
              <w:spacing w:before="0" w:after="283"/>
              <w:jc w:val="left"/>
              <w:rPr/>
            </w:pPr>
            <w:r>
              <w:rPr/>
              <w:t> </w:t>
            </w:r>
          </w:p>
        </w:tc>
        <w:tc>
          <w:tcPr>
            <w:tcW w:w="772"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22,823</w:t>
            </w:r>
          </w:p>
        </w:tc>
        <w:tc>
          <w:tcPr>
            <w:tcW w:w="68" w:type="dxa"/>
            <w:tcBorders/>
            <w:shd w:fill="FFFFFF" w:val="clear"/>
            <w:tcMar>
              <w:bottom w:w="0" w:type="dxa"/>
            </w:tcMar>
            <w:vAlign w:val="center"/>
          </w:tcPr>
          <w:p>
            <w:pPr>
              <w:pStyle w:val="TableContents"/>
              <w:bidi w:val="0"/>
              <w:spacing w:before="0" w:after="283"/>
              <w:jc w:val="left"/>
              <w:rPr/>
            </w:pPr>
            <w:r>
              <w:rPr/>
              <w:t> </w:t>
            </w:r>
          </w:p>
        </w:tc>
        <w:tc>
          <w:tcPr>
            <w:tcW w:w="68" w:type="dxa"/>
            <w:tcBorders/>
            <w:shd w:fill="FFFFFF" w:val="clear"/>
            <w:tcMar>
              <w:bottom w:w="0" w:type="dxa"/>
            </w:tcMar>
            <w:vAlign w:val="center"/>
          </w:tcPr>
          <w:p>
            <w:pPr>
              <w:pStyle w:val="TableContents"/>
              <w:bidi w:val="0"/>
              <w:spacing w:before="0" w:after="283"/>
              <w:jc w:val="left"/>
              <w:rPr/>
            </w:pPr>
            <w:r>
              <w:rPr/>
              <w:t> </w:t>
            </w:r>
          </w:p>
        </w:tc>
        <w:tc>
          <w:tcPr>
            <w:tcW w:w="159" w:type="dxa"/>
            <w:tcBorders/>
            <w:shd w:fill="FFFFFF" w:val="clear"/>
            <w:tcMar>
              <w:bottom w:w="0" w:type="dxa"/>
            </w:tcMar>
            <w:vAlign w:val="center"/>
          </w:tcPr>
          <w:p>
            <w:pPr>
              <w:pStyle w:val="TableContents"/>
              <w:bidi w:val="0"/>
              <w:spacing w:before="0" w:after="283"/>
              <w:jc w:val="left"/>
              <w:rPr/>
            </w:pPr>
            <w:r>
              <w:rPr/>
              <w:t> </w:t>
            </w:r>
          </w:p>
        </w:tc>
        <w:tc>
          <w:tcPr>
            <w:tcW w:w="772"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22,731</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48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 liability, non-current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9" w:type="dxa"/>
            <w:tcBorders>
              <w:bottom w:val="single" w:sz="8" w:space="0" w:color="000000"/>
            </w:tcBorders>
            <w:shd w:fill="CCEEFF" w:val="clear"/>
            <w:vAlign w:val="center"/>
          </w:tcPr>
          <w:p>
            <w:pPr>
              <w:pStyle w:val="TableContents"/>
              <w:bidi w:val="0"/>
              <w:spacing w:before="0" w:after="283"/>
              <w:jc w:val="left"/>
              <w:rPr/>
            </w:pPr>
            <w:r>
              <w:rPr/>
              <w:t> </w:t>
            </w:r>
          </w:p>
        </w:tc>
        <w:tc>
          <w:tcPr>
            <w:tcW w:w="772"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33,922</w:t>
            </w:r>
          </w:p>
        </w:tc>
        <w:tc>
          <w:tcPr>
            <w:tcW w:w="68" w:type="dxa"/>
            <w:tcBorders/>
            <w:shd w:fill="CCEEFF" w:val="clear"/>
            <w:tcMar>
              <w:bottom w:w="0" w:type="dxa"/>
            </w:tcMar>
            <w:vAlign w:val="center"/>
          </w:tcPr>
          <w:p>
            <w:pPr>
              <w:pStyle w:val="TableContents"/>
              <w:bidi w:val="0"/>
              <w:spacing w:before="0" w:after="283"/>
              <w:jc w:val="left"/>
              <w:rPr/>
            </w:pPr>
            <w:r>
              <w:rPr/>
              <w:t> </w:t>
            </w:r>
          </w:p>
        </w:tc>
        <w:tc>
          <w:tcPr>
            <w:tcW w:w="68" w:type="dxa"/>
            <w:tcBorders/>
            <w:shd w:fill="CCEEFF" w:val="clear"/>
            <w:tcMar>
              <w:bottom w:w="0" w:type="dxa"/>
            </w:tcMar>
            <w:vAlign w:val="center"/>
          </w:tcPr>
          <w:p>
            <w:pPr>
              <w:pStyle w:val="TableContents"/>
              <w:bidi w:val="0"/>
              <w:spacing w:before="0" w:after="283"/>
              <w:jc w:val="left"/>
              <w:rPr/>
            </w:pPr>
            <w:r>
              <w:rPr/>
              <w:t> </w:t>
            </w:r>
          </w:p>
        </w:tc>
        <w:tc>
          <w:tcPr>
            <w:tcW w:w="159" w:type="dxa"/>
            <w:tcBorders>
              <w:bottom w:val="single" w:sz="8" w:space="0" w:color="000000"/>
            </w:tcBorders>
            <w:shd w:fill="CCEEFF" w:val="clear"/>
            <w:vAlign w:val="center"/>
          </w:tcPr>
          <w:p>
            <w:pPr>
              <w:pStyle w:val="TableContents"/>
              <w:bidi w:val="0"/>
              <w:spacing w:before="0" w:after="283"/>
              <w:jc w:val="left"/>
              <w:rPr/>
            </w:pPr>
            <w:r>
              <w:rPr/>
              <w:t> </w:t>
            </w:r>
          </w:p>
        </w:tc>
        <w:tc>
          <w:tcPr>
            <w:tcW w:w="772"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49,974</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48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operating lease 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72"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56,745</w:t>
            </w:r>
          </w:p>
        </w:tc>
        <w:tc>
          <w:tcPr>
            <w:tcW w:w="68" w:type="dxa"/>
            <w:tcBorders/>
            <w:shd w:fill="FFFFFF" w:val="clear"/>
            <w:tcMar>
              <w:bottom w:w="0" w:type="dxa"/>
            </w:tcMar>
            <w:vAlign w:val="center"/>
          </w:tcPr>
          <w:p>
            <w:pPr>
              <w:pStyle w:val="TableContents"/>
              <w:bidi w:val="0"/>
              <w:spacing w:before="0" w:after="283"/>
              <w:jc w:val="left"/>
              <w:rPr/>
            </w:pPr>
            <w:r>
              <w:rPr/>
              <w:t> </w:t>
            </w:r>
          </w:p>
        </w:tc>
        <w:tc>
          <w:tcPr>
            <w:tcW w:w="68" w:type="dxa"/>
            <w:tcBorders/>
            <w:shd w:fill="FFFFFF" w:val="clear"/>
            <w:tcMar>
              <w:bottom w:w="0" w:type="dxa"/>
            </w:tcMar>
            <w:vAlign w:val="center"/>
          </w:tcPr>
          <w:p>
            <w:pPr>
              <w:pStyle w:val="TableContents"/>
              <w:bidi w:val="0"/>
              <w:spacing w:before="0" w:after="283"/>
              <w:jc w:val="left"/>
              <w:rPr/>
            </w:pPr>
            <w:r>
              <w:rPr/>
              <w:t> </w:t>
            </w:r>
          </w:p>
        </w:tc>
        <w:tc>
          <w:tcPr>
            <w:tcW w:w="159"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72"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72,705</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6263" w:type="dxa"/>
        <w:jc w:val="left"/>
        <w:tblInd w:w="0" w:type="dxa"/>
        <w:tblLayout w:type="fixed"/>
        <w:tblCellMar>
          <w:top w:w="0" w:type="dxa"/>
          <w:left w:w="0" w:type="dxa"/>
          <w:bottom w:w="0" w:type="dxa"/>
          <w:right w:w="0" w:type="dxa"/>
        </w:tblCellMar>
      </w:tblPr>
      <w:tblGrid>
        <w:gridCol w:w="4130"/>
        <w:gridCol w:w="60"/>
        <w:gridCol w:w="107"/>
        <w:gridCol w:w="785"/>
        <w:gridCol w:w="107"/>
        <w:gridCol w:w="107"/>
        <w:gridCol w:w="107"/>
        <w:gridCol w:w="785"/>
        <w:gridCol w:w="75"/>
      </w:tblGrid>
      <w:tr>
        <w:trPr/>
        <w:tc>
          <w:tcPr>
            <w:tcW w:w="4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98"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 of December 31,</w:t>
            </w:r>
          </w:p>
        </w:tc>
        <w:tc>
          <w:tcPr>
            <w:tcW w:w="75" w:type="dxa"/>
            <w:tcBorders/>
            <w:vAlign w:val="center"/>
          </w:tcPr>
          <w:p>
            <w:pPr>
              <w:pStyle w:val="TableContents"/>
              <w:bidi w:val="0"/>
              <w:spacing w:before="0" w:after="283"/>
              <w:jc w:val="left"/>
              <w:rPr/>
            </w:pPr>
            <w:r>
              <w:rPr/>
              <w:t> </w:t>
            </w:r>
          </w:p>
        </w:tc>
      </w:tr>
      <w:tr>
        <w:trPr/>
        <w:tc>
          <w:tcPr>
            <w:tcW w:w="413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Weighted-average remaining lease term:</w:t>
            </w:r>
          </w:p>
        </w:tc>
        <w:tc>
          <w:tcPr>
            <w:tcW w:w="60" w:type="dxa"/>
            <w:tcBorders/>
            <w:vAlign w:val="center"/>
          </w:tcPr>
          <w:p>
            <w:pPr>
              <w:pStyle w:val="TableContents"/>
              <w:bidi w:val="0"/>
              <w:spacing w:before="0" w:after="283"/>
              <w:jc w:val="left"/>
              <w:rPr/>
            </w:pPr>
            <w:r>
              <w:rPr/>
              <w:t> </w:t>
            </w:r>
          </w:p>
        </w:tc>
        <w:tc>
          <w:tcPr>
            <w:tcW w:w="89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07"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89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75" w:type="dxa"/>
            <w:tcBorders/>
            <w:vAlign w:val="center"/>
          </w:tcPr>
          <w:p>
            <w:pPr>
              <w:pStyle w:val="TableContents"/>
              <w:bidi w:val="0"/>
              <w:spacing w:before="0" w:after="283"/>
              <w:jc w:val="left"/>
              <w:rPr/>
            </w:pPr>
            <w:r>
              <w:rPr/>
              <w:t> </w:t>
            </w:r>
          </w:p>
        </w:tc>
      </w:tr>
      <w:tr>
        <w:trPr/>
        <w:tc>
          <w:tcPr>
            <w:tcW w:w="41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leases (in years)</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1.83</w:t>
            </w:r>
          </w:p>
        </w:tc>
        <w:tc>
          <w:tcPr>
            <w:tcW w:w="107"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4900" w:type="dxa"/>
        <w:jc w:val="left"/>
        <w:tblInd w:w="0" w:type="dxa"/>
        <w:tblLayout w:type="fixed"/>
        <w:tblCellMar>
          <w:top w:w="0" w:type="dxa"/>
          <w:left w:w="0" w:type="dxa"/>
          <w:bottom w:w="28" w:type="dxa"/>
          <w:right w:w="0" w:type="dxa"/>
        </w:tblCellMar>
      </w:tblPr>
      <w:tblGrid>
        <w:gridCol w:w="3335"/>
        <w:gridCol w:w="60"/>
        <w:gridCol w:w="60"/>
        <w:gridCol w:w="440"/>
        <w:gridCol w:w="215"/>
        <w:gridCol w:w="60"/>
        <w:gridCol w:w="60"/>
        <w:gridCol w:w="440"/>
        <w:gridCol w:w="230"/>
      </w:tblGrid>
      <w:tr>
        <w:trPr/>
        <w:tc>
          <w:tcPr>
            <w:tcW w:w="3335" w:type="dxa"/>
            <w:tcBorders>
              <w:bottom w:val="single" w:sz="8"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Weighted-average discount rate:</w:t>
            </w:r>
          </w:p>
        </w:tc>
        <w:tc>
          <w:tcPr>
            <w:tcW w:w="60" w:type="dxa"/>
            <w:tcBorders/>
            <w:tcMar>
              <w:bottom w:w="0" w:type="dxa"/>
            </w:tcMar>
            <w:vAlign w:val="center"/>
          </w:tcPr>
          <w:p>
            <w:pPr>
              <w:pStyle w:val="TableContents"/>
              <w:bidi w:val="0"/>
              <w:spacing w:before="0" w:after="283"/>
              <w:jc w:val="left"/>
              <w:rPr/>
            </w:pPr>
            <w:r>
              <w:rPr/>
              <w:t> </w:t>
            </w:r>
          </w:p>
        </w:tc>
        <w:tc>
          <w:tcPr>
            <w:tcW w:w="50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0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230" w:type="dxa"/>
            <w:tcBorders/>
            <w:tcMar>
              <w:bottom w:w="0" w:type="dxa"/>
            </w:tcMar>
            <w:vAlign w:val="center"/>
          </w:tcPr>
          <w:p>
            <w:pPr>
              <w:pStyle w:val="TableContents"/>
              <w:bidi w:val="0"/>
              <w:spacing w:before="0" w:after="283"/>
              <w:jc w:val="left"/>
              <w:rPr/>
            </w:pPr>
            <w:r>
              <w:rPr/>
              <w:t> </w:t>
            </w:r>
          </w:p>
        </w:tc>
      </w:tr>
      <w:tr>
        <w:trPr/>
        <w:tc>
          <w:tcPr>
            <w:tcW w:w="333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9.40</w:t>
            </w:r>
          </w:p>
        </w:tc>
        <w:tc>
          <w:tcPr>
            <w:tcW w:w="21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9.40</w:t>
            </w:r>
          </w:p>
        </w:tc>
        <w:tc>
          <w:tcPr>
            <w:tcW w:w="23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minimum lease payments under non-cancellable lease as of December 31, 2025, are as follows:</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Future Minimum Lease Payments Under Non-Cancellable Lease</w:t>
      </w:r>
    </w:p>
    <w:tbl>
      <w:tblPr>
        <w:tblW w:w="3965" w:type="dxa"/>
        <w:jc w:val="left"/>
        <w:tblInd w:w="0" w:type="dxa"/>
        <w:tblLayout w:type="fixed"/>
        <w:tblCellMar>
          <w:top w:w="0" w:type="dxa"/>
          <w:left w:w="0" w:type="dxa"/>
          <w:bottom w:w="28" w:type="dxa"/>
          <w:right w:w="0" w:type="dxa"/>
        </w:tblCellMar>
      </w:tblPr>
      <w:tblGrid>
        <w:gridCol w:w="2975"/>
        <w:gridCol w:w="60"/>
        <w:gridCol w:w="140"/>
        <w:gridCol w:w="680"/>
        <w:gridCol w:w="110"/>
      </w:tblGrid>
      <w:tr>
        <w:trPr/>
        <w:tc>
          <w:tcPr>
            <w:tcW w:w="2975" w:type="dxa"/>
            <w:tcBorders>
              <w:bottom w:val="single" w:sz="8"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Maturities of lease liabilities:</w:t>
            </w:r>
          </w:p>
        </w:tc>
        <w:tc>
          <w:tcPr>
            <w:tcW w:w="60" w:type="dxa"/>
            <w:tcBorders/>
            <w:tcMar>
              <w:bottom w:w="0" w:type="dxa"/>
            </w:tcMar>
            <w:vAlign w:val="center"/>
          </w:tcPr>
          <w:p>
            <w:pPr>
              <w:pStyle w:val="TableContents"/>
              <w:bidi w:val="0"/>
              <w:spacing w:before="0" w:after="283"/>
              <w:jc w:val="left"/>
              <w:rPr/>
            </w:pPr>
            <w:r>
              <w:rPr/>
              <w:t> </w:t>
            </w:r>
          </w:p>
        </w:tc>
        <w:tc>
          <w:tcPr>
            <w:tcW w:w="820" w:type="dxa"/>
            <w:gridSpan w:val="2"/>
            <w:tcBorders/>
            <w:tcMar>
              <w:bottom w:w="0" w:type="dxa"/>
            </w:tcMar>
            <w:vAlign w:val="center"/>
          </w:tcPr>
          <w:p>
            <w:pPr>
              <w:pStyle w:val="TableContents"/>
              <w:bidi w:val="0"/>
              <w:spacing w:before="0" w:after="283"/>
              <w:jc w:val="center"/>
              <w:rPr/>
            </w:pPr>
            <w:r>
              <w:rPr/>
              <w:t> </w:t>
            </w:r>
          </w:p>
        </w:tc>
        <w:tc>
          <w:tcPr>
            <w:tcW w:w="110" w:type="dxa"/>
            <w:tcBorders/>
            <w:tcMar>
              <w:bottom w:w="0" w:type="dxa"/>
            </w:tcMar>
            <w:vAlign w:val="center"/>
          </w:tcPr>
          <w:p>
            <w:pPr>
              <w:pStyle w:val="TableContents"/>
              <w:bidi w:val="0"/>
              <w:spacing w:before="0" w:after="283"/>
              <w:jc w:val="left"/>
              <w:rPr/>
            </w:pPr>
            <w:r>
              <w:rPr/>
              <w:t> </w:t>
            </w:r>
          </w:p>
        </w:tc>
      </w:tr>
      <w:tr>
        <w:trPr/>
        <w:tc>
          <w:tcPr>
            <w:tcW w:w="297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Year Ending December 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820" w:type="dxa"/>
            <w:gridSpan w:val="2"/>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297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33,458</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297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28,235</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297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2028</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297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2029</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297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2030 and thereafter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680" w:type="dxa"/>
            <w:tcBorders>
              <w:bottom w:val="single" w:sz="8" w:space="0" w:color="000000"/>
            </w:tcBorders>
            <w:shd w:fill="FFFFFF" w:val="clear"/>
            <w:vAlign w:val="center"/>
          </w:tcPr>
          <w:p>
            <w:pPr>
              <w:pStyle w:val="TableContents"/>
              <w:bidi w:val="0"/>
              <w:spacing w:before="0" w:after="283"/>
              <w:jc w:val="right"/>
              <w:rPr/>
            </w:pPr>
            <w:r>
              <w:rPr/>
              <w:t>—</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297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undiscounted cash flows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680"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61,693</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297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Less discounting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68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(4,948</w:t>
            </w:r>
          </w:p>
        </w:tc>
        <w:tc>
          <w:tcPr>
            <w:tcW w:w="11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97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Present value of lease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0"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56,745</w:t>
            </w:r>
          </w:p>
        </w:tc>
        <w:tc>
          <w:tcPr>
            <w:tcW w:w="11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Investor Relations Consulting Agreement with MZHCI, LLC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26, 2024, the Company entered into an Investor Relations Consulting Agreement (the “Consulting Agreement”) with MZHCI, LLC, a MZ Group Company (“MZHCI”), pursuant to which the Company agreed to issue 2,400 restricted shares, partially in exchange for the various investor relations services outlined in the Consulting Agreement. The Company will also pay MZHCI $12,500 per month for their investor relations services with an annual 5% cost of living adjustment. This agreement becomes effective upon the execution of the Consulting Agreement and shall remain effective for a period of six (6) months, unless terminated earlier. The Consulting Agreement shall automatically renew every six (6) months thereafter unless either party delivers to the other sixty (60) days written notice of termination prior to the end of the then-current term. On September 9, 2024, the Company issued 24,000 shares to MZHCI. The shares are exempt from registration pursuant to Section 4(a)(2) of the Securities Act of 1933, as amended, and were issued as restricted stock with an appropriate restrictive legend.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Repayment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2024 the Company entered into various agreements (the “Settlement Agreements”) to reorganize outstanding debt from certain creditors (collectively, the “Creditors”) into shares of the Company’s Class A Common Stock (the “Shares”) (collectively, the “Debt Reorganization”). The Shares issued as part of the Debt Reorganization include Shares that are to be registered with the Securities and Exchange Commission (the “SEC”) in a registration statement on Form S-1 and Shares that are exempt from registration. The details of the various agreements are summarized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Repayment Agreement with Perkins Coie LLP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9, 2024, the Company entered into a Repayment Agreement (the “Perkins Repayment Agreement”) where the Company agreed to issue $1,385,000 worth of shares, which the Company shall register no fewer than 46,000 shares, subject to adjustment, in a registration statement on Form S-1 within 60 days of entering into the Perkins Repayment Agreement, and will use reasonable best efforts to ensure the Registration Statement becomes effective promptly and remains effective until all shares issued under the Perkins Repayment Agreement are sold. The Company’s registration statement on Form S-1 was filed with the SEC on October 16, 2024 and became effective on November 6, 2024. As of December 31, 2024, the Company had issued 60,000 shares to Perkins to settle part of the outstanding liability balance. During the year ended December 31, 2025, the Company issued 130,000 shares to Perkins to settle the remaining outstanding liability balance.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Repayment Agreement with Cooley LLP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September 19, 2024 the Company entered into a Repayment Agreement with Cooley LLP (“Cooley”) for previously provided legal services (the “Cooley Repayment Agreement”). Under the Cooley Repayment Agreement, the Company’s outstanding fees have been lowered from $1,523,029 to $400,000 (the “Cooley Unpaid Fee”) in exchange for 11 monthly installments of $36,300, with the first payment to be made on October 1, 2024. If payments are not made in accordance with the Repayment Agreement, Cooley retains the right to seek to collect the entire original outstanding fee balance. As such, in accordance with ASC 470-60, no gain on settlement will be recorded until all payments have been made as required and the potential obligation to pay the amounts written off are eliminated. The Company made all required payments as of June 30, 2025 and accordingly recognized a gain on settlement of approximately $1.1 million, recognized within gain on extinguishment of liabilities on the </w:t>
      </w:r>
      <w:r>
        <w:rPr>
          <w:rFonts w:ascii="Times New Roman;Times;Serif" w:hAnsi="Times New Roman;Times;Serif"/>
          <w:b w:val="false"/>
          <w:i w:val="false"/>
          <w:caps w:val="false"/>
          <w:smallCaps w:val="false"/>
          <w:sz w:val="20"/>
          <w:shd w:fill="FFFFFF" w:val="clear"/>
        </w:rPr>
        <w:t>consolidated statements of operations for the year ended December 31, 2025.</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Settlement Letter with CohnReznick LLP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September 19, 2024, the Company entered into a Settlement Letter with CohnReznick LLP (“CohnReznick”) regarding the Company’s unpaid balance totaling $817,400 for services rendered in connection with the 7GC business combination with the Company (the “Settlement Letter”). Under the Settlement Letter, the Company and CohnReznick agreed to settle the total unpaid balance due, upon CohnReznick’s receipt of $450,000 (the “Settlement Amount”), which will be paid in 15 equal monthly installments of $30,000. In consideration of the Settlement Letter, CohnReznick has agreed to not to pursue collection efforts now or at any time in the future, except as otherwise provided in the Settlement Letter. If payments are not made in accordance with the Settlement Letter, the unpaid portion of the total unpaid balance will immediately become due and payable. As such, in accordance with ASC 470-60, no gain on settlement will be recorded until all payments have been made as required and the potential obligation to pay the amounts written off are eliminated. </w:t>
      </w:r>
      <w:r>
        <w:rPr>
          <w:rFonts w:ascii="Times New Roman;Times;Serif" w:hAnsi="Times New Roman;Times;Serif"/>
          <w:b w:val="false"/>
          <w:i w:val="false"/>
          <w:caps w:val="false"/>
          <w:smallCaps w:val="false"/>
          <w:sz w:val="20"/>
          <w:shd w:fill="FFFFFF" w:val="clear"/>
        </w:rPr>
        <w:t>The remaining unpaid balance of $577,400 is included in accrued expenses and other current liabilities on the consolidated balance sheets as of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Repayment Agreement with Sidley Austin LLP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September 19, 2024, the Company entered into a Repayment Agreement with Sidley Austin LLP (“Sidley”) for previously provided legal services (the “Sidley Repayment Agreement”). Under the Sidley Repayment Agreement, the Company’s outstanding fees have been lowered from $4,815,979 to $1,605,326 (the “Sidley Unpaid Fee”). Under the Sidley Repayment Agreement, the Company agrees to 12 monthly payments that Sidley applies to the balance of the Sidley Unpaid Fee on a 2 for 1 basis, such that for every one dollar ($1.00) paid by Company, Sidley shall reduce the Sidley Unpaid Fee Amount by an additional two dollars ($2.00). If payments are not made in accordance with the Sidley Repayment Agreement, the shortfall shall accrue interest at a rate of 12% per annum, compounded daily, until such payment is made. As such, in accordance with ASC 470-60, no gain on settlement will be recorded until all payments have been made as required and the potential obligation to pay the amounts written off are eliminated. The Company made all required payments as of June 30, 2025 and accordingly recognized a gain on settlement of approximately $3.2 million, recognized within gain on extinguishment of liabilities on the </w:t>
      </w:r>
      <w:r>
        <w:rPr>
          <w:rFonts w:ascii="Times New Roman;Times;Serif" w:hAnsi="Times New Roman;Times;Serif"/>
          <w:b w:val="false"/>
          <w:i w:val="false"/>
          <w:caps w:val="false"/>
          <w:smallCaps w:val="false"/>
          <w:sz w:val="20"/>
          <w:shd w:fill="FFFFFF" w:val="clear"/>
        </w:rPr>
        <w:t>consolidated statements of operations for the year ended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Repayment Agreement with Donnelley Financial LLC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13, 2024, the Company entered into a Repayment Agreement with Donnelley Financial LLC (“Donnelley”) for previously provided services (the “Donnelley Repayment Agreement”). Under the Donnelley Repayment Agreement, the Company’s outstanding fees have been lowered from $1,072,148 to $357,025 (the “Donnelley Unpaid Fee”). The Donnelley Unpaid Fee will be paid in 12 monthly installments, with the first monthly payment of $45,000 due on October 1, 2024; the remaining 11 payments shall each be in the amount of $28,366. Under the Donnelly Repayment Agreement, the original outstanding fee balance shall become immediately due and payable upon the occurrence of certain events, including failure to make a payment of the Donnelly Unpaid Fee when due and failure to pay for any additional services. As such, in accordance with ASC 470-60, no gain on settlement will be recorded until all payments have been made as required and the potential obligation to pay the amounts written off are eliminated. The remaining unpaid balance of $85,098 is included in accrued expenses and other current liabilities on the consolidated balance sheets as of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Repayment Agreement with Verista Partners,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26, 2024, the Company entered into a Repayment Agreement with Verista Partners, Inc. aka Winterberry Group, (“Verista” or “Winterberry”) for previously provided services (the “Verista Repayment Agreement”). Under the Verista Repayment Agreement, the Company’s outstanding fees are $196,666 (the “Verista Unpaid Fee”). The Company and Verista have agreed that the Verista Unpaid Fee will be repaid with $66,666 worth of shares of the Company, and $130,000 in 16 equal cash installment payments of $8,125, beginning on October 1, 2024, and on the first day of each month thereafter through January 1, 2026. As of December 31, 2025, the Company had issued 3,000 shares and made aggregate installment payments of $78,437 to Verista. The remaining unpaid balance of $45,785 is included in Accounts Payable on the consolidated balance sheets as of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Payment to Act-On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previously announced its entry into an Agreement and Plan of Merger, dated January 22, 2025, with Act-On Software, Inc., a Delaware corporation (“Act-On”), and Banzai Passage Inc., a Delaware corporation and wholly owned subsidiary of Banzai. Although the Company worked diligently to complete all closing conditions of the Plan of Merger, due to current market conditions, on June 6, 2025, Act-On served Banzai with a notice of termination to terminate the Merger Agreement and any related agreements (collectively, the “Transaction Documents”). As per the Transaction Documents, within five calendar days, the Company was required to pay certain termination fees including $500,000 in liquidated damages to cover certain transaction expenses that Act-On incurred in connection with the merger contemplated by the Merger Agreement and $882,030 in additional interest and extension fees associated with one of Act-On’s outstanding debts that the Company had intended to payoff in connection with the merger contemplated by the Merger Agreement. As of December 31, 2025, the Company had paid the total amount owed of approximately $1,382,030 to Act-On.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Legal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regular course of business affairs and operations, the Company is subject to possible loss contingencies arising from third-party litigation and federal, state, and local environmental, labor, health and safety laws and regulations. The Company assesses the probability that they may incur a liability in connection with certain of these lawsuits. The Company’s assessments are made in accordance with generally accepted accounting principles, as codified in ASC 450-20, and is not an admission of any liability on the part of the Company or any of its subsidiaries. In certain cases that are in the early stages and in light of the uncertainties surrounding them, the Company does not currently possess sufficient information to determine a range of reasonably possible liability.</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15.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The Company’s capital stock consists of Class A Common Stock, Class B Common Stock, Preferred Stock and Series FE Preferred Stock. All classes of stock have a par value of $0.0001 per share. The table below sets forth information about the Company’s equity, as of December 31, 2025: </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Equity</w:t>
      </w:r>
    </w:p>
    <w:tbl>
      <w:tblPr>
        <w:tblW w:w="6575" w:type="dxa"/>
        <w:jc w:val="left"/>
        <w:tblInd w:w="0" w:type="dxa"/>
        <w:tblLayout w:type="fixed"/>
        <w:tblCellMar>
          <w:top w:w="0" w:type="dxa"/>
          <w:left w:w="0" w:type="dxa"/>
          <w:bottom w:w="0" w:type="dxa"/>
          <w:right w:w="0" w:type="dxa"/>
        </w:tblCellMar>
      </w:tblPr>
      <w:tblGrid>
        <w:gridCol w:w="2480"/>
        <w:gridCol w:w="60"/>
        <w:gridCol w:w="60"/>
        <w:gridCol w:w="1220"/>
        <w:gridCol w:w="60"/>
        <w:gridCol w:w="60"/>
        <w:gridCol w:w="60"/>
        <w:gridCol w:w="1100"/>
        <w:gridCol w:w="60"/>
        <w:gridCol w:w="60"/>
        <w:gridCol w:w="66"/>
        <w:gridCol w:w="1214"/>
        <w:gridCol w:w="75"/>
      </w:tblGrid>
      <w:tr>
        <w:trPr/>
        <w:tc>
          <w:tcPr>
            <w:tcW w:w="24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Authorized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Issued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Outstanding</w:t>
            </w:r>
          </w:p>
        </w:tc>
        <w:tc>
          <w:tcPr>
            <w:tcW w:w="75" w:type="dxa"/>
            <w:tcBorders/>
            <w:vAlign w:val="center"/>
          </w:tcPr>
          <w:p>
            <w:pPr>
              <w:pStyle w:val="TableContents"/>
              <w:bidi w:val="0"/>
              <w:spacing w:before="0" w:after="283"/>
              <w:jc w:val="left"/>
              <w:rPr/>
            </w:pPr>
            <w:r>
              <w:rPr/>
              <w:t> </w:t>
            </w:r>
          </w:p>
        </w:tc>
      </w:tr>
      <w:tr>
        <w:trPr/>
        <w:tc>
          <w:tcPr>
            <w:tcW w:w="24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Preferred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214"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24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Series FE Preferred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214"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24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Class A Common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250,000,000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10,315,219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21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10,315,219</w:t>
            </w:r>
          </w:p>
        </w:tc>
        <w:tc>
          <w:tcPr>
            <w:tcW w:w="75" w:type="dxa"/>
            <w:tcBorders/>
            <w:shd w:fill="CCEEFF" w:val="clear"/>
            <w:vAlign w:val="center"/>
          </w:tcPr>
          <w:p>
            <w:pPr>
              <w:pStyle w:val="TableContents"/>
              <w:bidi w:val="0"/>
              <w:spacing w:before="0" w:after="283"/>
              <w:jc w:val="left"/>
              <w:rPr/>
            </w:pPr>
            <w:r>
              <w:rPr/>
              <w:t> </w:t>
            </w:r>
          </w:p>
        </w:tc>
      </w:tr>
      <w:tr>
        <w:trPr/>
        <w:tc>
          <w:tcPr>
            <w:tcW w:w="24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Class B Common Stock</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25,000,000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231,114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1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231,114</w:t>
            </w:r>
          </w:p>
        </w:tc>
        <w:tc>
          <w:tcPr>
            <w:tcW w:w="75" w:type="dxa"/>
            <w:tcBorders/>
            <w:shd w:fill="FFFFFF" w:val="clear"/>
            <w:vAlign w:val="center"/>
          </w:tcPr>
          <w:p>
            <w:pPr>
              <w:pStyle w:val="TableContents"/>
              <w:bidi w:val="0"/>
              <w:spacing w:before="0" w:after="283"/>
              <w:jc w:val="left"/>
              <w:rPr/>
            </w:pPr>
            <w:r>
              <w:rPr/>
              <w:t> </w:t>
            </w:r>
          </w:p>
        </w:tc>
      </w:tr>
      <w:tr>
        <w:trPr/>
        <w:tc>
          <w:tcPr>
            <w:tcW w:w="248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350,000,001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10,546,333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1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10,546,333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shd w:fill="FFFFFF" w:val="clear"/>
        </w:rPr>
      </w:pPr>
      <w:r>
        <w:rPr>
          <w:rFonts w:ascii="Times New Roman;Times;Serif" w:hAnsi="Times New Roman;Times;Serif"/>
          <w:b/>
          <w:i/>
          <w:caps w:val="false"/>
          <w:smallCaps w:val="false"/>
          <w:sz w:val="20"/>
          <w:shd w:fill="FFFFFF" w:val="clear"/>
        </w:rPr>
        <w:t>Class A and B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The Class A Common Stock and Class B Common Stock entitle their holders to one vote per share and ten votes per share, respectively, on each matter properly submitted to the stockholders entitled to vote thereon. The holders of shares of Common Stock shall be entitled to receive dividends declared by the Board of Directors (“Board”), on a pro rata basis based on the number of shares of Common Stock held by each such holder, assuming conversion of all Class B Common Stock into Class A Common Stock at a one to one </w:t>
      </w:r>
      <w:r>
        <w:rPr>
          <w:rFonts w:ascii="Times New Roman;Times;Serif" w:hAnsi="Times New Roman;Times;Serif"/>
          <w:b w:val="false"/>
          <w:i w:val="false"/>
          <w:caps w:val="false"/>
          <w:smallCaps w:val="false"/>
          <w:sz w:val="20"/>
        </w:rPr>
        <w:t>conversion ratio.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shd w:fill="FFFFFF" w:val="clear"/>
        </w:rPr>
      </w:pPr>
      <w:r>
        <w:rPr>
          <w:rFonts w:ascii="Times New Roman;Times;Serif" w:hAnsi="Times New Roman;Times;Serif"/>
          <w:b/>
          <w:i/>
          <w:caps w:val="false"/>
          <w:smallCaps w:val="false"/>
          <w:sz w:val="20"/>
          <w:shd w:fill="FFFFFF" w:val="clear"/>
        </w:rPr>
        <w:t>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Board has the authority to issue preferred stock and to determine the rights, privileges, preferences, restrictions, and voting rights of those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shd w:fill="FFFFFF" w:val="clear"/>
        </w:rPr>
      </w:pPr>
      <w:r>
        <w:rPr>
          <w:rFonts w:ascii="Times New Roman;Times;Serif" w:hAnsi="Times New Roman;Times;Serif"/>
          <w:b/>
          <w:i/>
          <w:caps w:val="false"/>
          <w:smallCaps w:val="false"/>
          <w:sz w:val="20"/>
          <w:shd w:fill="FFFFFF" w:val="clear"/>
        </w:rPr>
        <w:t>Series FE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and as a condition to closing under the Merger Agreement during 2024, on the Closing Date, the Company issued one (1) share of series FE preferred stock (the “Series FE Preferred Stock”), to one of the OpenReel Stockholders, FE IV OR Aggregator, LLC. The Series FE Preferred Stock has a two (2) year term and from the issue date to the second anniversary of the issue date, the holder is granted the right upon a subsequent financing resulting in the issuance of new securities by the Company, to participate on a pro-rata basis in such subsequent financing up to the holder’s fully-diluted ownership percentage of the Company. Upon the two-year anniversary of the issue date of the Series FE Preferred Stock, the Series FE Preferred Stock will automatically be canceled and return to the status of authorized but unissued. The Series FE Preferred Stock does not participate in dividends of the Company, is not convertible into any other class of equity securities of the Company, has no voting rights with the Common Stock or other equity securities of the Company, and is not redeemable.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Yorkville Standby Equity Purchase Agreement (“SEPA”)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14, 2023, the Company entered into the SEPA with YA II PN, LTD, a Cayman Islands exempt limited partnership managed by Yorkville Advisors Global, LP (“Yorkville”) in connection with the Merger. Pursuant to the SEPA, subject to certain conditions, the Company shall have the option, but not the obligation, to sell to Yorkville, and Yorkville shall subscribe for, an aggregate amount of up to up to $100,000,000 of the Company’s shares of Class A common stock, par value $0.0001 per share, at the Company’s request any time during the commitment period commencing on December 14, 2023 and terminating on the 36-month anniversary of the SEPA (the “SEPA Option”).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advance (each, an “Advance”) the Company requests under the SEPA (notice of such request, an “Advance Notice”) may be for a number of shares of Class A common stock up to the greater of (i) 10,000 shares or (ii) such amount as is equal to 100% of the average daily volume traded of the Class A common stock during the five trading days immediately prior to the date the Company requests each Advance; provided, in no event shall the number of shares of Class A common stock issued cause the aggregate shares of Class A common stock held by Yorkville and its affiliates as of any such date to exceed 9.99% of the total number of shares of Class A common stock outstanding as of the date of the Advance Notice (less any such shares held by Yorkville and its affiliates as of such date) (the “Exchange Cap”). The shares would be purchased, at the Company’s election, at a purchase price equal to either:</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1"/>
        <w:gridCol w:w="9899"/>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89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 of the average daily Volume Weighted Average Price (“VWAP”) of the Class A Common Stock on the Nasdaq Stock Market (“Nasdaq”), subject to certain conditions per the SEPA (the “Option 1 Pricing Period;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1" w:type="dxa"/>
            <w:tcBorders/>
            <w:vAlign w:val="center"/>
          </w:tcPr>
          <w:p>
            <w:pPr>
              <w:pStyle w:val="TableContents"/>
              <w:bidi w:val="0"/>
              <w:spacing w:before="0" w:after="283"/>
              <w:jc w:val="left"/>
              <w:rPr>
                <w:caps w:val="false"/>
                <w:smallCaps w:val="false"/>
              </w:rPr>
            </w:pPr>
            <w:r>
              <w:rPr>
                <w:caps w:val="false"/>
                <w:smallCaps w:val="false"/>
              </w:rPr>
              <w:t> </w:t>
            </w:r>
          </w:p>
        </w:tc>
        <w:tc>
          <w:tcPr>
            <w:tcW w:w="989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89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 of the lowest daily VWAP of the Class A Common Stock during the three trading days commencing on the Advance Notice date, subject to certain conditions per the SEPA (the “Option 2 Pricing Period”).</w:t>
            </w:r>
          </w:p>
        </w:tc>
      </w:tr>
    </w:tbl>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purchase under an Advance would be subject to certain limitations, including that Yorkville shall not purchase or acquire any shares that would result in it and its affiliates beneficially owning more than 9.99% of the then outstanding voting power or number of shares of Class A common stock or any shares that, aggregated with shares issued under all other earlier Advances, would exceed 19.99% of all shares of Class A common stock and Class B common stock of the Company, par value $0.0001 per share, outstanding on the date of the SEPA, unless Company shareholder approval was obtained allowing for issuances in excess of such amount.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SEPA Option was determined to be a freestanding financial instrument which did not meet the criteria to be accounted for as a derivative instrument or to be recognized within equity. Pursuant to ASC 815, the Company will therefore recognize the SEPA Option as an asset or liability, measured at fair value at the date of issuance, December 14, 2023, and in subsequent reporting periods, with changes in fair value recognized in earnings.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execution of the SEPA, the Company agreed to pay a commitment fee of $500,000 to Yorkville at the earlier of (i) March 14, 2024 or (ii) the termination of the SEPA, which will be payable, at the option of the Company, in cash or shares of Class A common stock through an Advance (the “Deferred Fee”). In March 2024 the Company issued 1,420 Class A common stock as payment for the Deferred Fee.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of the SEPA, at any time that there is a balance outstanding under the Yorkville Promissory Notes or Yorkville Note, Yorkville has the right to receive shares to pay down the principal balance, and may select the timing and delivery of such shares (via an “Investor Notice”), in an amount up to the outstanding principal balance on the Yorkville Promissory Notes at a purchase price equal to the lower of (i) $5,000 per share of Class A common stock (the “Fixed Price”), or (ii) 90% of the lowest daily Volume Weighted Average Price (“VWAP”) of the Class A common stock on Nasdaq during the 10 consecutive Trading Days immediately preceding the Investor Notice date or other date of determination (the “Variable Price”). The Variable Price shall not be lower than $1,000 per share (the “Floor Price”). The Floor Price shall be adjusted (downwards only) to equal 20% of the average VWAP for the five trading days immediately prior to the date of effectiveness of the initial Registration Statement. Notwithstanding the foregoing, the Company may reduce the Floor Price to any amount via written notice to Yorkville, provided that such amount is no more than 75% of the closing price on the Trading Day immediately prior to the time of such reduction and no greater than $1,000 per share of Class A common stock (the “Conversion Price”). At any time that there is a balance outstanding under the Yorkville Promissory Notes, the Company is not permitted to issue Advance Notices under the SEPA unless an Amortization Event has occurred under the terms of the Yorkville Promissory Notes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the Company issued Advance Notices to Yorkville pursuant to the SEPA requesting the purchase of shares of the Company’s Class A common stock. The Company elected to issue Advance Notices subject to both the Option 1 Pricing Period (the “Option 1 Advances”) and the Option 2 Pricing Period (the “Option 2 Advances”).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the Company requested the purchase of a total of 1,266,001 shares of the Company’s Class A common stock in connection with the Option 1 Advances, which Yorkville purchased for a total purchase price of approximately $6,473,887. The Company recognized a loss of approximately $340,850 on the sales, which represents the difference between the fair value of the shares issued and the proceeds received from the sales.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the Company requested the purchase of a total of 1,616,000 shares of the Company’s Class A common stock in connection the Option 2 Advances. The issuance of the Advance Notices subject to the Option 2 Pricing Period represents the creation of forward share sales contracts, which were determined to meet the definition of a derivative pursuant to ASC 815. As such, upon issuance of the Advance Notices for the Option 2 Advances, the Company recognized derivative liabilities totaling approximately $467,656 in the aggregate, the fair values of which represented the intrinsic value of the requested number of shares of Class A common stock on the Advance Notice dates. The Company recognized a loss of approximately $467,656 during the year ended December 31, 2025 representing the change in fair value of the derivative liabilities during the period from the Advance Notice dates and the settlement dates of the Option 2 Advances. Upon settlement of the Option 2 Advances, the Company sold an aggregate of 1,616,000 shares of the Company’s Class A common stock to Yorkville for total proceeds of approximately $11,222,588.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during the year ended December 31, 2025, the Company settled one Advance Notice subject to the Option 2 Pricing Period issued on December 30, 2024, and accordingly sold 30,489 of the Company’s Class A common stock to Yorkville for proceeds of approximately $48,000.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Shares Issued under ATM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27, 2025, the Company entered into an At The Market Offering Agreement (the “ATM Agreement”) with H.C. Wainwright &amp; Co., LLC, as sales agent (“Wainwright”), to sell its shares of Class A Common Stock, par value $0.0001 per share, from time to time, in an “at the market offering” program through Wainwright, with certain limitations on the amount of Class A Common Stock that may be offered and sold thereunder. The sales of the Shares made under the ATM Agreement (“the ATM Shares”) will be made by any method permitted by law deemed to be an “at the market offering” as defined in Rule 415(a)(4) promulgated under the Securities Act of 1933, as amended, including sales made directly on or through the Nasdaq Capital Market or on any other existing trading market for the Company’s Class A Common Stock, directly to Wainwright as principal, in negotiated transactions at market prices prevailing at the time of sale or at prices related to such prevailing market prices, and/or in any other method permitted by law.</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Offers and sales of the ATM shares by the Company will be made through a prospectus supplement, dated August 27, 2025 and an accompanying base prospectus, dated August 8, 2025 (the “ATM Prospectus Supplement”), which ATM Prospectus Supplement forms a part of the Company’s shelf registration statement on Form S-3 (File 333-288908), as amended, initially filed with the SEC on July 23, 2025 (the “Registration Statement”) and declared effective by the SEC on August 8, 2025. The aggregate market value of the shares of Class A Common Stock eligible for sale under the ATM Prospectus Supplement is approximately $8.2 million as of December 5, 2025, which is based on the limitations of General Instruction I.B.6 of Form S-3.</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ATM Agreement, the Company will set the parameters for the sale of the ATM Shares, including the number of ATM Shares to be issued, the time period during which sales are requested to be made, limitation on the number of ATM Shares that may be sold in any one trading day and any minimum price below which sales may not be made. Upon delivery of a placement notice and subject to the terms and conditions of the ATM Agreement, the Manager will use its commercially reasonable efforts, consistent with its normal trading and sales practices, applicable state and federal law, rules and regulations, and the rules of Nasdaq, to sell the ATM Shares from time to time based upon the Company’s instructions. The Company has no obligation to sell any the ATM Shares under the ATM Agreement and may at any time suspend solicitation and offers under the ATM Agreement. The Manager is not obligated to purchase any ATM Shares on a principal basis pursuant to the ATM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ATM Agreement provides that the Company will pay the Manager commissions for its services for acting as agent in the sale of the ATM Shares. The Manager will be entitled to compensation at a fixed commission rate equal to up to 3.0% of the gross proceeds from the sale of the ATM Shares. The Company has agreed to provide the Manager and certain affiliates of the Manager with customary indemnification and contribution rights, including for liabilities under the Securities Act. Pursuant to the ATM Agreement terms, the Company has agreed to reimburse Wainwright for the reasonable fees and expenses of its legal counsel not to exceed $100,000 (excluding any periodic due diligence fees) incurred in connection with entering into the transactions contemplated by the ATM Agreement and has agreed to reimburse Wainwright up to a maximum of $5,000 per Representation Date (as defined in the ATM Agreement) in connection with a new Registration Statement or the filing of the Company’s Annual Report on Form 10-K and $2,500 in connection with each other Representation Date, plus any incidental expense incurred by the Manager in connection therewith.</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ATM Agreement contains customary representations and warranties and conditions regarding the placements of the Shares pursuant thereto, obligations to sell Shares under the ATM Agreement are subject to satisfaction of certain conditions, including the effectiveness of the Registration Statement.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ATM and the ATM Prospectus Supplement will terminate upon the earlier of (i) the sale of the Maximum Amount (as defined in the ATM Agreement) of Shares pursuant to the ATM Agreement, or (b) the termination of the ATM Agreement by us or the Manager as permitted therein.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2025, the Company entered into a private placement agreement with certain investors to sell 31,884 shares of Class A common stock at $6.90 per share and 32,352 prefunded warrants (the “May 2025 Prefunded Warrants”) at $3.40 per warrant. The May 2025 Prefunded Warrants were immediately exercised, resulting in the issuance of 32,352 shares of Class A common stock. The Company collected in aggregate $330,000 of gross proceeds from this private placement.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the Company issued 1,816,387 shares under the ATM Agreement for net proceeds of approximately $3,429,257.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Shares Issued to Hudson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On January 3, 20</w:t>
      </w:r>
      <w:r>
        <w:rPr>
          <w:rFonts w:ascii="Times New Roman;Times;Serif" w:hAnsi="Times New Roman;Times;Serif"/>
          <w:b w:val="false"/>
          <w:i w:val="false"/>
          <w:caps w:val="false"/>
          <w:smallCaps w:val="false"/>
          <w:sz w:val="20"/>
        </w:rPr>
        <w:t>25, the Company issued 15,000 restricted shares of its Common Stock, with a determined fair value of $232,500, partially in exchange for the business advisory services outlined in the consulting agreement with Hudson Global Ventures, LLC, a Nevada limited liability company (“Hudson”). On April 25, 2025, July 1, 2025 and September 3, 2025, the Company issued 40,000, 23,600, and 52,000, respectively, restricted shares of its Class A Common Stock to Hudson, in exchange for certain business advisory services as outlined in a consulting agreement with Hudson, executed on April 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Shares Issued to Verista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August 26, 2024, the Company issued 3,000 shares of its Common Stock, with a determined fair value of $49,800, in partial settlement of amounts owing to Verista. Refer to </w:t>
      </w:r>
      <w:r>
        <w:rPr>
          <w:rFonts w:ascii="Times New Roman;Times;Serif" w:hAnsi="Times New Roman;Times;Serif"/>
          <w:b w:val="false"/>
          <w:i/>
          <w:caps w:val="false"/>
          <w:smallCaps w:val="false"/>
          <w:sz w:val="20"/>
        </w:rPr>
        <w:t>Note 14 – Commitments and Contingencies</w:t>
      </w:r>
      <w:r>
        <w:rPr>
          <w:rFonts w:ascii="Times New Roman;Times;Serif" w:hAnsi="Times New Roman;Times;Serif"/>
          <w:b w:val="false"/>
          <w:i w:val="false"/>
          <w:caps w:val="false"/>
          <w:smallCaps w:val="false"/>
          <w:sz w:val="20"/>
        </w:rPr>
        <w:t xml:space="preserve"> for further detail.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Shares Issued for RSU</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200,954 RSUs vested into shares of Class A Common Stock of the Company.</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Shares Issued for Vidello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disclosed above, on January 31, 2025, the Company closed a previously announced merger with Vidello. As part of the consideration paid to the Vidello Shareholders, the Company issued 89,820 shares of Class A Common Stock, with a determined fair value of $1,661,677. Refer to </w:t>
      </w:r>
      <w:r>
        <w:rPr>
          <w:rFonts w:ascii="Times New Roman;Times;Serif" w:hAnsi="Times New Roman;Times;Serif"/>
          <w:b w:val="false"/>
          <w:i/>
          <w:caps w:val="false"/>
          <w:smallCaps w:val="false"/>
          <w:sz w:val="20"/>
        </w:rPr>
        <w:t>Note 4 – Acquisitions</w:t>
      </w:r>
      <w:r>
        <w:rPr>
          <w:rFonts w:ascii="Times New Roman;Times;Serif" w:hAnsi="Times New Roman;Times;Serif"/>
          <w:b w:val="false"/>
          <w:i w:val="false"/>
          <w:caps w:val="false"/>
          <w:smallCaps w:val="false"/>
          <w:sz w:val="20"/>
        </w:rPr>
        <w:t xml:space="preserve"> for further detail.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Shares Issued for pre-funded warrant exercise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January 7, 2025, the Company issued 4 shares of Class A Common Stock to CP BF, resulting from the exercise by CP BF of exercise of four (4) pre-funded warrants under the CP BF Pre-Funded Warrant. See </w:t>
      </w:r>
      <w:r>
        <w:rPr>
          <w:rFonts w:ascii="Times New Roman;Times;Serif" w:hAnsi="Times New Roman;Times;Serif"/>
          <w:b w:val="false"/>
          <w:i/>
          <w:caps w:val="false"/>
          <w:smallCaps w:val="false"/>
          <w:sz w:val="20"/>
        </w:rPr>
        <w:t>Note 13 – Warrant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21, 2025, the Company issued 104,882 shares of Class A Common Stock to Alco, resulting from the exercise by Alco of pre-funded warrants purchased during September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26., 2025, the Company issued 1,176,628 shares of Class A Common Stock to FE IV Aggregator, resulting from the exercise by FE IV Aggregator of Pre-Funded Warrants held by FE Aggregator as part of the OpenReel Merger Consideration.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Shares Issued for private placement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2025, the Company entered into a private placement agreement with certain investors to sell 31,885 shares of Class A common stock at $6.90 per share and 32,352 prefunded warrants (the “May 2025 Prefunded Warrants”) at $3.40 per warrant. The May 2025 Prefunded Warrants were immediately exercised, resulting in the issuance of 32,352 shares of Class A common stock. The Company collected in aggregate $330,000 of gross proceeds from this private placement.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 Stock-Based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2023, the Company adopted the 2023 Employee Stock Purchase Plan (the “ESPP”). The ESPP permits eligible employees of the Company and certain designated companies as determined by the Board, to purchase shares of the Company’s Common Stock. The aggregate number of shares of common stock that may be purchased pursuant to the Purchase Plan automatically increases on January 1 of each year ending on January 1, 2033, in an amount equal to the lesser of one percent (1%) of the total number of shares of the fully diluted common stock (as defined in the ESPP) determined as of December 31 of the preceding year, or a number of shares of common stock equal to two hundred percent (200%) of the initial share reserve of 1,144.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2023, the Company adopted the 2023 Equity Incentive Plan (the “EIP”). The EIP permits the granting of incentive stock options, nonstatutory stock options, SARs, restricted stock awards, RSU awards, performance awards, and other awards. to employees, directors, and consultants. The aggregate number of shares of common stock that may be issued under the EIP automatically increases on January 1 of each year ending on January 1, 2033, in an amount equal to 5% of the total number of shares of the fully diluted common stock determined as of December 31 of the preceding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accounts for stock-based payments pursuant to FASB ASC 718, </w:t>
      </w:r>
      <w:r>
        <w:rPr>
          <w:rFonts w:ascii="Times New Roman;Times;Serif" w:hAnsi="Times New Roman;Times;Serif"/>
          <w:b w:val="false"/>
          <w:i/>
          <w:caps w:val="false"/>
          <w:smallCaps w:val="false"/>
          <w:sz w:val="20"/>
        </w:rPr>
        <w:t>Stock Compensation</w:t>
      </w:r>
      <w:r>
        <w:rPr>
          <w:rFonts w:ascii="Times New Roman;Times;Serif" w:hAnsi="Times New Roman;Times;Serif"/>
          <w:b w:val="false"/>
          <w:i w:val="false"/>
          <w:caps w:val="false"/>
          <w:smallCaps w:val="false"/>
          <w:sz w:val="20"/>
        </w:rPr>
        <w:t xml:space="preserve"> and, accordingly, the Company records compensation expense for stock-based awards based upon an assessment of the grant date fair value for options using the Black-Scholes option pricing model. The Company has concluded that its historical share option exercise experience does not provide a reasonable basis upon which to estimate expected term. Therefore, the expected term was determined according to the simplified method, which is the average of the vesting tranche dates and the contractual term. Due to the lack of company specific historical and implied volatility data, the estimate of expected volatility is primarily based on the historical volatility of a group of similar companies that are publicly traded. For these analyses, companies with comparable characteristics were selected, including enterprise value and position within the industry, and with historical share price information sufficient to meet the expected life of the share-based awards. The Company computes the historical volatility data using the daily closing prices for the selected companies’ shares during the equivalent periods of the calculated expected term of its share-based awards. The risk-free interest rate is determined by reference to the U.S. Treasury zero-coupon issues with remaining maturities similar to the expected term of the options. Expected dividend yield is zero based on the fact that the Company has never paid cash dividends and does not expect to pay any cash dividends in the foreseeable future.</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assumptions used to compute the fair value of options granted:</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Summary of Assumptions Used to Compute Fair Value</w:t>
      </w:r>
    </w:p>
    <w:tbl>
      <w:tblPr>
        <w:tblW w:w="4917" w:type="dxa"/>
        <w:jc w:val="left"/>
        <w:tblInd w:w="0" w:type="dxa"/>
        <w:tblLayout w:type="fixed"/>
        <w:tblCellMar>
          <w:top w:w="0" w:type="dxa"/>
          <w:left w:w="0" w:type="dxa"/>
          <w:bottom w:w="0" w:type="dxa"/>
          <w:right w:w="0" w:type="dxa"/>
        </w:tblCellMar>
      </w:tblPr>
      <w:tblGrid>
        <w:gridCol w:w="2345"/>
        <w:gridCol w:w="60"/>
        <w:gridCol w:w="60"/>
        <w:gridCol w:w="602"/>
        <w:gridCol w:w="72"/>
        <w:gridCol w:w="72"/>
        <w:gridCol w:w="150"/>
        <w:gridCol w:w="1326"/>
        <w:gridCol w:w="230"/>
      </w:tblGrid>
      <w:tr>
        <w:trPr/>
        <w:tc>
          <w:tcPr>
            <w:tcW w:w="23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2222" w:type="dxa"/>
            <w:gridSpan w:val="5"/>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Year Ended December 31,</w:t>
            </w:r>
          </w:p>
        </w:tc>
        <w:tc>
          <w:tcPr>
            <w:tcW w:w="230" w:type="dxa"/>
            <w:tcBorders/>
            <w:vAlign w:val="center"/>
          </w:tcPr>
          <w:p>
            <w:pPr>
              <w:pStyle w:val="TableContents"/>
              <w:bidi w:val="0"/>
              <w:spacing w:before="0" w:after="283"/>
              <w:jc w:val="left"/>
              <w:rPr/>
            </w:pPr>
            <w:r>
              <w:rPr/>
              <w:t> </w:t>
            </w:r>
          </w:p>
        </w:tc>
      </w:tr>
      <w:tr>
        <w:trPr/>
        <w:tc>
          <w:tcPr>
            <w:tcW w:w="234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2"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26"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230" w:type="dxa"/>
            <w:tcBorders/>
            <w:shd w:fill="FFFFFF" w:val="clear"/>
            <w:vAlign w:val="center"/>
          </w:tcPr>
          <w:p>
            <w:pPr>
              <w:pStyle w:val="TableContents"/>
              <w:bidi w:val="0"/>
              <w:spacing w:before="0" w:after="283"/>
              <w:jc w:val="left"/>
              <w:rPr/>
            </w:pPr>
            <w:r>
              <w:rPr/>
              <w:t> </w:t>
            </w:r>
          </w:p>
        </w:tc>
      </w:tr>
      <w:tr>
        <w:trPr/>
        <w:tc>
          <w:tcPr>
            <w:tcW w:w="23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 price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2"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N/A</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2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146 - 305</w:t>
            </w:r>
          </w:p>
        </w:tc>
        <w:tc>
          <w:tcPr>
            <w:tcW w:w="230" w:type="dxa"/>
            <w:tcBorders/>
            <w:shd w:fill="CCEEFF" w:val="clear"/>
            <w:vAlign w:val="center"/>
          </w:tcPr>
          <w:p>
            <w:pPr>
              <w:pStyle w:val="TableContents"/>
              <w:bidi w:val="0"/>
              <w:spacing w:before="0" w:after="283"/>
              <w:jc w:val="left"/>
              <w:rPr/>
            </w:pPr>
            <w:r>
              <w:rPr/>
              <w:t> </w:t>
            </w:r>
          </w:p>
        </w:tc>
      </w:tr>
      <w:tr>
        <w:trPr/>
        <w:tc>
          <w:tcPr>
            <w:tcW w:w="234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Exercise price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N/A</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2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146 - 2,500</w:t>
            </w:r>
          </w:p>
        </w:tc>
        <w:tc>
          <w:tcPr>
            <w:tcW w:w="230" w:type="dxa"/>
            <w:tcBorders/>
            <w:shd w:fill="FFFFFF" w:val="clear"/>
            <w:vAlign w:val="center"/>
          </w:tcPr>
          <w:p>
            <w:pPr>
              <w:pStyle w:val="TableContents"/>
              <w:bidi w:val="0"/>
              <w:spacing w:before="0" w:after="283"/>
              <w:jc w:val="left"/>
              <w:rPr/>
            </w:pPr>
            <w:r>
              <w:rPr/>
              <w:t> </w:t>
            </w:r>
          </w:p>
        </w:tc>
      </w:tr>
      <w:tr>
        <w:trPr/>
        <w:tc>
          <w:tcPr>
            <w:tcW w:w="23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Expected volatility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2"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N/A</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32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61.00 - 62.12</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34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Expected term (in years)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N/A</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32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5.61 - 6.08</w:t>
            </w:r>
          </w:p>
        </w:tc>
        <w:tc>
          <w:tcPr>
            <w:tcW w:w="230" w:type="dxa"/>
            <w:tcBorders/>
            <w:shd w:fill="FFFFFF" w:val="clear"/>
            <w:vAlign w:val="center"/>
          </w:tcPr>
          <w:p>
            <w:pPr>
              <w:pStyle w:val="TableContents"/>
              <w:bidi w:val="0"/>
              <w:spacing w:before="0" w:after="283"/>
              <w:jc w:val="left"/>
              <w:rPr/>
            </w:pPr>
            <w:r>
              <w:rPr/>
              <w:t> </w:t>
            </w:r>
          </w:p>
        </w:tc>
      </w:tr>
      <w:tr>
        <w:trPr/>
        <w:tc>
          <w:tcPr>
            <w:tcW w:w="23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Risk-free interest rate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2"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N/A</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32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4.20 - 4.45</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summary of stock option activity under the Plan is as follows:</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Summary of Stock Option Activity</w:t>
      </w:r>
    </w:p>
    <w:tbl>
      <w:tblPr>
        <w:tblW w:w="8488" w:type="dxa"/>
        <w:jc w:val="left"/>
        <w:tblInd w:w="0" w:type="dxa"/>
        <w:tblLayout w:type="fixed"/>
        <w:tblCellMar>
          <w:top w:w="0" w:type="dxa"/>
          <w:left w:w="0" w:type="dxa"/>
          <w:bottom w:w="0" w:type="dxa"/>
          <w:right w:w="0" w:type="dxa"/>
        </w:tblCellMar>
      </w:tblPr>
      <w:tblGrid>
        <w:gridCol w:w="2855"/>
        <w:gridCol w:w="60"/>
        <w:gridCol w:w="95"/>
        <w:gridCol w:w="1080"/>
        <w:gridCol w:w="95"/>
        <w:gridCol w:w="60"/>
        <w:gridCol w:w="204"/>
        <w:gridCol w:w="1255"/>
        <w:gridCol w:w="60"/>
        <w:gridCol w:w="60"/>
        <w:gridCol w:w="191"/>
        <w:gridCol w:w="1403"/>
        <w:gridCol w:w="60"/>
        <w:gridCol w:w="60"/>
        <w:gridCol w:w="306"/>
        <w:gridCol w:w="569"/>
        <w:gridCol w:w="75"/>
      </w:tblGrid>
      <w:tr>
        <w:trPr/>
        <w:tc>
          <w:tcPr>
            <w:tcW w:w="285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Shares</w:t>
            </w:r>
          </w:p>
          <w:p>
            <w:pPr>
              <w:pStyle w:val="TableContents"/>
              <w:bidi w:val="0"/>
              <w:jc w:val="center"/>
              <w:rPr>
                <w:rFonts w:ascii="Times New Roman;Times;Serif" w:hAnsi="Times New Roman;Times;Serif"/>
                <w:b/>
              </w:rPr>
            </w:pPr>
            <w:r>
              <w:rPr>
                <w:rFonts w:ascii="Times New Roman;Times;Serif" w:hAnsi="Times New Roman;Times;Serif"/>
                <w:b/>
              </w:rPr>
              <w:t>Underlying</w:t>
            </w:r>
          </w:p>
          <w:p>
            <w:pPr>
              <w:pStyle w:val="TableContents"/>
              <w:bidi w:val="0"/>
              <w:spacing w:before="0" w:after="283"/>
              <w:jc w:val="center"/>
              <w:rPr>
                <w:rFonts w:ascii="Times New Roman;Times;Serif" w:hAnsi="Times New Roman;Times;Serif"/>
                <w:b/>
              </w:rPr>
            </w:pPr>
            <w:r>
              <w:rPr>
                <w:rFonts w:ascii="Times New Roman;Times;Serif" w:hAnsi="Times New Roman;Times;Serif"/>
                <w:b/>
              </w:rPr>
              <w:t>Options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9"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Weighted</w:t>
            </w:r>
          </w:p>
          <w:p>
            <w:pPr>
              <w:pStyle w:val="TableContents"/>
              <w:bidi w:val="0"/>
              <w:jc w:val="center"/>
              <w:rPr>
                <w:rFonts w:ascii="Times New Roman;Times;Serif" w:hAnsi="Times New Roman;Times;Serif"/>
                <w:b/>
              </w:rPr>
            </w:pPr>
            <w:r>
              <w:rPr>
                <w:rFonts w:ascii="Times New Roman;Times;Serif" w:hAnsi="Times New Roman;Times;Serif"/>
                <w:b/>
              </w:rPr>
              <w:t>Average</w:t>
            </w:r>
          </w:p>
          <w:p>
            <w:pPr>
              <w:pStyle w:val="TableContents"/>
              <w:bidi w:val="0"/>
              <w:spacing w:before="0" w:after="283"/>
              <w:jc w:val="center"/>
              <w:rPr>
                <w:rFonts w:ascii="Times New Roman;Times;Serif" w:hAnsi="Times New Roman;Times;Serif"/>
                <w:b/>
              </w:rPr>
            </w:pPr>
            <w:r>
              <w:rPr>
                <w:rFonts w:ascii="Times New Roman;Times;Serif" w:hAnsi="Times New Roman;Times;Serif"/>
                <w:b/>
              </w:rPr>
              <w:t>Exercise 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4"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Weighted</w:t>
            </w:r>
          </w:p>
          <w:p>
            <w:pPr>
              <w:pStyle w:val="TableContents"/>
              <w:bidi w:val="0"/>
              <w:jc w:val="center"/>
              <w:rPr>
                <w:rFonts w:ascii="Times New Roman;Times;Serif" w:hAnsi="Times New Roman;Times;Serif"/>
                <w:b/>
              </w:rPr>
            </w:pPr>
            <w:r>
              <w:rPr>
                <w:rFonts w:ascii="Times New Roman;Times;Serif" w:hAnsi="Times New Roman;Times;Serif"/>
                <w:b/>
              </w:rPr>
              <w:t>Average</w:t>
            </w:r>
          </w:p>
          <w:p>
            <w:pPr>
              <w:pStyle w:val="TableContents"/>
              <w:bidi w:val="0"/>
              <w:jc w:val="center"/>
              <w:rPr>
                <w:rFonts w:ascii="Times New Roman;Times;Serif" w:hAnsi="Times New Roman;Times;Serif"/>
                <w:b/>
              </w:rPr>
            </w:pPr>
            <w:r>
              <w:rPr>
                <w:rFonts w:ascii="Times New Roman;Times;Serif" w:hAnsi="Times New Roman;Times;Serif"/>
                <w:b/>
              </w:rPr>
              <w:t>Remaining</w:t>
            </w:r>
          </w:p>
          <w:p>
            <w:pPr>
              <w:pStyle w:val="TableContents"/>
              <w:bidi w:val="0"/>
              <w:jc w:val="center"/>
              <w:rPr>
                <w:rFonts w:ascii="Times New Roman;Times;Serif" w:hAnsi="Times New Roman;Times;Serif"/>
                <w:b/>
              </w:rPr>
            </w:pPr>
            <w:r>
              <w:rPr>
                <w:rFonts w:ascii="Times New Roman;Times;Serif" w:hAnsi="Times New Roman;Times;Serif"/>
                <w:b/>
              </w:rPr>
              <w:t>Contractual</w:t>
            </w:r>
          </w:p>
          <w:p>
            <w:pPr>
              <w:pStyle w:val="TableContents"/>
              <w:bidi w:val="0"/>
              <w:spacing w:before="0" w:after="283"/>
              <w:jc w:val="center"/>
              <w:rPr>
                <w:rFonts w:ascii="Times New Roman;Times;Serif" w:hAnsi="Times New Roman;Times;Serif"/>
                <w:b/>
              </w:rPr>
            </w:pPr>
            <w:r>
              <w:rPr>
                <w:rFonts w:ascii="Times New Roman;Times;Serif" w:hAnsi="Times New Roman;Times;Serif"/>
                <w:b/>
              </w:rPr>
              <w:t>Term (in 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Intrinsic</w:t>
            </w:r>
          </w:p>
          <w:p>
            <w:pPr>
              <w:pStyle w:val="TableContents"/>
              <w:bidi w:val="0"/>
              <w:spacing w:before="0" w:after="283"/>
              <w:jc w:val="center"/>
              <w:rPr>
                <w:rFonts w:ascii="Times New Roman;Times;Serif" w:hAnsi="Times New Roman;Times;Serif"/>
                <w:b/>
              </w:rPr>
            </w:pPr>
            <w:r>
              <w:rPr>
                <w:rFonts w:ascii="Times New Roman;Times;Serif" w:hAnsi="Times New Roman;Times;Serif"/>
                <w:b/>
              </w:rPr>
              <w:t>Value</w:t>
            </w:r>
          </w:p>
        </w:tc>
        <w:tc>
          <w:tcPr>
            <w:tcW w:w="75" w:type="dxa"/>
            <w:tcBorders/>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Outstanding at December 31, 2024</w:t>
            </w:r>
          </w:p>
        </w:tc>
        <w:tc>
          <w:tcPr>
            <w:tcW w:w="60" w:type="dxa"/>
            <w:tcBorders/>
            <w:shd w:fill="CCEEFF" w:val="clear"/>
            <w:vAlign w:val="center"/>
          </w:tcPr>
          <w:p>
            <w:pPr>
              <w:pStyle w:val="TableContents"/>
              <w:bidi w:val="0"/>
              <w:spacing w:before="0" w:after="283"/>
              <w:jc w:val="left"/>
              <w:rPr/>
            </w:pPr>
            <w:r>
              <w:rPr/>
              <w:t> </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1,618.30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6"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6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285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Granted</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0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10,058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2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210.45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140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569"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Expired</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2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2,479.66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140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569"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285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Forfeited</w:t>
            </w:r>
          </w:p>
        </w:tc>
        <w:tc>
          <w:tcPr>
            <w:tcW w:w="60" w:type="dxa"/>
            <w:tcBorders/>
            <w:shd w:fill="FFFFFF" w:val="clear"/>
            <w:vAlign w:val="center"/>
          </w:tcPr>
          <w:p>
            <w:pPr>
              <w:pStyle w:val="TableContents"/>
              <w:bidi w:val="0"/>
              <w:spacing w:before="0" w:after="283"/>
              <w:jc w:val="left"/>
              <w:rPr/>
            </w:pPr>
            <w:r>
              <w:rPr/>
              <w:t> </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0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1,700.47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03"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Outstanding at December 31, 2025</w:t>
            </w:r>
          </w:p>
        </w:tc>
        <w:tc>
          <w:tcPr>
            <w:tcW w:w="60" w:type="dxa"/>
            <w:tcBorders/>
            <w:shd w:fill="CCEEFF" w:val="clear"/>
            <w:vAlign w:val="center"/>
          </w:tcPr>
          <w:p>
            <w:pPr>
              <w:pStyle w:val="TableContents"/>
              <w:bidi w:val="0"/>
              <w:spacing w:before="0" w:after="283"/>
              <w:jc w:val="left"/>
              <w:rPr/>
            </w:pPr>
            <w:r>
              <w:rPr/>
              <w:t> </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12,553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343.74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6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285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Exercisable at December 31, 2025</w:t>
            </w:r>
          </w:p>
        </w:tc>
        <w:tc>
          <w:tcPr>
            <w:tcW w:w="60" w:type="dxa"/>
            <w:tcBorders/>
            <w:shd w:fill="FFFFFF" w:val="clear"/>
            <w:vAlign w:val="center"/>
          </w:tcPr>
          <w:p>
            <w:pPr>
              <w:pStyle w:val="TableContents"/>
              <w:bidi w:val="0"/>
              <w:spacing w:before="0" w:after="283"/>
              <w:jc w:val="left"/>
              <w:rPr/>
            </w:pPr>
            <w:r>
              <w:rPr/>
              <w:t> </w:t>
            </w:r>
          </w:p>
        </w:tc>
        <w:tc>
          <w:tcPr>
            <w:tcW w:w="9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610.35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40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69"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issuances under the Plan, the Company recorded stock-based compensation expense related to stock options of $107,683 and $130,997, which is included in general and administrative expense for the years ended December 31, 2025 and 2024, respectively. The weighted-average grant-date fair value per option granted during the years ended December 31, 2025 and 2024 was $12 and $85, respectively. As of December 31, 2025 and 2024, $261,467 and $212,936 of unrecognized compensation expense related to non-vested awards is expected to be recognized over the weighted average period of 8.87 and 9.25 years, respectively. The aggregate intrinsic value is calculated as the difference between the fair value of the Company’s stock price and the exercise price of the options.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RSUs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2024, the Company began issuing RSUs to employees and to non-employee directors. Each RSU entitles the recipient to one share of Class A Common Stock upon vesting. The Company measures the fair value of RSUs using the stock price on the date of grant. Stock-based compensation expense for employee-granted RSUs is recorded ratably over their vesting period of (a) four years - 25% of the RSUs will vest on each anniversary, or (b) one year - 25% will vest quarterly, or (c) one year – 100% will vest on the first anniversary of the vesting commencement date until the RSU is fully vested. Stock-based compensation expense for non-employee director-granted RSUs is recorded ratably over their vesting period which is the earlier to occur of the one (1) year anniversary of the respective grant date, or the next annual meeting of stockholders following the respective grant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summary of the activity with respect to, and status of, RSUs during the year ended December 31, 2025 is presented below:</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Summary of Activity with Respect Status of, RSUs</w:t>
      </w:r>
    </w:p>
    <w:tbl>
      <w:tblPr>
        <w:tblW w:w="5990" w:type="dxa"/>
        <w:jc w:val="left"/>
        <w:tblInd w:w="0" w:type="dxa"/>
        <w:tblLayout w:type="fixed"/>
        <w:tblCellMar>
          <w:top w:w="0" w:type="dxa"/>
          <w:left w:w="0" w:type="dxa"/>
          <w:bottom w:w="0" w:type="dxa"/>
          <w:right w:w="0" w:type="dxa"/>
        </w:tblCellMar>
      </w:tblPr>
      <w:tblGrid>
        <w:gridCol w:w="2855"/>
        <w:gridCol w:w="60"/>
        <w:gridCol w:w="60"/>
        <w:gridCol w:w="875"/>
        <w:gridCol w:w="95"/>
        <w:gridCol w:w="60"/>
        <w:gridCol w:w="382"/>
        <w:gridCol w:w="1528"/>
        <w:gridCol w:w="75"/>
      </w:tblGrid>
      <w:tr>
        <w:trPr/>
        <w:tc>
          <w:tcPr>
            <w:tcW w:w="285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Units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10"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Weighted Average</w:t>
            </w:r>
          </w:p>
          <w:p>
            <w:pPr>
              <w:pStyle w:val="TableContents"/>
              <w:bidi w:val="0"/>
              <w:jc w:val="center"/>
              <w:rPr>
                <w:rFonts w:ascii="Times New Roman;Times;Serif" w:hAnsi="Times New Roman;Times;Serif"/>
                <w:b/>
              </w:rPr>
            </w:pPr>
            <w:r>
              <w:rPr>
                <w:rFonts w:ascii="Times New Roman;Times;Serif" w:hAnsi="Times New Roman;Times;Serif"/>
                <w:b/>
              </w:rPr>
              <w:t>Grant Date Fair</w:t>
            </w:r>
          </w:p>
          <w:p>
            <w:pPr>
              <w:pStyle w:val="TableContents"/>
              <w:bidi w:val="0"/>
              <w:spacing w:before="0" w:after="283"/>
              <w:jc w:val="center"/>
              <w:rPr>
                <w:rFonts w:ascii="Times New Roman;Times;Serif" w:hAnsi="Times New Roman;Times;Serif"/>
                <w:b/>
              </w:rPr>
            </w:pPr>
            <w:r>
              <w:rPr>
                <w:rFonts w:ascii="Times New Roman;Times;Serif" w:hAnsi="Times New Roman;Times;Serif"/>
                <w:b/>
              </w:rPr>
              <w:t>Value</w:t>
            </w:r>
          </w:p>
        </w:tc>
        <w:tc>
          <w:tcPr>
            <w:tcW w:w="75" w:type="dxa"/>
            <w:tcBorders/>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Outstanding at December 31,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34,078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52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17.40</w:t>
            </w:r>
          </w:p>
        </w:tc>
        <w:tc>
          <w:tcPr>
            <w:tcW w:w="75" w:type="dxa"/>
            <w:tcBorders/>
            <w:shd w:fill="CCEEFF" w:val="clear"/>
            <w:vAlign w:val="center"/>
          </w:tcPr>
          <w:p>
            <w:pPr>
              <w:pStyle w:val="TableContents"/>
              <w:bidi w:val="0"/>
              <w:spacing w:before="0" w:after="283"/>
              <w:jc w:val="left"/>
              <w:rPr/>
            </w:pPr>
            <w:r>
              <w:rPr/>
              <w:t> </w:t>
            </w:r>
          </w:p>
        </w:tc>
      </w:tr>
      <w:tr>
        <w:trPr/>
        <w:tc>
          <w:tcPr>
            <w:tcW w:w="285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Granted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595,529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2" w:type="dxa"/>
            <w:tcBorders/>
            <w:shd w:fill="FFFFFF" w:val="clear"/>
            <w:vAlign w:val="center"/>
          </w:tcPr>
          <w:p>
            <w:pPr>
              <w:pStyle w:val="TableContents"/>
              <w:bidi w:val="0"/>
              <w:spacing w:before="0" w:after="283"/>
              <w:jc w:val="left"/>
              <w:rPr/>
            </w:pPr>
            <w:r>
              <w:rPr/>
              <w:t> </w:t>
            </w:r>
          </w:p>
        </w:tc>
        <w:tc>
          <w:tcPr>
            <w:tcW w:w="152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7.03</w:t>
            </w:r>
          </w:p>
        </w:tc>
        <w:tc>
          <w:tcPr>
            <w:tcW w:w="75" w:type="dxa"/>
            <w:tcBorders/>
            <w:shd w:fill="FFFFFF" w:val="clear"/>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Vested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(200,954</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382" w:type="dxa"/>
            <w:tcBorders/>
            <w:shd w:fill="CCEEFF" w:val="clear"/>
            <w:vAlign w:val="center"/>
          </w:tcPr>
          <w:p>
            <w:pPr>
              <w:pStyle w:val="TableContents"/>
              <w:bidi w:val="0"/>
              <w:spacing w:before="0" w:after="283"/>
              <w:jc w:val="left"/>
              <w:rPr/>
            </w:pPr>
            <w:r>
              <w:rPr/>
              <w:t> </w:t>
            </w:r>
          </w:p>
        </w:tc>
        <w:tc>
          <w:tcPr>
            <w:tcW w:w="152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11.91</w:t>
            </w:r>
          </w:p>
        </w:tc>
        <w:tc>
          <w:tcPr>
            <w:tcW w:w="75" w:type="dxa"/>
            <w:tcBorders/>
            <w:shd w:fill="CCEEFF" w:val="clear"/>
            <w:vAlign w:val="center"/>
          </w:tcPr>
          <w:p>
            <w:pPr>
              <w:pStyle w:val="TableContents"/>
              <w:bidi w:val="0"/>
              <w:spacing w:before="0" w:after="283"/>
              <w:jc w:val="left"/>
              <w:rPr/>
            </w:pPr>
            <w:r>
              <w:rPr/>
              <w:t> </w:t>
            </w:r>
          </w:p>
        </w:tc>
      </w:tr>
      <w:tr>
        <w:trPr/>
        <w:tc>
          <w:tcPr>
            <w:tcW w:w="285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Forfeited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(14,751</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38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2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8.49</w:t>
            </w:r>
          </w:p>
        </w:tc>
        <w:tc>
          <w:tcPr>
            <w:tcW w:w="75" w:type="dxa"/>
            <w:tcBorders/>
            <w:shd w:fill="FFFFFF" w:val="clear"/>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Outstanding at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413,902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52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2025 and December 31, 2024, the Company recorded total stock-based compensation expense related to RSUs of $2,466,707 and $1,034,683, respectively, which is included in general and administrative expense. As of December 31, 2025 and 2024, unrecognized compensation cost related to the grant of RSUs was $2,342,212 and $158,032, respectively. Unvested outstanding RSUs as of December 31, 2025 and 2024 had a weighted average remaining vesting period of 2.25 and 1.2 years, respectively.</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CEO Award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2025, the Board granted an equity award to the Company’s CEO (“CEO Award”) that includes a market condition based on specified market capitalization thresholds ranging from $15.0 million to $30.0 million, which result in stock grants ranging from $250 thousand to $750 thousand, up to $2.0 million in the aggregate. The CEO Award is equity-classified and the grant-date fair value was estimated using a Monte Carlo simulation model, using historical volatility as a key input. The Company recognized $104,841 of stock-based compensation expense related to this award for the year ended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 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Components of net loss before income taxes are as follows: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Components of Net Loss Before Income Taxes </w:t>
      </w:r>
    </w:p>
    <w:tbl>
      <w:tblPr>
        <w:tblW w:w="7220" w:type="dxa"/>
        <w:jc w:val="left"/>
        <w:tblInd w:w="0" w:type="dxa"/>
        <w:tblLayout w:type="fixed"/>
        <w:tblCellMar>
          <w:top w:w="0" w:type="dxa"/>
          <w:left w:w="0" w:type="dxa"/>
          <w:bottom w:w="28" w:type="dxa"/>
          <w:right w:w="0" w:type="dxa"/>
        </w:tblCellMar>
      </w:tblPr>
      <w:tblGrid>
        <w:gridCol w:w="4265"/>
        <w:gridCol w:w="60"/>
        <w:gridCol w:w="140"/>
        <w:gridCol w:w="1175"/>
        <w:gridCol w:w="95"/>
        <w:gridCol w:w="60"/>
        <w:gridCol w:w="140"/>
        <w:gridCol w:w="1175"/>
        <w:gridCol w:w="110"/>
      </w:tblGrid>
      <w:tr>
        <w:trPr/>
        <w:tc>
          <w:tcPr>
            <w:tcW w:w="4265"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15" w:type="dxa"/>
            <w:gridSpan w:val="2"/>
            <w:tcBorders>
              <w:bottom w:val="single" w:sz="8" w:space="0" w:color="000000"/>
            </w:tcBorders>
            <w:vAlign w:val="center"/>
          </w:tcPr>
          <w:p>
            <w:pPr>
              <w:pStyle w:val="TableContents"/>
              <w:bidi w:val="0"/>
              <w:spacing w:before="0" w:after="283"/>
              <w:jc w:val="center"/>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15" w:type="dxa"/>
            <w:gridSpan w:val="2"/>
            <w:tcBorders>
              <w:bottom w:val="single" w:sz="8" w:space="0" w:color="000000"/>
            </w:tcBorders>
            <w:vAlign w:val="center"/>
          </w:tcPr>
          <w:p>
            <w:pPr>
              <w:pStyle w:val="TableContents"/>
              <w:bidi w:val="0"/>
              <w:spacing w:before="0" w:after="283"/>
              <w:jc w:val="center"/>
              <w:rPr/>
            </w:pPr>
            <w:r>
              <w:rPr/>
              <w:t> </w:t>
            </w:r>
          </w:p>
        </w:tc>
        <w:tc>
          <w:tcPr>
            <w:tcW w:w="110" w:type="dxa"/>
            <w:tcBorders/>
            <w:tcMar>
              <w:bottom w:w="0" w:type="dxa"/>
            </w:tcMar>
            <w:vAlign w:val="center"/>
          </w:tcPr>
          <w:p>
            <w:pPr>
              <w:pStyle w:val="TableContents"/>
              <w:bidi w:val="0"/>
              <w:spacing w:before="0" w:after="283"/>
              <w:jc w:val="left"/>
              <w:rPr/>
            </w:pPr>
            <w:r>
              <w:rPr/>
              <w:t> </w:t>
            </w:r>
          </w:p>
        </w:tc>
      </w:tr>
      <w:tr>
        <w:trPr/>
        <w:tc>
          <w:tcPr>
            <w:tcW w:w="42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785" w:type="dxa"/>
            <w:gridSpan w:val="6"/>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Year Ended December 31,</w:t>
            </w:r>
          </w:p>
        </w:tc>
        <w:tc>
          <w:tcPr>
            <w:tcW w:w="110" w:type="dxa"/>
            <w:tcBorders/>
            <w:tcMar>
              <w:bottom w:w="0" w:type="dxa"/>
            </w:tcMar>
            <w:vAlign w:val="center"/>
          </w:tcPr>
          <w:p>
            <w:pPr>
              <w:pStyle w:val="TableContents"/>
              <w:bidi w:val="0"/>
              <w:spacing w:before="0" w:after="283"/>
              <w:jc w:val="left"/>
              <w:rPr/>
            </w:pPr>
            <w:r>
              <w:rPr/>
              <w:t> </w:t>
            </w:r>
          </w:p>
        </w:tc>
      </w:tr>
      <w:tr>
        <w:trPr/>
        <w:tc>
          <w:tcPr>
            <w:tcW w:w="4265" w:type="dxa"/>
            <w:tcBorders>
              <w:bottom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Components of net loss before income taxes:</w:t>
            </w:r>
          </w:p>
        </w:tc>
        <w:tc>
          <w:tcPr>
            <w:tcW w:w="60" w:type="dxa"/>
            <w:tcBorders/>
            <w:tcMar>
              <w:bottom w:w="0" w:type="dxa"/>
            </w:tcMar>
            <w:vAlign w:val="center"/>
          </w:tcPr>
          <w:p>
            <w:pPr>
              <w:pStyle w:val="TableContents"/>
              <w:bidi w:val="0"/>
              <w:spacing w:before="0" w:after="283"/>
              <w:jc w:val="left"/>
              <w:rPr/>
            </w:pPr>
            <w:r>
              <w:rPr/>
              <w:t> </w:t>
            </w:r>
          </w:p>
        </w:tc>
        <w:tc>
          <w:tcPr>
            <w:tcW w:w="131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1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10" w:type="dxa"/>
            <w:tcBorders/>
            <w:tcMar>
              <w:bottom w:w="0" w:type="dxa"/>
            </w:tcMar>
            <w:vAlign w:val="center"/>
          </w:tcPr>
          <w:p>
            <w:pPr>
              <w:pStyle w:val="TableContents"/>
              <w:bidi w:val="0"/>
              <w:spacing w:before="0" w:after="283"/>
              <w:jc w:val="left"/>
              <w:rPr/>
            </w:pPr>
            <w:r>
              <w:rPr/>
              <w:t> </w:t>
            </w:r>
          </w:p>
        </w:tc>
      </w:tr>
      <w:tr>
        <w:trPr/>
        <w:tc>
          <w:tcPr>
            <w:tcW w:w="426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United States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(22,673,927</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(31,513,389</w:t>
            </w:r>
          </w:p>
        </w:tc>
        <w:tc>
          <w:tcPr>
            <w:tcW w:w="11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26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Foreign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242,469</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right"/>
              <w:rPr/>
            </w:pPr>
            <w:r>
              <w:rPr/>
              <w:t>—</w:t>
            </w:r>
          </w:p>
        </w:tc>
        <w:tc>
          <w:tcPr>
            <w:tcW w:w="11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reconciliation of the provision for income taxes to the amount computed by applying the 21% statutory U.S. federal income tax rate to income before income taxes after the adoption of ASU 2023-09 for the year ended December 31, 2025 is as follows: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US Federal Income Tax Rate to the Company's Effective Tax Rate </w:t>
      </w:r>
    </w:p>
    <w:tbl>
      <w:tblPr>
        <w:tblW w:w="10205" w:type="dxa"/>
        <w:jc w:val="left"/>
        <w:tblInd w:w="0" w:type="dxa"/>
        <w:tblLayout w:type="fixed"/>
        <w:tblCellMar>
          <w:top w:w="0" w:type="dxa"/>
          <w:left w:w="0" w:type="dxa"/>
          <w:bottom w:w="0" w:type="dxa"/>
          <w:right w:w="0" w:type="dxa"/>
        </w:tblCellMar>
      </w:tblPr>
      <w:tblGrid>
        <w:gridCol w:w="6579"/>
        <w:gridCol w:w="60"/>
        <w:gridCol w:w="140"/>
        <w:gridCol w:w="1055"/>
        <w:gridCol w:w="95"/>
        <w:gridCol w:w="60"/>
        <w:gridCol w:w="169"/>
        <w:gridCol w:w="1815"/>
        <w:gridCol w:w="232"/>
      </w:tblGrid>
      <w:tr>
        <w:trPr/>
        <w:tc>
          <w:tcPr>
            <w:tcW w:w="657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8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of Pretax Income</w:t>
            </w:r>
          </w:p>
        </w:tc>
        <w:tc>
          <w:tcPr>
            <w:tcW w:w="232" w:type="dxa"/>
            <w:tcBorders/>
            <w:vAlign w:val="center"/>
          </w:tcPr>
          <w:p>
            <w:pPr>
              <w:pStyle w:val="TableContents"/>
              <w:bidi w:val="0"/>
              <w:spacing w:before="0" w:after="283"/>
              <w:jc w:val="left"/>
              <w:rPr/>
            </w:pPr>
            <w:r>
              <w:rPr/>
              <w:t> </w:t>
            </w:r>
          </w:p>
        </w:tc>
      </w:tr>
      <w:tr>
        <w:trPr/>
        <w:tc>
          <w:tcPr>
            <w:tcW w:w="657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US Federal Statutory Tax Rate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(4,710,559</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81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21.00</w:t>
            </w:r>
          </w:p>
        </w:tc>
        <w:tc>
          <w:tcPr>
            <w:tcW w:w="23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57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State and Local Income Taxes, Net of Federal Income Tax Effect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81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0.00</w:t>
            </w:r>
          </w:p>
        </w:tc>
        <w:tc>
          <w:tcPr>
            <w:tcW w:w="23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57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Foreign Tax Effects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815" w:type="dxa"/>
            <w:tcBorders/>
            <w:shd w:fill="CCEEFF" w:val="clear"/>
            <w:vAlign w:val="center"/>
          </w:tcPr>
          <w:p>
            <w:pPr>
              <w:pStyle w:val="TableContents"/>
              <w:bidi w:val="0"/>
              <w:spacing w:before="0" w:after="283"/>
              <w:jc w:val="right"/>
              <w:rPr/>
            </w:pPr>
            <w:r>
              <w:rPr/>
              <w:t> </w:t>
            </w:r>
          </w:p>
        </w:tc>
        <w:tc>
          <w:tcPr>
            <w:tcW w:w="232" w:type="dxa"/>
            <w:tcBorders/>
            <w:shd w:fill="CCEEFF" w:val="clear"/>
            <w:vAlign w:val="center"/>
          </w:tcPr>
          <w:p>
            <w:pPr>
              <w:pStyle w:val="TableContents"/>
              <w:bidi w:val="0"/>
              <w:spacing w:before="0" w:after="283"/>
              <w:jc w:val="left"/>
              <w:rPr/>
            </w:pPr>
            <w:r>
              <w:rPr/>
              <w:t> </w:t>
            </w:r>
          </w:p>
        </w:tc>
      </w:tr>
      <w:tr>
        <w:trPr/>
        <w:tc>
          <w:tcPr>
            <w:tcW w:w="657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United Kingdom</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815" w:type="dxa"/>
            <w:tcBorders/>
            <w:shd w:fill="FFFFFF" w:val="clear"/>
            <w:vAlign w:val="center"/>
          </w:tcPr>
          <w:p>
            <w:pPr>
              <w:pStyle w:val="TableContents"/>
              <w:bidi w:val="0"/>
              <w:spacing w:before="0" w:after="283"/>
              <w:jc w:val="right"/>
              <w:rPr/>
            </w:pPr>
            <w:r>
              <w:rPr/>
              <w:t> </w:t>
            </w:r>
          </w:p>
        </w:tc>
        <w:tc>
          <w:tcPr>
            <w:tcW w:w="232" w:type="dxa"/>
            <w:tcBorders/>
            <w:shd w:fill="FFFFFF" w:val="clear"/>
            <w:vAlign w:val="center"/>
          </w:tcPr>
          <w:p>
            <w:pPr>
              <w:pStyle w:val="TableContents"/>
              <w:bidi w:val="0"/>
              <w:spacing w:before="0" w:after="283"/>
              <w:jc w:val="left"/>
              <w:rPr/>
            </w:pPr>
            <w:r>
              <w:rPr/>
              <w:t> </w:t>
            </w:r>
          </w:p>
        </w:tc>
      </w:tr>
      <w:tr>
        <w:trPr/>
        <w:tc>
          <w:tcPr>
            <w:tcW w:w="657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Statutory tax rate difference between United Kingdom and United States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9,699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81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-0.04</w:t>
            </w:r>
          </w:p>
        </w:tc>
        <w:tc>
          <w:tcPr>
            <w:tcW w:w="23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57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Effect of Changes in Tax Laws or Rate Enacted in the Current Period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815" w:type="dxa"/>
            <w:tcBorders/>
            <w:shd w:fill="FFFFFF" w:val="clear"/>
            <w:vAlign w:val="center"/>
          </w:tcPr>
          <w:p>
            <w:pPr>
              <w:pStyle w:val="TableContents"/>
              <w:bidi w:val="0"/>
              <w:spacing w:before="0" w:after="283"/>
              <w:jc w:val="right"/>
              <w:rPr/>
            </w:pPr>
            <w:r>
              <w:rPr/>
              <w:t> </w:t>
            </w:r>
          </w:p>
        </w:tc>
        <w:tc>
          <w:tcPr>
            <w:tcW w:w="232" w:type="dxa"/>
            <w:tcBorders/>
            <w:shd w:fill="FFFFFF" w:val="clear"/>
            <w:vAlign w:val="center"/>
          </w:tcPr>
          <w:p>
            <w:pPr>
              <w:pStyle w:val="TableContents"/>
              <w:bidi w:val="0"/>
              <w:spacing w:before="0" w:after="283"/>
              <w:jc w:val="left"/>
              <w:rPr/>
            </w:pPr>
            <w:r>
              <w:rPr/>
              <w:t> </w:t>
            </w:r>
          </w:p>
        </w:tc>
      </w:tr>
      <w:tr>
        <w:trPr/>
        <w:tc>
          <w:tcPr>
            <w:tcW w:w="657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Effect of Cross-Border Tax Laws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18,900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81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-0.09</w:t>
            </w:r>
          </w:p>
        </w:tc>
        <w:tc>
          <w:tcPr>
            <w:tcW w:w="23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57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Tax Credits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815" w:type="dxa"/>
            <w:tcBorders/>
            <w:shd w:fill="FFFFFF" w:val="clear"/>
            <w:vAlign w:val="center"/>
          </w:tcPr>
          <w:p>
            <w:pPr>
              <w:pStyle w:val="TableContents"/>
              <w:bidi w:val="0"/>
              <w:spacing w:before="0" w:after="283"/>
              <w:jc w:val="right"/>
              <w:rPr/>
            </w:pPr>
            <w:r>
              <w:rPr/>
              <w:t> </w:t>
            </w:r>
          </w:p>
        </w:tc>
        <w:tc>
          <w:tcPr>
            <w:tcW w:w="232" w:type="dxa"/>
            <w:tcBorders/>
            <w:shd w:fill="FFFFFF" w:val="clear"/>
            <w:vAlign w:val="center"/>
          </w:tcPr>
          <w:p>
            <w:pPr>
              <w:pStyle w:val="TableContents"/>
              <w:bidi w:val="0"/>
              <w:spacing w:before="0" w:after="283"/>
              <w:jc w:val="left"/>
              <w:rPr/>
            </w:pPr>
            <w:r>
              <w:rPr/>
              <w:t> </w:t>
            </w:r>
          </w:p>
        </w:tc>
      </w:tr>
      <w:tr>
        <w:trPr/>
        <w:tc>
          <w:tcPr>
            <w:tcW w:w="657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R&amp;D Credits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(15,243</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81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0.07</w:t>
            </w:r>
          </w:p>
        </w:tc>
        <w:tc>
          <w:tcPr>
            <w:tcW w:w="23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57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valuation allowance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3,149,702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81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-14.04</w:t>
            </w:r>
          </w:p>
        </w:tc>
        <w:tc>
          <w:tcPr>
            <w:tcW w:w="23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57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Nontaxable or Nondeductible Items: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815" w:type="dxa"/>
            <w:tcBorders/>
            <w:shd w:fill="CCEEFF" w:val="clear"/>
            <w:vAlign w:val="center"/>
          </w:tcPr>
          <w:p>
            <w:pPr>
              <w:pStyle w:val="TableContents"/>
              <w:bidi w:val="0"/>
              <w:spacing w:before="0" w:after="283"/>
              <w:jc w:val="right"/>
              <w:rPr/>
            </w:pPr>
            <w:r>
              <w:rPr/>
              <w:t> </w:t>
            </w:r>
          </w:p>
        </w:tc>
        <w:tc>
          <w:tcPr>
            <w:tcW w:w="232" w:type="dxa"/>
            <w:tcBorders/>
            <w:shd w:fill="CCEEFF" w:val="clear"/>
            <w:vAlign w:val="center"/>
          </w:tcPr>
          <w:p>
            <w:pPr>
              <w:pStyle w:val="TableContents"/>
              <w:bidi w:val="0"/>
              <w:spacing w:before="0" w:after="283"/>
              <w:jc w:val="left"/>
              <w:rPr/>
            </w:pPr>
            <w:r>
              <w:rPr/>
              <w:t> </w:t>
            </w:r>
          </w:p>
        </w:tc>
      </w:tr>
      <w:tr>
        <w:trPr/>
        <w:tc>
          <w:tcPr>
            <w:tcW w:w="657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Estimates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(602,735</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81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2.76</w:t>
            </w:r>
          </w:p>
        </w:tc>
        <w:tc>
          <w:tcPr>
            <w:tcW w:w="23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57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Conversion – 163(l)</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1,528,553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81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-6.81</w:t>
            </w:r>
          </w:p>
        </w:tc>
        <w:tc>
          <w:tcPr>
            <w:tcW w:w="23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57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 Compensation Adjustments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293,474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81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-1.34</w:t>
            </w:r>
          </w:p>
        </w:tc>
        <w:tc>
          <w:tcPr>
            <w:tcW w:w="23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57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388,826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8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-1.79</w:t>
            </w:r>
          </w:p>
        </w:tc>
        <w:tc>
          <w:tcPr>
            <w:tcW w:w="23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57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Effective tax rate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60,617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81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-0.28</w:t>
            </w:r>
          </w:p>
        </w:tc>
        <w:tc>
          <w:tcPr>
            <w:tcW w:w="23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reconciliation of the statutory U.S. federal income tax rate to the Company’s effective tax rate for the period ended December 31, 2024 consists of the following:</w:t>
      </w:r>
    </w:p>
    <w:p>
      <w:pPr>
        <w:pStyle w:val="TextBody"/>
        <w:bidi w:val="0"/>
        <w:spacing w:before="0" w:after="0"/>
        <w:ind w:left="0" w:right="0" w:hanging="0"/>
        <w:jc w:val="both"/>
        <w:rPr>
          <w:caps w:val="false"/>
          <w:smallCaps w:val="false"/>
        </w:rPr>
      </w:pPr>
      <w:r>
        <w:rPr>
          <w:caps w:val="false"/>
          <w:smallCaps w:val="false"/>
        </w:rPr>
        <w:t> </w:t>
      </w:r>
    </w:p>
    <w:tbl>
      <w:tblPr>
        <w:tblW w:w="6495" w:type="dxa"/>
        <w:jc w:val="left"/>
        <w:tblInd w:w="0" w:type="dxa"/>
        <w:tblLayout w:type="fixed"/>
        <w:tblCellMar>
          <w:top w:w="0" w:type="dxa"/>
          <w:left w:w="0" w:type="dxa"/>
          <w:bottom w:w="0" w:type="dxa"/>
          <w:right w:w="0" w:type="dxa"/>
        </w:tblCellMar>
      </w:tblPr>
      <w:tblGrid>
        <w:gridCol w:w="4355"/>
        <w:gridCol w:w="60"/>
        <w:gridCol w:w="140"/>
        <w:gridCol w:w="1055"/>
        <w:gridCol w:w="95"/>
        <w:gridCol w:w="60"/>
        <w:gridCol w:w="60"/>
        <w:gridCol w:w="440"/>
        <w:gridCol w:w="230"/>
      </w:tblGrid>
      <w:tr>
        <w:trPr/>
        <w:tc>
          <w:tcPr>
            <w:tcW w:w="43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Statutory federal income tax benefit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(6,617,812</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21.0</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3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State taxes, net of federal tax benefit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(463,682</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w:t>
            </w:r>
          </w:p>
        </w:tc>
        <w:tc>
          <w:tcPr>
            <w:tcW w:w="2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3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valuation allowance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2,968,883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3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state tax rate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16,101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-0.1</w:t>
            </w:r>
          </w:p>
        </w:tc>
        <w:tc>
          <w:tcPr>
            <w:tcW w:w="2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3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estimates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(107,489</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0.3</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3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Non-deductible interest – IRC 163(l)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516,624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w:t>
            </w:r>
          </w:p>
        </w:tc>
        <w:tc>
          <w:tcPr>
            <w:tcW w:w="2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3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Non-deductible transaction/restructuring costs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3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debt conversion and extinguishment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2,935,747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-9.3</w:t>
            </w:r>
          </w:p>
        </w:tc>
        <w:tc>
          <w:tcPr>
            <w:tcW w:w="2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3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Nondeductible warrant issuance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3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Impairment of goodwill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612,511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w:t>
            </w:r>
          </w:p>
        </w:tc>
        <w:tc>
          <w:tcPr>
            <w:tcW w:w="2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3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non-deductible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139,117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4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-0.5</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3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Effective tax rate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44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-0.1</w:t>
            </w:r>
          </w:p>
        </w:tc>
        <w:tc>
          <w:tcPr>
            <w:tcW w:w="2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components of income tax provision (benefit) are as follows: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Components of Income Tax Provision (Benefit) </w:t>
      </w:r>
    </w:p>
    <w:tbl>
      <w:tblPr>
        <w:tblW w:w="4223" w:type="dxa"/>
        <w:jc w:val="left"/>
        <w:tblInd w:w="0" w:type="dxa"/>
        <w:tblLayout w:type="fixed"/>
        <w:tblCellMar>
          <w:top w:w="0" w:type="dxa"/>
          <w:left w:w="0" w:type="dxa"/>
          <w:bottom w:w="0" w:type="dxa"/>
          <w:right w:w="0" w:type="dxa"/>
        </w:tblCellMar>
      </w:tblPr>
      <w:tblGrid>
        <w:gridCol w:w="1370"/>
        <w:gridCol w:w="60"/>
        <w:gridCol w:w="228"/>
        <w:gridCol w:w="1425"/>
        <w:gridCol w:w="154"/>
        <w:gridCol w:w="97"/>
        <w:gridCol w:w="285"/>
        <w:gridCol w:w="529"/>
        <w:gridCol w:w="75"/>
      </w:tblGrid>
      <w:tr>
        <w:trPr/>
        <w:tc>
          <w:tcPr>
            <w:tcW w:w="13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65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54"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81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75" w:type="dxa"/>
            <w:tcBorders/>
            <w:vAlign w:val="center"/>
          </w:tcPr>
          <w:p>
            <w:pPr>
              <w:pStyle w:val="TableContents"/>
              <w:bidi w:val="0"/>
              <w:spacing w:before="0" w:after="283"/>
              <w:jc w:val="left"/>
              <w:rPr/>
            </w:pPr>
            <w:r>
              <w:rPr/>
              <w:t> </w:t>
            </w:r>
          </w:p>
        </w:tc>
      </w:tr>
      <w:tr>
        <w:trPr/>
        <w:tc>
          <w:tcPr>
            <w:tcW w:w="13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718"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Year Ended December 31,</w:t>
            </w:r>
          </w:p>
        </w:tc>
        <w:tc>
          <w:tcPr>
            <w:tcW w:w="75" w:type="dxa"/>
            <w:tcBorders/>
            <w:vAlign w:val="center"/>
          </w:tcPr>
          <w:p>
            <w:pPr>
              <w:pStyle w:val="TableContents"/>
              <w:bidi w:val="0"/>
              <w:spacing w:before="0" w:after="283"/>
              <w:jc w:val="left"/>
              <w:rPr/>
            </w:pPr>
            <w:r>
              <w:rPr/>
              <w:t> </w:t>
            </w:r>
          </w:p>
        </w:tc>
      </w:tr>
      <w:tr>
        <w:trPr/>
        <w:tc>
          <w:tcPr>
            <w:tcW w:w="13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65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54"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81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75" w:type="dxa"/>
            <w:tcBorders/>
            <w:vAlign w:val="center"/>
          </w:tcPr>
          <w:p>
            <w:pPr>
              <w:pStyle w:val="TableContents"/>
              <w:bidi w:val="0"/>
              <w:spacing w:before="0" w:after="283"/>
              <w:jc w:val="left"/>
              <w:rPr/>
            </w:pPr>
            <w:r>
              <w:rPr/>
              <w:t> </w:t>
            </w:r>
          </w:p>
        </w:tc>
      </w:tr>
      <w:tr>
        <w:trPr/>
        <w:tc>
          <w:tcPr>
            <w:tcW w:w="13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Current:</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425" w:type="dxa"/>
            <w:tcBorders/>
            <w:shd w:fill="CCEEFF" w:val="clear"/>
            <w:vAlign w:val="center"/>
          </w:tcPr>
          <w:p>
            <w:pPr>
              <w:pStyle w:val="TableContents"/>
              <w:bidi w:val="0"/>
              <w:spacing w:before="0" w:after="283"/>
              <w:jc w:val="right"/>
              <w:rPr/>
            </w:pPr>
            <w:r>
              <w:rPr/>
              <w:t> </w:t>
            </w:r>
          </w:p>
        </w:tc>
        <w:tc>
          <w:tcPr>
            <w:tcW w:w="154"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3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Federal</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25" w:type="dxa"/>
            <w:tcBorders/>
            <w:shd w:fill="FFFFFF" w:val="clear"/>
            <w:vAlign w:val="center"/>
          </w:tcPr>
          <w:p>
            <w:pPr>
              <w:pStyle w:val="TableContents"/>
              <w:bidi w:val="0"/>
              <w:spacing w:before="0" w:after="283"/>
              <w:jc w:val="right"/>
              <w:rPr/>
            </w:pPr>
            <w:r>
              <w:rPr/>
              <w:t>—</w:t>
            </w:r>
          </w:p>
        </w:tc>
        <w:tc>
          <w:tcPr>
            <w:tcW w:w="154"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29"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13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State</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425" w:type="dxa"/>
            <w:tcBorders/>
            <w:shd w:fill="CCEEFF" w:val="clear"/>
            <w:vAlign w:val="center"/>
          </w:tcPr>
          <w:p>
            <w:pPr>
              <w:pStyle w:val="TableContents"/>
              <w:bidi w:val="0"/>
              <w:spacing w:before="0" w:after="283"/>
              <w:jc w:val="right"/>
              <w:rPr/>
            </w:pPr>
            <w:r>
              <w:rPr/>
              <w:t>—</w:t>
            </w:r>
          </w:p>
        </w:tc>
        <w:tc>
          <w:tcPr>
            <w:tcW w:w="154"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13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Foreign</w:t>
            </w:r>
          </w:p>
        </w:tc>
        <w:tc>
          <w:tcPr>
            <w:tcW w:w="60" w:type="dxa"/>
            <w:tcBorders/>
            <w:shd w:fill="FFFFFF" w:val="clear"/>
            <w:vAlign w:val="center"/>
          </w:tcPr>
          <w:p>
            <w:pPr>
              <w:pStyle w:val="TableContents"/>
              <w:bidi w:val="0"/>
              <w:spacing w:before="0" w:after="283"/>
              <w:jc w:val="left"/>
              <w:rPr/>
            </w:pPr>
            <w:r>
              <w:rPr/>
              <w:t> </w:t>
            </w:r>
          </w:p>
        </w:tc>
        <w:tc>
          <w:tcPr>
            <w:tcW w:w="22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2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214,398</w:t>
            </w:r>
          </w:p>
        </w:tc>
        <w:tc>
          <w:tcPr>
            <w:tcW w:w="154"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8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2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13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current</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42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214,398</w:t>
            </w:r>
          </w:p>
        </w:tc>
        <w:tc>
          <w:tcPr>
            <w:tcW w:w="154"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13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425" w:type="dxa"/>
            <w:tcBorders/>
            <w:shd w:fill="FFFFFF" w:val="clear"/>
            <w:vAlign w:val="center"/>
          </w:tcPr>
          <w:p>
            <w:pPr>
              <w:pStyle w:val="TableContents"/>
              <w:bidi w:val="0"/>
              <w:spacing w:before="0" w:after="283"/>
              <w:jc w:val="right"/>
              <w:rPr/>
            </w:pPr>
            <w:r>
              <w:rPr/>
              <w:t> </w:t>
            </w:r>
          </w:p>
        </w:tc>
        <w:tc>
          <w:tcPr>
            <w:tcW w:w="154"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13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Federal</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425" w:type="dxa"/>
            <w:tcBorders/>
            <w:shd w:fill="CCEEFF" w:val="clear"/>
            <w:vAlign w:val="center"/>
          </w:tcPr>
          <w:p>
            <w:pPr>
              <w:pStyle w:val="TableContents"/>
              <w:bidi w:val="0"/>
              <w:spacing w:before="0" w:after="283"/>
              <w:jc w:val="right"/>
              <w:rPr/>
            </w:pPr>
            <w:r>
              <w:rPr/>
              <w:t>—</w:t>
            </w:r>
          </w:p>
        </w:tc>
        <w:tc>
          <w:tcPr>
            <w:tcW w:w="154"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13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State</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425" w:type="dxa"/>
            <w:tcBorders/>
            <w:shd w:fill="FFFFFF" w:val="clear"/>
            <w:vAlign w:val="center"/>
          </w:tcPr>
          <w:p>
            <w:pPr>
              <w:pStyle w:val="TableContents"/>
              <w:bidi w:val="0"/>
              <w:spacing w:before="0" w:after="283"/>
              <w:jc w:val="right"/>
              <w:rPr/>
            </w:pPr>
            <w:r>
              <w:rPr/>
              <w:t>—</w:t>
            </w:r>
          </w:p>
        </w:tc>
        <w:tc>
          <w:tcPr>
            <w:tcW w:w="154"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13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Foreign</w:t>
            </w:r>
          </w:p>
        </w:tc>
        <w:tc>
          <w:tcPr>
            <w:tcW w:w="60" w:type="dxa"/>
            <w:tcBorders/>
            <w:shd w:fill="CCEEFF" w:val="clear"/>
            <w:vAlign w:val="center"/>
          </w:tcPr>
          <w:p>
            <w:pPr>
              <w:pStyle w:val="TableContents"/>
              <w:bidi w:val="0"/>
              <w:spacing w:before="0" w:after="283"/>
              <w:jc w:val="left"/>
              <w:rPr/>
            </w:pPr>
            <w:r>
              <w:rPr/>
              <w:t> </w:t>
            </w:r>
          </w:p>
        </w:tc>
        <w:tc>
          <w:tcPr>
            <w:tcW w:w="22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2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(153,781</w:t>
            </w:r>
          </w:p>
        </w:tc>
        <w:tc>
          <w:tcPr>
            <w:tcW w:w="15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7" w:type="dxa"/>
            <w:tcBorders/>
            <w:shd w:fill="CCEEFF" w:val="clear"/>
            <w:vAlign w:val="center"/>
          </w:tcPr>
          <w:p>
            <w:pPr>
              <w:pStyle w:val="TableContents"/>
              <w:bidi w:val="0"/>
              <w:spacing w:before="0" w:after="283"/>
              <w:jc w:val="left"/>
              <w:rPr/>
            </w:pPr>
            <w:r>
              <w:rPr/>
              <w:t> </w:t>
            </w:r>
          </w:p>
        </w:tc>
        <w:tc>
          <w:tcPr>
            <w:tcW w:w="28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2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13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deferred</w:t>
            </w:r>
          </w:p>
        </w:tc>
        <w:tc>
          <w:tcPr>
            <w:tcW w:w="60" w:type="dxa"/>
            <w:tcBorders/>
            <w:shd w:fill="FFFFFF" w:val="clear"/>
            <w:vAlign w:val="center"/>
          </w:tcPr>
          <w:p>
            <w:pPr>
              <w:pStyle w:val="TableContents"/>
              <w:bidi w:val="0"/>
              <w:spacing w:before="0" w:after="283"/>
              <w:jc w:val="left"/>
              <w:rPr/>
            </w:pPr>
            <w:r>
              <w:rPr/>
              <w:t> </w:t>
            </w:r>
          </w:p>
        </w:tc>
        <w:tc>
          <w:tcPr>
            <w:tcW w:w="22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2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(153,781</w:t>
            </w:r>
          </w:p>
        </w:tc>
        <w:tc>
          <w:tcPr>
            <w:tcW w:w="15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7" w:type="dxa"/>
            <w:tcBorders/>
            <w:shd w:fill="FFFFFF" w:val="clear"/>
            <w:vAlign w:val="center"/>
          </w:tcPr>
          <w:p>
            <w:pPr>
              <w:pStyle w:val="TableContents"/>
              <w:bidi w:val="0"/>
              <w:spacing w:before="0" w:after="283"/>
              <w:jc w:val="left"/>
              <w:rPr/>
            </w:pPr>
            <w:r>
              <w:rPr/>
              <w:t> </w:t>
            </w:r>
          </w:p>
        </w:tc>
        <w:tc>
          <w:tcPr>
            <w:tcW w:w="28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2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13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CCEEFF" w:val="clear"/>
            <w:vAlign w:val="center"/>
          </w:tcPr>
          <w:p>
            <w:pPr>
              <w:pStyle w:val="TableContents"/>
              <w:bidi w:val="0"/>
              <w:spacing w:before="0" w:after="283"/>
              <w:jc w:val="left"/>
              <w:rPr/>
            </w:pPr>
            <w:r>
              <w:rPr/>
              <w:t> </w:t>
            </w:r>
          </w:p>
        </w:tc>
        <w:tc>
          <w:tcPr>
            <w:tcW w:w="22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2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60,617</w:t>
            </w:r>
          </w:p>
        </w:tc>
        <w:tc>
          <w:tcPr>
            <w:tcW w:w="154"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8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29"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amounts of cash income taxes paid (received) by the Company for the year ended December 31, 2025 were as follows: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Summary of Amounts of Cash Income Taxes Paid (Received) </w:t>
      </w:r>
    </w:p>
    <w:tbl>
      <w:tblPr>
        <w:tblW w:w="4230" w:type="dxa"/>
        <w:jc w:val="left"/>
        <w:tblInd w:w="0" w:type="dxa"/>
        <w:tblLayout w:type="fixed"/>
        <w:tblCellMar>
          <w:top w:w="0" w:type="dxa"/>
          <w:left w:w="0" w:type="dxa"/>
          <w:bottom w:w="0" w:type="dxa"/>
          <w:right w:w="0" w:type="dxa"/>
        </w:tblCellMar>
      </w:tblPr>
      <w:tblGrid>
        <w:gridCol w:w="3695"/>
        <w:gridCol w:w="60"/>
        <w:gridCol w:w="140"/>
        <w:gridCol w:w="260"/>
        <w:gridCol w:w="75"/>
      </w:tblGrid>
      <w:tr>
        <w:trPr/>
        <w:tc>
          <w:tcPr>
            <w:tcW w:w="3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6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Federal</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26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6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State and local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36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Foreign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6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6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Income taxes, net of amounts refunded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260"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income taxes reflect the net tax effects of temporary differences between the carrying value of assets and liabilities for financial reporting purposes and amounts used for income tax purposes. The temporary differences that give rise to deferred tax assets and liabilities are as follows: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Temporary Differences that Give Rise to Deferred Tax Assets and Liabilities </w:t>
      </w:r>
    </w:p>
    <w:tbl>
      <w:tblPr>
        <w:tblW w:w="7505" w:type="dxa"/>
        <w:jc w:val="left"/>
        <w:tblInd w:w="0" w:type="dxa"/>
        <w:tblLayout w:type="fixed"/>
        <w:tblCellMar>
          <w:top w:w="0" w:type="dxa"/>
          <w:left w:w="0" w:type="dxa"/>
          <w:bottom w:w="0" w:type="dxa"/>
          <w:right w:w="0" w:type="dxa"/>
        </w:tblCellMar>
      </w:tblPr>
      <w:tblGrid>
        <w:gridCol w:w="4550"/>
        <w:gridCol w:w="60"/>
        <w:gridCol w:w="140"/>
        <w:gridCol w:w="1175"/>
        <w:gridCol w:w="95"/>
        <w:gridCol w:w="60"/>
        <w:gridCol w:w="140"/>
        <w:gridCol w:w="1175"/>
        <w:gridCol w:w="110"/>
      </w:tblGrid>
      <w:tr>
        <w:trPr/>
        <w:tc>
          <w:tcPr>
            <w:tcW w:w="45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10" w:type="dxa"/>
            <w:tcBorders/>
            <w:vAlign w:val="center"/>
          </w:tcPr>
          <w:p>
            <w:pPr>
              <w:pStyle w:val="TableContents"/>
              <w:bidi w:val="0"/>
              <w:spacing w:before="0" w:after="283"/>
              <w:jc w:val="left"/>
              <w:rPr/>
            </w:pPr>
            <w:r>
              <w:rPr/>
              <w:t> </w:t>
            </w:r>
          </w:p>
        </w:tc>
      </w:tr>
      <w:tr>
        <w:trPr/>
        <w:tc>
          <w:tcPr>
            <w:tcW w:w="45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78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 of December 31,</w:t>
            </w:r>
          </w:p>
        </w:tc>
        <w:tc>
          <w:tcPr>
            <w:tcW w:w="110" w:type="dxa"/>
            <w:tcBorders/>
            <w:vAlign w:val="center"/>
          </w:tcPr>
          <w:p>
            <w:pPr>
              <w:pStyle w:val="TableContents"/>
              <w:bidi w:val="0"/>
              <w:spacing w:before="0" w:after="283"/>
              <w:jc w:val="left"/>
              <w:rPr/>
            </w:pPr>
            <w:r>
              <w:rPr/>
              <w:t> </w:t>
            </w:r>
          </w:p>
        </w:tc>
      </w:tr>
      <w:tr>
        <w:trPr/>
        <w:tc>
          <w:tcPr>
            <w:tcW w:w="45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10" w:type="dxa"/>
            <w:tcBorders/>
            <w:vAlign w:val="center"/>
          </w:tcPr>
          <w:p>
            <w:pPr>
              <w:pStyle w:val="TableContents"/>
              <w:bidi w:val="0"/>
              <w:spacing w:before="0" w:after="283"/>
              <w:jc w:val="left"/>
              <w:rPr/>
            </w:pPr>
            <w:r>
              <w:rPr/>
              <w:t> </w:t>
            </w:r>
          </w:p>
        </w:tc>
      </w:tr>
      <w:tr>
        <w:trPr/>
        <w:tc>
          <w:tcPr>
            <w:tcW w:w="45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tax assets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5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operating loss carryforwards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15,736,074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12,347,734</w:t>
            </w:r>
          </w:p>
        </w:tc>
        <w:tc>
          <w:tcPr>
            <w:tcW w:w="110" w:type="dxa"/>
            <w:tcBorders/>
            <w:shd w:fill="FFFFFF" w:val="clear"/>
            <w:vAlign w:val="center"/>
          </w:tcPr>
          <w:p>
            <w:pPr>
              <w:pStyle w:val="TableContents"/>
              <w:bidi w:val="0"/>
              <w:spacing w:before="0" w:after="283"/>
              <w:jc w:val="left"/>
              <w:rPr/>
            </w:pPr>
            <w:r>
              <w:rPr/>
              <w:t> </w:t>
            </w:r>
          </w:p>
        </w:tc>
      </w:tr>
      <w:tr>
        <w:trPr/>
        <w:tc>
          <w:tcPr>
            <w:tcW w:w="45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Contribution carryforwards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8,803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23,718</w:t>
            </w:r>
          </w:p>
        </w:tc>
        <w:tc>
          <w:tcPr>
            <w:tcW w:w="110" w:type="dxa"/>
            <w:tcBorders/>
            <w:shd w:fill="CCEEFF" w:val="clear"/>
            <w:vAlign w:val="center"/>
          </w:tcPr>
          <w:p>
            <w:pPr>
              <w:pStyle w:val="TableContents"/>
              <w:bidi w:val="0"/>
              <w:spacing w:before="0" w:after="283"/>
              <w:jc w:val="left"/>
              <w:rPr/>
            </w:pPr>
            <w:r>
              <w:rPr/>
              <w:t> </w:t>
            </w:r>
          </w:p>
        </w:tc>
      </w:tr>
      <w:tr>
        <w:trPr/>
        <w:tc>
          <w:tcPr>
            <w:tcW w:w="45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Tax credits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175,785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91,889</w:t>
            </w:r>
          </w:p>
        </w:tc>
        <w:tc>
          <w:tcPr>
            <w:tcW w:w="110" w:type="dxa"/>
            <w:tcBorders/>
            <w:shd w:fill="FFFFFF" w:val="clear"/>
            <w:vAlign w:val="center"/>
          </w:tcPr>
          <w:p>
            <w:pPr>
              <w:pStyle w:val="TableContents"/>
              <w:bidi w:val="0"/>
              <w:spacing w:before="0" w:after="283"/>
              <w:jc w:val="left"/>
              <w:rPr/>
            </w:pPr>
            <w:r>
              <w:rPr/>
              <w:t> </w:t>
            </w:r>
          </w:p>
        </w:tc>
      </w:tr>
      <w:tr>
        <w:trPr/>
        <w:tc>
          <w:tcPr>
            <w:tcW w:w="45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Stock-based compensation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284,981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157,165</w:t>
            </w:r>
          </w:p>
        </w:tc>
        <w:tc>
          <w:tcPr>
            <w:tcW w:w="110" w:type="dxa"/>
            <w:tcBorders/>
            <w:shd w:fill="CCEEFF" w:val="clear"/>
            <w:vAlign w:val="center"/>
          </w:tcPr>
          <w:p>
            <w:pPr>
              <w:pStyle w:val="TableContents"/>
              <w:bidi w:val="0"/>
              <w:spacing w:before="0" w:after="283"/>
              <w:jc w:val="left"/>
              <w:rPr/>
            </w:pPr>
            <w:r>
              <w:rPr/>
              <w:t> </w:t>
            </w:r>
          </w:p>
        </w:tc>
      </w:tr>
      <w:tr>
        <w:trPr/>
        <w:tc>
          <w:tcPr>
            <w:tcW w:w="45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Accrual to cash adjustment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45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Startup costs and other intangibles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1,618,932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1,700,257</w:t>
            </w:r>
          </w:p>
        </w:tc>
        <w:tc>
          <w:tcPr>
            <w:tcW w:w="110" w:type="dxa"/>
            <w:tcBorders/>
            <w:shd w:fill="CCEEFF" w:val="clear"/>
            <w:vAlign w:val="center"/>
          </w:tcPr>
          <w:p>
            <w:pPr>
              <w:pStyle w:val="TableContents"/>
              <w:bidi w:val="0"/>
              <w:spacing w:before="0" w:after="283"/>
              <w:jc w:val="left"/>
              <w:rPr/>
            </w:pPr>
            <w:r>
              <w:rPr/>
              <w:t> </w:t>
            </w:r>
          </w:p>
        </w:tc>
      </w:tr>
      <w:tr>
        <w:trPr/>
        <w:tc>
          <w:tcPr>
            <w:tcW w:w="45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Acquired intangibles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(1,953,499</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(870,569</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5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Lease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13,030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16,339</w:t>
            </w:r>
          </w:p>
        </w:tc>
        <w:tc>
          <w:tcPr>
            <w:tcW w:w="110" w:type="dxa"/>
            <w:tcBorders/>
            <w:shd w:fill="CCEEFF" w:val="clear"/>
            <w:vAlign w:val="center"/>
          </w:tcPr>
          <w:p>
            <w:pPr>
              <w:pStyle w:val="TableContents"/>
              <w:bidi w:val="0"/>
              <w:spacing w:before="0" w:after="283"/>
              <w:jc w:val="left"/>
              <w:rPr/>
            </w:pPr>
            <w:r>
              <w:rPr/>
              <w:t> </w:t>
            </w:r>
          </w:p>
        </w:tc>
      </w:tr>
      <w:tr>
        <w:trPr/>
        <w:tc>
          <w:tcPr>
            <w:tcW w:w="45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Right-of-use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(12,830</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(16,308</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5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664,106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651,519</w:t>
            </w:r>
          </w:p>
        </w:tc>
        <w:tc>
          <w:tcPr>
            <w:tcW w:w="110" w:type="dxa"/>
            <w:tcBorders/>
            <w:shd w:fill="CCEEFF" w:val="clear"/>
            <w:vAlign w:val="center"/>
          </w:tcPr>
          <w:p>
            <w:pPr>
              <w:pStyle w:val="TableContents"/>
              <w:bidi w:val="0"/>
              <w:spacing w:before="0" w:after="283"/>
              <w:jc w:val="left"/>
              <w:rPr/>
            </w:pPr>
            <w:r>
              <w:rPr/>
              <w:t> </w:t>
            </w:r>
          </w:p>
        </w:tc>
      </w:tr>
      <w:tr>
        <w:trPr/>
        <w:tc>
          <w:tcPr>
            <w:tcW w:w="45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Capitalized R&amp;D costs (Sec. 174)</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1,959,520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1,930,337</w:t>
            </w:r>
          </w:p>
        </w:tc>
        <w:tc>
          <w:tcPr>
            <w:tcW w:w="110" w:type="dxa"/>
            <w:tcBorders/>
            <w:shd w:fill="FFFFFF" w:val="clear"/>
            <w:vAlign w:val="center"/>
          </w:tcPr>
          <w:p>
            <w:pPr>
              <w:pStyle w:val="TableContents"/>
              <w:bidi w:val="0"/>
              <w:spacing w:before="0" w:after="283"/>
              <w:jc w:val="left"/>
              <w:rPr/>
            </w:pPr>
            <w:r>
              <w:rPr/>
              <w:t> </w:t>
            </w:r>
          </w:p>
        </w:tc>
      </w:tr>
      <w:tr>
        <w:trPr/>
        <w:tc>
          <w:tcPr>
            <w:tcW w:w="45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66,496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8,182</w:t>
            </w:r>
          </w:p>
        </w:tc>
        <w:tc>
          <w:tcPr>
            <w:tcW w:w="110" w:type="dxa"/>
            <w:tcBorders/>
            <w:shd w:fill="CCEEFF" w:val="clear"/>
            <w:vAlign w:val="center"/>
          </w:tcPr>
          <w:p>
            <w:pPr>
              <w:pStyle w:val="TableContents"/>
              <w:bidi w:val="0"/>
              <w:spacing w:before="0" w:after="283"/>
              <w:jc w:val="left"/>
              <w:rPr/>
            </w:pPr>
            <w:r>
              <w:rPr/>
              <w:t> </w:t>
            </w:r>
          </w:p>
        </w:tc>
      </w:tr>
      <w:tr>
        <w:trPr/>
        <w:tc>
          <w:tcPr>
            <w:tcW w:w="45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sz w:val="20"/>
              </w:rPr>
              <w:t>Deferred tax assets</w:t>
            </w:r>
            <w:r>
              <w:rPr>
                <w:rFonts w:ascii="Times New Roman;Times;Serif" w:hAnsi="Times New Roman;Times;Serif"/>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18,561,398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16,040,263</w:t>
            </w:r>
          </w:p>
        </w:tc>
        <w:tc>
          <w:tcPr>
            <w:tcW w:w="110" w:type="dxa"/>
            <w:tcBorders/>
            <w:shd w:fill="FFFFFF" w:val="clear"/>
            <w:vAlign w:val="center"/>
          </w:tcPr>
          <w:p>
            <w:pPr>
              <w:pStyle w:val="TableContents"/>
              <w:bidi w:val="0"/>
              <w:spacing w:before="0" w:after="283"/>
              <w:jc w:val="left"/>
              <w:rPr/>
            </w:pPr>
            <w:r>
              <w:rPr/>
              <w:t> </w:t>
            </w:r>
          </w:p>
        </w:tc>
      </w:tr>
      <w:tr>
        <w:trPr/>
        <w:tc>
          <w:tcPr>
            <w:tcW w:w="45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Valuation allowance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(19,679,073</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(16,040,263</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5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tax assets (liabilities), net of allowance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(1,170,469</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Company had federal and state net operating loss carryforwards of approximately $65,375,600 and $35,660,700, respectively. As of December 31, 2025 the company has no foreign net operating loss carryforwards. As of December 31, 2024, the Company had federal and state net operating loss carryforwards of approximately $50,966,400 and $28,244,800, respectively. Federal losses of $180,000 begin to expire in 2036 and $65,195,600 of the federal losses carryforward indefinitely. State losses of $22,175,100 begin to expire in 2031 and $13,485,600 of the state losses carryforward indefinitely. Utilization of the net operating loss carryforwards may be subject to an annual limitation according to Section 382 of the Internal Revenue Code of 1986 as amended, and similar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determined, based upon available evidence, that it is more likely than not that all of the U.S. net deferred tax assets will not be realized and, accordingly, has provided a full valuation allowance against its U.S. net deferred tax asset. Management considers the scheduled reversal of deferred tax liabilities, projected future taxable income, net operating loss carryback potential, and tax planning strategies in making these assessments. During the period, the Company acquired its UK subsidiary, which generated intangible assets for U.S. GAAP, for which the Company has no tax basis in. Additionally, the UK company has historically generated taxable income, and has no positive evidence that would warrant a valuation allowance. As such, the Company has recorded a deferred tax liability for its UK subsidiary. Also, none of the GAAP basis of Goodwill recorded in relation to the Vidello, Ltd. acquisition is deductible for tax purposes.</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4, 2025, the U.S. government enacted the One Big Beautiful Bill Act (OBBBA), which includes several changes to U.S. federal income tax law, including temporary and permanent extension, of expiring provisions of the Tax Cuts and Jobs Act of 2017. Significant provisions for corporate taxpayers include permanent 100% bonus depreciation for qualified property, immediate expensing of domestic R&amp;D expenditures, and changes to the limitation on business interest expense deductions under Section 163(j). None of these provisions have a material impact on the Company’s 2025 income tax provision.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determined that it had no material uncertain tax benefits for the year ended December 31, 2025, and 2024. The Company recognizes interest accrued related to unrecognized tax benefits and penalties in interest expense and penalties in operating expense. No amounts were accrued for the payment of interest and penalties at December 31, 2025, and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files tax returns as prescribed by the tax laws of the jurisdictions in which they operate. In the normal course of business, the Company is subject to examination by federal, state, and foreign jurisdictions where applicable based on the statute of limitations that apply in each jurisdiction. As of December 31, 2025, the 2018 and subsequent tax years related to all US jurisdictions remain open.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no open tax audits with any taxing authority as of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 Segment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three reportable operating segments, Banzai Operating Co, Inc., OpenReel, and Vidello. The Company’s segments deliver SaaS tools that leverage data, analytics, and AI to provide marketing and sales solutions, including video production and editing, for businesses of all sizes.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Chief Executive Officer, who serves as the Company’s chief operating decision maker (“CODM”), primarily uses segment revenue, gross profit, and adjusted EBITDA to allocate resources and assess performance. Segment revenue and gross profit are determined on the same basis as consolidated revenue and consolidated gross profit as shown in the Company’s consolidated statements of operations. Segment adjusted EBITDA is defined as revenue less the following expenses associated with each segment: cost of revenue, people, marketing and advertising, technology, and other segment expenses. Segment adjusted EBITDA excludes certain non-cash items or items that management does not consider reflective of ongoing core operations. Currently, the CODM does not review assets in evaluating the results of the operating segments, and therefore, such information is not presented.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presents information about segments for the year ended December 31, 2025:</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Summary of Information About Reported Segments </w:t>
      </w:r>
    </w:p>
    <w:tbl>
      <w:tblPr>
        <w:tblW w:w="10205" w:type="dxa"/>
        <w:jc w:val="left"/>
        <w:tblInd w:w="0" w:type="dxa"/>
        <w:tblLayout w:type="fixed"/>
        <w:tblCellMar>
          <w:top w:w="0" w:type="dxa"/>
          <w:left w:w="0" w:type="dxa"/>
          <w:bottom w:w="0" w:type="dxa"/>
          <w:right w:w="0" w:type="dxa"/>
        </w:tblCellMar>
      </w:tblPr>
      <w:tblGrid>
        <w:gridCol w:w="4695"/>
        <w:gridCol w:w="60"/>
        <w:gridCol w:w="140"/>
        <w:gridCol w:w="1175"/>
        <w:gridCol w:w="95"/>
        <w:gridCol w:w="60"/>
        <w:gridCol w:w="140"/>
        <w:gridCol w:w="980"/>
        <w:gridCol w:w="95"/>
        <w:gridCol w:w="60"/>
        <w:gridCol w:w="140"/>
        <w:gridCol w:w="980"/>
        <w:gridCol w:w="60"/>
        <w:gridCol w:w="60"/>
        <w:gridCol w:w="144"/>
        <w:gridCol w:w="1211"/>
        <w:gridCol w:w="110"/>
      </w:tblGrid>
      <w:tr>
        <w:trPr/>
        <w:tc>
          <w:tcPr>
            <w:tcW w:w="469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Year ended December 31, 2025</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46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Banzai</w:t>
            </w:r>
          </w:p>
          <w:p>
            <w:pPr>
              <w:pStyle w:val="TableContents"/>
              <w:bidi w:val="0"/>
              <w:spacing w:before="0" w:after="283"/>
              <w:jc w:val="center"/>
              <w:rPr>
                <w:rFonts w:ascii="Times New Roman;Times;Serif" w:hAnsi="Times New Roman;Times;Serif"/>
                <w:b/>
              </w:rPr>
            </w:pPr>
            <w:r>
              <w:rPr>
                <w:rFonts w:ascii="Times New Roman;Times;Serif" w:hAnsi="Times New Roman;Times;Serif"/>
                <w:b/>
              </w:rPr>
              <w:t>Operating</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OpenReel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Vidello</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Total</w:t>
            </w:r>
          </w:p>
          <w:p>
            <w:pPr>
              <w:pStyle w:val="TableContents"/>
              <w:bidi w:val="0"/>
              <w:spacing w:before="0" w:after="283"/>
              <w:jc w:val="center"/>
              <w:rPr>
                <w:rFonts w:ascii="Times New Roman;Times;Serif" w:hAnsi="Times New Roman;Times;Serif"/>
                <w:b/>
              </w:rPr>
            </w:pPr>
            <w:r>
              <w:rPr>
                <w:rFonts w:ascii="Times New Roman;Times;Serif" w:hAnsi="Times New Roman;Times;Serif"/>
                <w:b/>
              </w:rPr>
              <w:t>Consolidated</w:t>
            </w:r>
          </w:p>
        </w:tc>
        <w:tc>
          <w:tcPr>
            <w:tcW w:w="110" w:type="dxa"/>
            <w:tcBorders/>
            <w:vAlign w:val="center"/>
          </w:tcPr>
          <w:p>
            <w:pPr>
              <w:pStyle w:val="TableContents"/>
              <w:bidi w:val="0"/>
              <w:spacing w:before="0" w:after="283"/>
              <w:jc w:val="left"/>
              <w:rPr/>
            </w:pPr>
            <w:r>
              <w:rPr/>
              <w:t> </w:t>
            </w:r>
          </w:p>
        </w:tc>
      </w:tr>
      <w:tr>
        <w:trPr/>
        <w:tc>
          <w:tcPr>
            <w:tcW w:w="46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Revenue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4,426,868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5,473,389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2,261,162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1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12,161,419</w:t>
            </w:r>
          </w:p>
        </w:tc>
        <w:tc>
          <w:tcPr>
            <w:tcW w:w="110" w:type="dxa"/>
            <w:tcBorders/>
            <w:shd w:fill="CCEEFF" w:val="clear"/>
            <w:vAlign w:val="center"/>
          </w:tcPr>
          <w:p>
            <w:pPr>
              <w:pStyle w:val="TableContents"/>
              <w:bidi w:val="0"/>
              <w:spacing w:before="0" w:after="283"/>
              <w:jc w:val="left"/>
              <w:rPr/>
            </w:pPr>
            <w:r>
              <w:rPr/>
              <w:t> </w:t>
            </w:r>
          </w:p>
        </w:tc>
      </w:tr>
      <w:tr>
        <w:trPr/>
        <w:tc>
          <w:tcPr>
            <w:tcW w:w="46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Cost of revenue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1,476,701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310,362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401,520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1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2,188,583</w:t>
            </w:r>
          </w:p>
        </w:tc>
        <w:tc>
          <w:tcPr>
            <w:tcW w:w="110" w:type="dxa"/>
            <w:tcBorders/>
            <w:shd w:fill="FFFFFF" w:val="clear"/>
            <w:vAlign w:val="center"/>
          </w:tcPr>
          <w:p>
            <w:pPr>
              <w:pStyle w:val="TableContents"/>
              <w:bidi w:val="0"/>
              <w:spacing w:before="0" w:after="283"/>
              <w:jc w:val="left"/>
              <w:rPr/>
            </w:pPr>
            <w:r>
              <w:rPr/>
              <w:t> </w:t>
            </w:r>
          </w:p>
        </w:tc>
      </w:tr>
      <w:tr>
        <w:trPr/>
        <w:tc>
          <w:tcPr>
            <w:tcW w:w="46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Gross profit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2,950,167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5,163,027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1,859,642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9,972,836</w:t>
            </w:r>
          </w:p>
        </w:tc>
        <w:tc>
          <w:tcPr>
            <w:tcW w:w="110" w:type="dxa"/>
            <w:tcBorders/>
            <w:shd w:fill="CCEEFF" w:val="clear"/>
            <w:vAlign w:val="center"/>
          </w:tcPr>
          <w:p>
            <w:pPr>
              <w:pStyle w:val="TableContents"/>
              <w:bidi w:val="0"/>
              <w:spacing w:before="0" w:after="283"/>
              <w:jc w:val="left"/>
              <w:rPr/>
            </w:pPr>
            <w:r>
              <w:rPr/>
              <w:t> </w:t>
            </w:r>
          </w:p>
        </w:tc>
      </w:tr>
      <w:tr>
        <w:trPr/>
        <w:tc>
          <w:tcPr>
            <w:tcW w:w="4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211"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6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6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People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6,254,527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4,545,813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393,025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21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11,193,365</w:t>
            </w:r>
          </w:p>
        </w:tc>
        <w:tc>
          <w:tcPr>
            <w:tcW w:w="110" w:type="dxa"/>
            <w:tcBorders/>
            <w:shd w:fill="FFFFFF" w:val="clear"/>
            <w:vAlign w:val="center"/>
          </w:tcPr>
          <w:p>
            <w:pPr>
              <w:pStyle w:val="TableContents"/>
              <w:bidi w:val="0"/>
              <w:spacing w:before="0" w:after="283"/>
              <w:jc w:val="left"/>
              <w:rPr/>
            </w:pPr>
            <w:r>
              <w:rPr/>
              <w:t> </w:t>
            </w:r>
          </w:p>
        </w:tc>
      </w:tr>
      <w:tr>
        <w:trPr/>
        <w:tc>
          <w:tcPr>
            <w:tcW w:w="46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Marketing and advertising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2,160,168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155,237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558,059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2,873,464</w:t>
            </w:r>
          </w:p>
        </w:tc>
        <w:tc>
          <w:tcPr>
            <w:tcW w:w="110" w:type="dxa"/>
            <w:tcBorders/>
            <w:shd w:fill="CCEEFF" w:val="clear"/>
            <w:vAlign w:val="center"/>
          </w:tcPr>
          <w:p>
            <w:pPr>
              <w:pStyle w:val="TableContents"/>
              <w:bidi w:val="0"/>
              <w:spacing w:before="0" w:after="283"/>
              <w:jc w:val="left"/>
              <w:rPr/>
            </w:pPr>
            <w:r>
              <w:rPr/>
              <w:t> </w:t>
            </w:r>
          </w:p>
        </w:tc>
      </w:tr>
      <w:tr>
        <w:trPr/>
        <w:tc>
          <w:tcPr>
            <w:tcW w:w="46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Technology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926,334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272,926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83,839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21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1,283,099</w:t>
            </w:r>
          </w:p>
        </w:tc>
        <w:tc>
          <w:tcPr>
            <w:tcW w:w="110" w:type="dxa"/>
            <w:tcBorders/>
            <w:shd w:fill="FFFFFF" w:val="clear"/>
            <w:vAlign w:val="center"/>
          </w:tcPr>
          <w:p>
            <w:pPr>
              <w:pStyle w:val="TableContents"/>
              <w:bidi w:val="0"/>
              <w:spacing w:before="0" w:after="283"/>
              <w:jc w:val="left"/>
              <w:rPr/>
            </w:pPr>
            <w:r>
              <w:rPr/>
              <w:t> </w:t>
            </w:r>
          </w:p>
        </w:tc>
      </w:tr>
      <w:tr>
        <w:trPr/>
        <w:tc>
          <w:tcPr>
            <w:tcW w:w="46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segment expenses</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2,223,686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535,823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198,407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1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2,957,915</w:t>
            </w:r>
          </w:p>
        </w:tc>
        <w:tc>
          <w:tcPr>
            <w:tcW w:w="110" w:type="dxa"/>
            <w:tcBorders/>
            <w:shd w:fill="CCEEFF" w:val="clear"/>
            <w:vAlign w:val="center"/>
          </w:tcPr>
          <w:p>
            <w:pPr>
              <w:pStyle w:val="TableContents"/>
              <w:bidi w:val="0"/>
              <w:spacing w:before="0" w:after="283"/>
              <w:jc w:val="left"/>
              <w:rPr/>
            </w:pPr>
            <w:r>
              <w:rPr/>
              <w:t> </w:t>
            </w:r>
          </w:p>
        </w:tc>
      </w:tr>
      <w:tr>
        <w:trPr/>
        <w:tc>
          <w:tcPr>
            <w:tcW w:w="46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11,564,715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5,509,799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1,233,330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1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18,307,843</w:t>
            </w:r>
          </w:p>
        </w:tc>
        <w:tc>
          <w:tcPr>
            <w:tcW w:w="110" w:type="dxa"/>
            <w:tcBorders/>
            <w:shd w:fill="FFFFFF" w:val="clear"/>
            <w:vAlign w:val="center"/>
          </w:tcPr>
          <w:p>
            <w:pPr>
              <w:pStyle w:val="TableContents"/>
              <w:bidi w:val="0"/>
              <w:spacing w:before="0" w:after="283"/>
              <w:jc w:val="left"/>
              <w:rPr/>
            </w:pPr>
            <w:r>
              <w:rPr/>
              <w:t> </w:t>
            </w:r>
          </w:p>
        </w:tc>
      </w:tr>
      <w:tr>
        <w:trPr/>
        <w:tc>
          <w:tcPr>
            <w:tcW w:w="46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Segment Adjusted EBITDA</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(8,614,548</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(346,772</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626,312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(8,335,007</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6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Transaction, PubCo. Expenses and Stock-based compensation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8,819,671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71,320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88,511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1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8,979,501</w:t>
            </w:r>
          </w:p>
        </w:tc>
        <w:tc>
          <w:tcPr>
            <w:tcW w:w="110" w:type="dxa"/>
            <w:tcBorders/>
            <w:shd w:fill="FFFFFF" w:val="clear"/>
            <w:vAlign w:val="center"/>
          </w:tcPr>
          <w:p>
            <w:pPr>
              <w:pStyle w:val="TableContents"/>
              <w:bidi w:val="0"/>
              <w:spacing w:before="0" w:after="283"/>
              <w:jc w:val="left"/>
              <w:rPr/>
            </w:pPr>
            <w:r>
              <w:rPr/>
              <w:t> </w:t>
            </w:r>
          </w:p>
        </w:tc>
      </w:tr>
      <w:tr>
        <w:trPr/>
        <w:tc>
          <w:tcPr>
            <w:tcW w:w="46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Adjusted EBITDA</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(17,434,219</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(418,092</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537,801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1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(17,314,508</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both"/>
        <w:rPr>
          <w:caps w:val="false"/>
          <w:smallCaps w:val="false"/>
          <w:position w:val="8"/>
          <w:sz w:val="19"/>
        </w:rPr>
      </w:pPr>
      <w:r>
        <w:rPr>
          <w:caps w:val="false"/>
          <w:smallCaps w:val="false"/>
          <w:position w:val="8"/>
          <w:sz w:val="19"/>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right"/>
              <w:rPr>
                <w:rFonts w:ascii="Times New Roman;Times;Serif" w:hAnsi="Times New Roman;Times;Serif"/>
                <w:position w:val="7"/>
                <w:sz w:val="16"/>
                <w:sz w:val="20"/>
              </w:rPr>
            </w:pPr>
            <w:r>
              <w:rPr>
                <w:rFonts w:ascii="Times New Roman;Times;Serif" w:hAnsi="Times New Roman;Times;Serif"/>
                <w:position w:val="7"/>
                <w:sz w:val="16"/>
                <w:sz w:val="20"/>
              </w:rPr>
              <w:t>1</w:t>
            </w:r>
          </w:p>
        </w:tc>
        <w:tc>
          <w:tcPr>
            <w:tcW w:w="100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Other segment expenses for each reportable segment includes provision for credit losses, foreign currency exchange rate changes, travel and entertainment expenses, professional expenses other than those included in transaction and PubCo expenses, insurance expenses, and expenses related to licenses.</w:t>
            </w:r>
          </w:p>
        </w:tc>
      </w:tr>
    </w:tbl>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presents information about segments for the year ended December 31, 2024:</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220"/>
        <w:gridCol w:w="60"/>
        <w:gridCol w:w="140"/>
        <w:gridCol w:w="1175"/>
        <w:gridCol w:w="95"/>
        <w:gridCol w:w="60"/>
        <w:gridCol w:w="152"/>
        <w:gridCol w:w="873"/>
        <w:gridCol w:w="60"/>
        <w:gridCol w:w="60"/>
        <w:gridCol w:w="253"/>
        <w:gridCol w:w="472"/>
        <w:gridCol w:w="60"/>
        <w:gridCol w:w="60"/>
        <w:gridCol w:w="144"/>
        <w:gridCol w:w="1211"/>
        <w:gridCol w:w="110"/>
      </w:tblGrid>
      <w:tr>
        <w:trPr/>
        <w:tc>
          <w:tcPr>
            <w:tcW w:w="52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Banzai</w:t>
            </w:r>
          </w:p>
          <w:p>
            <w:pPr>
              <w:pStyle w:val="TableContents"/>
              <w:bidi w:val="0"/>
              <w:spacing w:before="0" w:after="283"/>
              <w:jc w:val="center"/>
              <w:rPr>
                <w:rFonts w:ascii="Times New Roman;Times;Serif" w:hAnsi="Times New Roman;Times;Serif"/>
                <w:b/>
              </w:rPr>
            </w:pPr>
            <w:r>
              <w:rPr>
                <w:rFonts w:ascii="Times New Roman;Times;Serif" w:hAnsi="Times New Roman;Times;Serif"/>
                <w:b/>
              </w:rPr>
              <w:t>Operating</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OpenReel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Vidello</w:t>
            </w:r>
            <w:r>
              <w:rPr>
                <w:rFonts w:ascii="Times New Roman;Times;Serif" w:hAnsi="Times New Roman;Times;Serif"/>
                <w:b/>
                <w:position w:val="7"/>
                <w:sz w:val="16"/>
                <w:sz w:val="20"/>
              </w:rPr>
              <w:t>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Total</w:t>
            </w:r>
          </w:p>
          <w:p>
            <w:pPr>
              <w:pStyle w:val="TableContents"/>
              <w:bidi w:val="0"/>
              <w:spacing w:before="0" w:after="283"/>
              <w:jc w:val="center"/>
              <w:rPr>
                <w:rFonts w:ascii="Times New Roman;Times;Serif" w:hAnsi="Times New Roman;Times;Serif"/>
                <w:b/>
              </w:rPr>
            </w:pPr>
            <w:r>
              <w:rPr>
                <w:rFonts w:ascii="Times New Roman;Times;Serif" w:hAnsi="Times New Roman;Times;Serif"/>
                <w:b/>
              </w:rPr>
              <w:t>Consolidated</w:t>
            </w:r>
          </w:p>
        </w:tc>
        <w:tc>
          <w:tcPr>
            <w:tcW w:w="110" w:type="dxa"/>
            <w:tcBorders/>
            <w:vAlign w:val="center"/>
          </w:tcPr>
          <w:p>
            <w:pPr>
              <w:pStyle w:val="TableContents"/>
              <w:bidi w:val="0"/>
              <w:spacing w:before="0" w:after="283"/>
              <w:jc w:val="left"/>
              <w:rPr/>
            </w:pPr>
            <w:r>
              <w:rPr/>
              <w:t> </w:t>
            </w:r>
          </w:p>
        </w:tc>
      </w:tr>
      <w:tr>
        <w:trPr/>
        <w:tc>
          <w:tcPr>
            <w:tcW w:w="522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Year ended December 31, 2024</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52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Banzai</w:t>
            </w:r>
          </w:p>
          <w:p>
            <w:pPr>
              <w:pStyle w:val="TableContents"/>
              <w:bidi w:val="0"/>
              <w:spacing w:before="0" w:after="283"/>
              <w:jc w:val="center"/>
              <w:rPr>
                <w:rFonts w:ascii="Times New Roman;Times;Serif" w:hAnsi="Times New Roman;Times;Serif"/>
                <w:b/>
              </w:rPr>
            </w:pPr>
            <w:r>
              <w:rPr>
                <w:rFonts w:ascii="Times New Roman;Times;Serif" w:hAnsi="Times New Roman;Times;Serif"/>
                <w:b/>
              </w:rPr>
              <w:t>Operating</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OpenReel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Vidello</w:t>
            </w:r>
            <w:r>
              <w:rPr>
                <w:rFonts w:ascii="Times New Roman;Times;Serif" w:hAnsi="Times New Roman;Times;Serif"/>
                <w:b/>
                <w:position w:val="7"/>
                <w:sz w:val="16"/>
                <w:sz w:val="20"/>
              </w:rPr>
              <w:t>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Total</w:t>
            </w:r>
          </w:p>
          <w:p>
            <w:pPr>
              <w:pStyle w:val="TableContents"/>
              <w:bidi w:val="0"/>
              <w:spacing w:before="0" w:after="283"/>
              <w:jc w:val="center"/>
              <w:rPr>
                <w:rFonts w:ascii="Times New Roman;Times;Serif" w:hAnsi="Times New Roman;Times;Serif"/>
                <w:b/>
              </w:rPr>
            </w:pPr>
            <w:r>
              <w:rPr>
                <w:rFonts w:ascii="Times New Roman;Times;Serif" w:hAnsi="Times New Roman;Times;Serif"/>
                <w:b/>
              </w:rPr>
              <w:t>Consolidated</w:t>
            </w:r>
          </w:p>
        </w:tc>
        <w:tc>
          <w:tcPr>
            <w:tcW w:w="110" w:type="dxa"/>
            <w:tcBorders/>
            <w:vAlign w:val="center"/>
          </w:tcPr>
          <w:p>
            <w:pPr>
              <w:pStyle w:val="TableContents"/>
              <w:bidi w:val="0"/>
              <w:spacing w:before="0" w:after="283"/>
              <w:jc w:val="left"/>
              <w:rPr/>
            </w:pPr>
            <w:r>
              <w:rPr/>
              <w:t> </w:t>
            </w:r>
          </w:p>
        </w:tc>
      </w:tr>
      <w:tr>
        <w:trPr/>
        <w:tc>
          <w:tcPr>
            <w:tcW w:w="52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Revenue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4,305,429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7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222,450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7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1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4,527,879</w:t>
            </w:r>
          </w:p>
        </w:tc>
        <w:tc>
          <w:tcPr>
            <w:tcW w:w="110" w:type="dxa"/>
            <w:tcBorders/>
            <w:shd w:fill="CCEEFF" w:val="clear"/>
            <w:vAlign w:val="center"/>
          </w:tcPr>
          <w:p>
            <w:pPr>
              <w:pStyle w:val="TableContents"/>
              <w:bidi w:val="0"/>
              <w:spacing w:before="0" w:after="283"/>
              <w:jc w:val="left"/>
              <w:rPr/>
            </w:pPr>
            <w:r>
              <w:rPr/>
              <w:t> </w:t>
            </w:r>
          </w:p>
        </w:tc>
      </w:tr>
      <w:tr>
        <w:trPr/>
        <w:tc>
          <w:tcPr>
            <w:tcW w:w="522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Cost of revenue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1,407,564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14,978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7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1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1,422,542</w:t>
            </w:r>
          </w:p>
        </w:tc>
        <w:tc>
          <w:tcPr>
            <w:tcW w:w="110" w:type="dxa"/>
            <w:tcBorders/>
            <w:shd w:fill="FFFFFF" w:val="clear"/>
            <w:vAlign w:val="center"/>
          </w:tcPr>
          <w:p>
            <w:pPr>
              <w:pStyle w:val="TableContents"/>
              <w:bidi w:val="0"/>
              <w:spacing w:before="0" w:after="283"/>
              <w:jc w:val="left"/>
              <w:rPr/>
            </w:pPr>
            <w:r>
              <w:rPr/>
              <w:t> </w:t>
            </w:r>
          </w:p>
        </w:tc>
      </w:tr>
      <w:tr>
        <w:trPr/>
        <w:tc>
          <w:tcPr>
            <w:tcW w:w="52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Gross profit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2,897,865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207,472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47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3,105,337</w:t>
            </w:r>
          </w:p>
        </w:tc>
        <w:tc>
          <w:tcPr>
            <w:tcW w:w="110" w:type="dxa"/>
            <w:tcBorders/>
            <w:shd w:fill="CCEEFF" w:val="clear"/>
            <w:vAlign w:val="center"/>
          </w:tcPr>
          <w:p>
            <w:pPr>
              <w:pStyle w:val="TableContents"/>
              <w:bidi w:val="0"/>
              <w:spacing w:before="0" w:after="283"/>
              <w:jc w:val="left"/>
              <w:rPr/>
            </w:pPr>
            <w:r>
              <w:rPr/>
              <w:t> </w:t>
            </w:r>
          </w:p>
        </w:tc>
      </w:tr>
      <w:tr>
        <w:trPr/>
        <w:tc>
          <w:tcPr>
            <w:tcW w:w="52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211"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2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47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22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People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6,209,488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17,642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21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6,227,130</w:t>
            </w:r>
          </w:p>
        </w:tc>
        <w:tc>
          <w:tcPr>
            <w:tcW w:w="110" w:type="dxa"/>
            <w:tcBorders/>
            <w:shd w:fill="FFFFFF" w:val="clear"/>
            <w:vAlign w:val="center"/>
          </w:tcPr>
          <w:p>
            <w:pPr>
              <w:pStyle w:val="TableContents"/>
              <w:bidi w:val="0"/>
              <w:spacing w:before="0" w:after="283"/>
              <w:jc w:val="left"/>
              <w:rPr/>
            </w:pPr>
            <w:r>
              <w:rPr/>
              <w:t> </w:t>
            </w:r>
          </w:p>
        </w:tc>
      </w:tr>
      <w:tr>
        <w:trPr/>
        <w:tc>
          <w:tcPr>
            <w:tcW w:w="52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Marketing and advertising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1,587,085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47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1,592,105</w:t>
            </w:r>
          </w:p>
        </w:tc>
        <w:tc>
          <w:tcPr>
            <w:tcW w:w="110" w:type="dxa"/>
            <w:tcBorders/>
            <w:shd w:fill="CCEEFF" w:val="clear"/>
            <w:vAlign w:val="center"/>
          </w:tcPr>
          <w:p>
            <w:pPr>
              <w:pStyle w:val="TableContents"/>
              <w:bidi w:val="0"/>
              <w:spacing w:before="0" w:after="283"/>
              <w:jc w:val="left"/>
              <w:rPr/>
            </w:pPr>
            <w:r>
              <w:rPr/>
              <w:t> </w:t>
            </w:r>
          </w:p>
        </w:tc>
      </w:tr>
      <w:tr>
        <w:trPr/>
        <w:tc>
          <w:tcPr>
            <w:tcW w:w="522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Technology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861,775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112,429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21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974,204</w:t>
            </w:r>
          </w:p>
        </w:tc>
        <w:tc>
          <w:tcPr>
            <w:tcW w:w="110" w:type="dxa"/>
            <w:tcBorders/>
            <w:shd w:fill="FFFFFF" w:val="clear"/>
            <w:vAlign w:val="center"/>
          </w:tcPr>
          <w:p>
            <w:pPr>
              <w:pStyle w:val="TableContents"/>
              <w:bidi w:val="0"/>
              <w:spacing w:before="0" w:after="283"/>
              <w:jc w:val="left"/>
              <w:rPr/>
            </w:pPr>
            <w:r>
              <w:rPr/>
              <w:t> </w:t>
            </w:r>
          </w:p>
        </w:tc>
      </w:tr>
      <w:tr>
        <w:trPr/>
        <w:tc>
          <w:tcPr>
            <w:tcW w:w="52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segment expenses</w:t>
            </w:r>
            <w:r>
              <w:rPr>
                <w:rFonts w:ascii="Times New Roman;Times;Serif" w:hAnsi="Times New Roman;Times;Serif"/>
                <w:position w:val="7"/>
                <w:sz w:val="16"/>
                <w:sz w:val="20"/>
              </w:rPr>
              <w:t>2</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811,519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6,856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72"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1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818,375</w:t>
            </w:r>
          </w:p>
        </w:tc>
        <w:tc>
          <w:tcPr>
            <w:tcW w:w="110" w:type="dxa"/>
            <w:tcBorders/>
            <w:shd w:fill="CCEEFF" w:val="clear"/>
            <w:vAlign w:val="center"/>
          </w:tcPr>
          <w:p>
            <w:pPr>
              <w:pStyle w:val="TableContents"/>
              <w:bidi w:val="0"/>
              <w:spacing w:before="0" w:after="283"/>
              <w:jc w:val="left"/>
              <w:rPr/>
            </w:pPr>
            <w:r>
              <w:rPr/>
              <w:t> </w:t>
            </w:r>
          </w:p>
        </w:tc>
      </w:tr>
      <w:tr>
        <w:trPr/>
        <w:tc>
          <w:tcPr>
            <w:tcW w:w="522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9,469,867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141,947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7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1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9,611,814</w:t>
            </w:r>
          </w:p>
        </w:tc>
        <w:tc>
          <w:tcPr>
            <w:tcW w:w="110" w:type="dxa"/>
            <w:tcBorders/>
            <w:shd w:fill="FFFFFF" w:val="clear"/>
            <w:vAlign w:val="center"/>
          </w:tcPr>
          <w:p>
            <w:pPr>
              <w:pStyle w:val="TableContents"/>
              <w:bidi w:val="0"/>
              <w:spacing w:before="0" w:after="283"/>
              <w:jc w:val="left"/>
              <w:rPr/>
            </w:pPr>
            <w:r>
              <w:rPr/>
              <w:t> </w:t>
            </w:r>
          </w:p>
        </w:tc>
      </w:tr>
      <w:tr>
        <w:trPr/>
        <w:tc>
          <w:tcPr>
            <w:tcW w:w="52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Segment Adjusted EBITDA</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(6,572,002</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65,525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47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(6,506,477</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22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Transaction, PubCo. Expenses and Stock-based compensation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6,912,309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3"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7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1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6,912,309</w:t>
            </w:r>
          </w:p>
        </w:tc>
        <w:tc>
          <w:tcPr>
            <w:tcW w:w="110" w:type="dxa"/>
            <w:tcBorders/>
            <w:shd w:fill="FFFFFF" w:val="clear"/>
            <w:vAlign w:val="center"/>
          </w:tcPr>
          <w:p>
            <w:pPr>
              <w:pStyle w:val="TableContents"/>
              <w:bidi w:val="0"/>
              <w:spacing w:before="0" w:after="283"/>
              <w:jc w:val="left"/>
              <w:rPr/>
            </w:pPr>
            <w:r>
              <w:rPr/>
              <w:t> </w:t>
            </w:r>
          </w:p>
        </w:tc>
      </w:tr>
      <w:tr>
        <w:trPr/>
        <w:tc>
          <w:tcPr>
            <w:tcW w:w="52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Adjusted EBITDA</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(13,484,311</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5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7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65,525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72"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1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(13,418,786</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right"/>
              <w:rPr>
                <w:rFonts w:ascii="Times New Roman;Times;Serif" w:hAnsi="Times New Roman;Times;Serif"/>
                <w:position w:val="7"/>
                <w:sz w:val="16"/>
                <w:sz w:val="20"/>
              </w:rPr>
            </w:pPr>
            <w:r>
              <w:rPr>
                <w:rFonts w:ascii="Times New Roman;Times;Serif" w:hAnsi="Times New Roman;Times;Serif"/>
                <w:position w:val="7"/>
                <w:sz w:val="16"/>
                <w:sz w:val="20"/>
              </w:rPr>
              <w:t>1</w:t>
            </w:r>
          </w:p>
        </w:tc>
        <w:tc>
          <w:tcPr>
            <w:tcW w:w="100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Vidello acquisition occurred on January 31, 2025 (refer to </w:t>
            </w:r>
            <w:r>
              <w:rPr>
                <w:rFonts w:ascii="Times New Roman;Times;Serif" w:hAnsi="Times New Roman;Times;Serif"/>
                <w:i/>
                <w:sz w:val="20"/>
              </w:rPr>
              <w:t>Note 4 – Acquisitions</w:t>
            </w:r>
            <w:r>
              <w:rPr>
                <w:rFonts w:ascii="Times New Roman;Times;Serif" w:hAnsi="Times New Roman;Times;Serif"/>
                <w:sz w:val="20"/>
              </w:rPr>
              <w:t xml:space="preserve"> and therefore is presented at $0 for comparative purposes.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right"/>
              <w:rPr>
                <w:rFonts w:ascii="Times New Roman;Times;Serif" w:hAnsi="Times New Roman;Times;Serif"/>
                <w:position w:val="7"/>
                <w:sz w:val="16"/>
                <w:sz w:val="20"/>
              </w:rPr>
            </w:pPr>
            <w:r>
              <w:rPr>
                <w:rFonts w:ascii="Times New Roman;Times;Serif" w:hAnsi="Times New Roman;Times;Serif"/>
                <w:position w:val="7"/>
                <w:sz w:val="16"/>
                <w:sz w:val="20"/>
              </w:rPr>
              <w:t>2</w:t>
            </w:r>
          </w:p>
        </w:tc>
        <w:tc>
          <w:tcPr>
            <w:tcW w:w="100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Other segment expenses for each reportable segment includes travel and entertainment expenses, professional expenses other than those included in transaction and PubCo expenses, the SEPA commitment fee expense and deferred fee expense, the GEM warrant expense, and the GEM commitment fee expense.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reconciliation between EBITDA by reportable segment to consolidated net loss before income taxes for the years ended December 31, 2025, and 2024 is as follows: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Summary of Reconciliation Between Reportable Segment Adjusted EBITDA to Consolidated Net Loss Before Income Taxes </w:t>
      </w:r>
    </w:p>
    <w:tbl>
      <w:tblPr>
        <w:tblW w:w="8543" w:type="dxa"/>
        <w:jc w:val="left"/>
        <w:tblInd w:w="0" w:type="dxa"/>
        <w:tblLayout w:type="fixed"/>
        <w:tblCellMar>
          <w:top w:w="0" w:type="dxa"/>
          <w:left w:w="0" w:type="dxa"/>
          <w:bottom w:w="0" w:type="dxa"/>
          <w:right w:w="0" w:type="dxa"/>
        </w:tblCellMar>
      </w:tblPr>
      <w:tblGrid>
        <w:gridCol w:w="4310"/>
        <w:gridCol w:w="60"/>
        <w:gridCol w:w="208"/>
        <w:gridCol w:w="1746"/>
        <w:gridCol w:w="95"/>
        <w:gridCol w:w="60"/>
        <w:gridCol w:w="208"/>
        <w:gridCol w:w="1746"/>
        <w:gridCol w:w="110"/>
      </w:tblGrid>
      <w:tr>
        <w:trPr/>
        <w:tc>
          <w:tcPr>
            <w:tcW w:w="43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 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 2024</w:t>
            </w:r>
          </w:p>
        </w:tc>
        <w:tc>
          <w:tcPr>
            <w:tcW w:w="110" w:type="dxa"/>
            <w:tcBorders/>
            <w:vAlign w:val="center"/>
          </w:tcPr>
          <w:p>
            <w:pPr>
              <w:pStyle w:val="TableContents"/>
              <w:bidi w:val="0"/>
              <w:spacing w:before="0" w:after="283"/>
              <w:jc w:val="left"/>
              <w:rPr/>
            </w:pPr>
            <w:r>
              <w:rPr/>
              <w:t> </w:t>
            </w:r>
          </w:p>
        </w:tc>
      </w:tr>
      <w:tr>
        <w:trPr/>
        <w:tc>
          <w:tcPr>
            <w:tcW w:w="43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EBITDA by segment</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74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74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3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Banzai Operating Co.</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7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(17,434,219</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7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(13,484,311</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3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OpenReel</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7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(418,092</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7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65,525</w:t>
            </w:r>
          </w:p>
        </w:tc>
        <w:tc>
          <w:tcPr>
            <w:tcW w:w="110" w:type="dxa"/>
            <w:tcBorders/>
            <w:shd w:fill="CCEEFF" w:val="clear"/>
            <w:vAlign w:val="center"/>
          </w:tcPr>
          <w:p>
            <w:pPr>
              <w:pStyle w:val="TableContents"/>
              <w:bidi w:val="0"/>
              <w:spacing w:before="0" w:after="283"/>
              <w:jc w:val="left"/>
              <w:rPr/>
            </w:pPr>
            <w:r>
              <w:rPr/>
              <w:t> </w:t>
            </w:r>
          </w:p>
        </w:tc>
      </w:tr>
      <w:tr>
        <w:trPr/>
        <w:tc>
          <w:tcPr>
            <w:tcW w:w="43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Vidello</w:t>
            </w:r>
          </w:p>
        </w:tc>
        <w:tc>
          <w:tcPr>
            <w:tcW w:w="60" w:type="dxa"/>
            <w:tcBorders/>
            <w:shd w:fill="FFFFFF" w:val="clear"/>
            <w:vAlign w:val="center"/>
          </w:tcPr>
          <w:p>
            <w:pPr>
              <w:pStyle w:val="TableContents"/>
              <w:bidi w:val="0"/>
              <w:spacing w:before="0" w:after="283"/>
              <w:jc w:val="left"/>
              <w:rPr/>
            </w:pPr>
            <w:r>
              <w:rPr/>
              <w:t> </w:t>
            </w:r>
          </w:p>
        </w:tc>
        <w:tc>
          <w:tcPr>
            <w:tcW w:w="20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74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537,801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746"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43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7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(17,314,510</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7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(13,418,786</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3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74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746"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310" w:type="dxa"/>
            <w:tcBorders/>
            <w:shd w:fill="CCEEFF" w:val="cle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Reconciliation to loss before income taxes:</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74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74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3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income</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7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(2,955</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7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3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expense</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7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7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CCEEFF" w:val="clear"/>
            <w:vAlign w:val="center"/>
          </w:tcPr>
          <w:p>
            <w:pPr>
              <w:pStyle w:val="TableContents"/>
              <w:bidi w:val="0"/>
              <w:spacing w:before="0" w:after="283"/>
              <w:jc w:val="left"/>
              <w:rPr/>
            </w:pPr>
            <w:r>
              <w:rPr/>
              <w:t> </w:t>
            </w:r>
          </w:p>
        </w:tc>
      </w:tr>
      <w:tr>
        <w:trPr/>
        <w:tc>
          <w:tcPr>
            <w:tcW w:w="43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expense – related party</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7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1,156,984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7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3,047,101</w:t>
            </w:r>
          </w:p>
        </w:tc>
        <w:tc>
          <w:tcPr>
            <w:tcW w:w="110" w:type="dxa"/>
            <w:tcBorders/>
            <w:shd w:fill="FFFFFF" w:val="clear"/>
            <w:vAlign w:val="center"/>
          </w:tcPr>
          <w:p>
            <w:pPr>
              <w:pStyle w:val="TableContents"/>
              <w:bidi w:val="0"/>
              <w:spacing w:before="0" w:after="283"/>
              <w:jc w:val="left"/>
              <w:rPr/>
            </w:pPr>
            <w:r>
              <w:rPr/>
              <w:t> </w:t>
            </w:r>
          </w:p>
        </w:tc>
      </w:tr>
      <w:tr>
        <w:trPr/>
        <w:tc>
          <w:tcPr>
            <w:tcW w:w="43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expense</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7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1,156,984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7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3,047,101</w:t>
            </w:r>
          </w:p>
        </w:tc>
        <w:tc>
          <w:tcPr>
            <w:tcW w:w="110" w:type="dxa"/>
            <w:tcBorders/>
            <w:shd w:fill="FFFFFF" w:val="clear"/>
            <w:vAlign w:val="center"/>
          </w:tcPr>
          <w:p>
            <w:pPr>
              <w:pStyle w:val="TableContents"/>
              <w:bidi w:val="0"/>
              <w:spacing w:before="0" w:after="283"/>
              <w:jc w:val="left"/>
              <w:rPr/>
            </w:pPr>
            <w:r>
              <w:rPr/>
              <w:t> </w:t>
            </w:r>
          </w:p>
        </w:tc>
      </w:tr>
      <w:tr>
        <w:trPr/>
        <w:tc>
          <w:tcPr>
            <w:tcW w:w="43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Depreciation and amortization expense</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7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1,150,471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7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24,179</w:t>
            </w:r>
          </w:p>
        </w:tc>
        <w:tc>
          <w:tcPr>
            <w:tcW w:w="110" w:type="dxa"/>
            <w:tcBorders/>
            <w:shd w:fill="CCEEFF" w:val="clear"/>
            <w:vAlign w:val="center"/>
          </w:tcPr>
          <w:p>
            <w:pPr>
              <w:pStyle w:val="TableContents"/>
              <w:bidi w:val="0"/>
              <w:spacing w:before="0" w:after="283"/>
              <w:jc w:val="left"/>
              <w:rPr/>
            </w:pPr>
            <w:r>
              <w:rPr/>
              <w:t> </w:t>
            </w:r>
          </w:p>
        </w:tc>
      </w:tr>
      <w:tr>
        <w:trPr/>
        <w:tc>
          <w:tcPr>
            <w:tcW w:w="43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conversion of liabilities</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7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7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11,338,284</w:t>
            </w:r>
          </w:p>
        </w:tc>
        <w:tc>
          <w:tcPr>
            <w:tcW w:w="110" w:type="dxa"/>
            <w:tcBorders/>
            <w:shd w:fill="FFFFFF" w:val="clear"/>
            <w:vAlign w:val="center"/>
          </w:tcPr>
          <w:p>
            <w:pPr>
              <w:pStyle w:val="TableContents"/>
              <w:bidi w:val="0"/>
              <w:spacing w:before="0" w:after="283"/>
              <w:jc w:val="left"/>
              <w:rPr/>
            </w:pPr>
            <w:r>
              <w:rPr/>
              <w:t> </w:t>
            </w:r>
          </w:p>
        </w:tc>
      </w:tr>
      <w:tr>
        <w:trPr/>
        <w:tc>
          <w:tcPr>
            <w:tcW w:w="43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Gain on extinguishment of liabilities, net</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7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(2,085,895</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7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390,801</w:t>
            </w:r>
          </w:p>
        </w:tc>
        <w:tc>
          <w:tcPr>
            <w:tcW w:w="110" w:type="dxa"/>
            <w:tcBorders/>
            <w:shd w:fill="CCEEFF" w:val="clear"/>
            <w:vAlign w:val="center"/>
          </w:tcPr>
          <w:p>
            <w:pPr>
              <w:pStyle w:val="TableContents"/>
              <w:bidi w:val="0"/>
              <w:spacing w:before="0" w:after="283"/>
              <w:jc w:val="left"/>
              <w:rPr/>
            </w:pPr>
            <w:r>
              <w:rPr/>
              <w:t> </w:t>
            </w:r>
          </w:p>
        </w:tc>
      </w:tr>
      <w:tr>
        <w:trPr/>
        <w:tc>
          <w:tcPr>
            <w:tcW w:w="43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Gain on release of Vidello revenue holdback</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7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(973,000</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7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FFFFFF" w:val="clear"/>
            <w:vAlign w:val="center"/>
          </w:tcPr>
          <w:p>
            <w:pPr>
              <w:pStyle w:val="TableContents"/>
              <w:bidi w:val="0"/>
              <w:spacing w:before="0" w:after="283"/>
              <w:jc w:val="left"/>
              <w:rPr/>
            </w:pPr>
            <w:r>
              <w:rPr/>
              <w:t> </w:t>
            </w:r>
          </w:p>
        </w:tc>
      </w:tr>
      <w:tr>
        <w:trPr/>
        <w:tc>
          <w:tcPr>
            <w:tcW w:w="43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Vidello earnout expense</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7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485,720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7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CCEEFF" w:val="clear"/>
            <w:vAlign w:val="center"/>
          </w:tcPr>
          <w:p>
            <w:pPr>
              <w:pStyle w:val="TableContents"/>
              <w:bidi w:val="0"/>
              <w:spacing w:before="0" w:after="283"/>
              <w:jc w:val="left"/>
              <w:rPr/>
            </w:pPr>
            <w:r>
              <w:rPr/>
              <w:t> </w:t>
            </w:r>
          </w:p>
        </w:tc>
      </w:tr>
      <w:tr>
        <w:trPr/>
        <w:tc>
          <w:tcPr>
            <w:tcW w:w="43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Failed acquisition costs</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7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1,382,002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7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FFFFFF" w:val="clear"/>
            <w:vAlign w:val="center"/>
          </w:tcPr>
          <w:p>
            <w:pPr>
              <w:pStyle w:val="TableContents"/>
              <w:bidi w:val="0"/>
              <w:spacing w:before="0" w:after="283"/>
              <w:jc w:val="left"/>
              <w:rPr/>
            </w:pPr>
            <w:r>
              <w:rPr/>
              <w:t> </w:t>
            </w:r>
          </w:p>
        </w:tc>
      </w:tr>
      <w:tr>
        <w:trPr/>
        <w:tc>
          <w:tcPr>
            <w:tcW w:w="43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Yorkville SEPA advances</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7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974,079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7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CCEEFF" w:val="clear"/>
            <w:vAlign w:val="center"/>
          </w:tcPr>
          <w:p>
            <w:pPr>
              <w:pStyle w:val="TableContents"/>
              <w:bidi w:val="0"/>
              <w:spacing w:before="0" w:after="283"/>
              <w:jc w:val="left"/>
              <w:rPr/>
            </w:pPr>
            <w:r>
              <w:rPr/>
              <w:t> </w:t>
            </w:r>
          </w:p>
        </w:tc>
      </w:tr>
      <w:tr>
        <w:trPr/>
        <w:tc>
          <w:tcPr>
            <w:tcW w:w="43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GEM settlement fee expense</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7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7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200,000</w:t>
            </w:r>
          </w:p>
        </w:tc>
        <w:tc>
          <w:tcPr>
            <w:tcW w:w="110" w:type="dxa"/>
            <w:tcBorders/>
            <w:shd w:fill="FFFFFF" w:val="clear"/>
            <w:vAlign w:val="center"/>
          </w:tcPr>
          <w:p>
            <w:pPr>
              <w:pStyle w:val="TableContents"/>
              <w:bidi w:val="0"/>
              <w:spacing w:before="0" w:after="283"/>
              <w:jc w:val="left"/>
              <w:rPr/>
            </w:pPr>
            <w:r>
              <w:rPr/>
              <w:t> </w:t>
            </w:r>
          </w:p>
        </w:tc>
      </w:tr>
      <w:tr>
        <w:trPr/>
        <w:tc>
          <w:tcPr>
            <w:tcW w:w="43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Yorkville prepayment premium expense</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7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7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80,760</w:t>
            </w:r>
          </w:p>
        </w:tc>
        <w:tc>
          <w:tcPr>
            <w:tcW w:w="110" w:type="dxa"/>
            <w:tcBorders/>
            <w:shd w:fill="CCEEFF" w:val="clear"/>
            <w:vAlign w:val="center"/>
          </w:tcPr>
          <w:p>
            <w:pPr>
              <w:pStyle w:val="TableContents"/>
              <w:bidi w:val="0"/>
              <w:spacing w:before="0" w:after="283"/>
              <w:jc w:val="left"/>
              <w:rPr/>
            </w:pPr>
            <w:r>
              <w:rPr/>
              <w:t> </w:t>
            </w:r>
          </w:p>
        </w:tc>
      </w:tr>
      <w:tr>
        <w:trPr/>
        <w:tc>
          <w:tcPr>
            <w:tcW w:w="43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debt issuance</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7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5,580,835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7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653,208</w:t>
            </w:r>
          </w:p>
        </w:tc>
        <w:tc>
          <w:tcPr>
            <w:tcW w:w="110" w:type="dxa"/>
            <w:tcBorders/>
            <w:shd w:fill="FFFFFF" w:val="clear"/>
            <w:vAlign w:val="center"/>
          </w:tcPr>
          <w:p>
            <w:pPr>
              <w:pStyle w:val="TableContents"/>
              <w:bidi w:val="0"/>
              <w:spacing w:before="0" w:after="283"/>
              <w:jc w:val="left"/>
              <w:rPr/>
            </w:pPr>
            <w:r>
              <w:rPr/>
              <w:t> </w:t>
            </w:r>
          </w:p>
        </w:tc>
      </w:tr>
      <w:tr>
        <w:trPr/>
        <w:tc>
          <w:tcPr>
            <w:tcW w:w="43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Changes in fair value of financial instruments</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7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(3,052,229</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7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(478,288</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3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Goodwill impairment</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7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7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2,725,460</w:t>
            </w:r>
          </w:p>
        </w:tc>
        <w:tc>
          <w:tcPr>
            <w:tcW w:w="110" w:type="dxa"/>
            <w:tcBorders/>
            <w:shd w:fill="FFFFFF" w:val="clear"/>
            <w:vAlign w:val="center"/>
          </w:tcPr>
          <w:p>
            <w:pPr>
              <w:pStyle w:val="TableContents"/>
              <w:bidi w:val="0"/>
              <w:spacing w:before="0" w:after="283"/>
              <w:jc w:val="left"/>
              <w:rPr/>
            </w:pPr>
            <w:r>
              <w:rPr/>
              <w:t> </w:t>
            </w:r>
          </w:p>
        </w:tc>
      </w:tr>
      <w:tr>
        <w:trPr/>
        <w:tc>
          <w:tcPr>
            <w:tcW w:w="43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w:t>
            </w:r>
          </w:p>
        </w:tc>
        <w:tc>
          <w:tcPr>
            <w:tcW w:w="60" w:type="dxa"/>
            <w:tcBorders/>
            <w:shd w:fill="CCEEFF" w:val="clear"/>
            <w:vAlign w:val="center"/>
          </w:tcPr>
          <w:p>
            <w:pPr>
              <w:pStyle w:val="TableContents"/>
              <w:bidi w:val="0"/>
              <w:spacing w:before="0" w:after="283"/>
              <w:jc w:val="left"/>
              <w:rPr/>
            </w:pPr>
            <w:r>
              <w:rPr/>
              <w:t> </w:t>
            </w:r>
          </w:p>
        </w:tc>
        <w:tc>
          <w:tcPr>
            <w:tcW w:w="20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4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(726,572</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0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4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113,108</w:t>
            </w:r>
          </w:p>
        </w:tc>
        <w:tc>
          <w:tcPr>
            <w:tcW w:w="110" w:type="dxa"/>
            <w:tcBorders/>
            <w:shd w:fill="CCEEFF" w:val="clear"/>
            <w:vAlign w:val="center"/>
          </w:tcPr>
          <w:p>
            <w:pPr>
              <w:pStyle w:val="TableContents"/>
              <w:bidi w:val="0"/>
              <w:spacing w:before="0" w:after="283"/>
              <w:jc w:val="left"/>
              <w:rPr/>
            </w:pPr>
            <w:r>
              <w:rPr/>
              <w:t> </w:t>
            </w:r>
          </w:p>
        </w:tc>
      </w:tr>
      <w:tr>
        <w:trPr/>
        <w:tc>
          <w:tcPr>
            <w:tcW w:w="43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before income taxes</w:t>
            </w:r>
          </w:p>
        </w:tc>
        <w:tc>
          <w:tcPr>
            <w:tcW w:w="60" w:type="dxa"/>
            <w:tcBorders/>
            <w:shd w:fill="FFFFFF" w:val="clear"/>
            <w:vAlign w:val="center"/>
          </w:tcPr>
          <w:p>
            <w:pPr>
              <w:pStyle w:val="TableContents"/>
              <w:bidi w:val="0"/>
              <w:spacing w:before="0" w:after="283"/>
              <w:jc w:val="left"/>
              <w:rPr/>
            </w:pPr>
            <w:r>
              <w:rPr/>
              <w:t> </w:t>
            </w:r>
          </w:p>
        </w:tc>
        <w:tc>
          <w:tcPr>
            <w:tcW w:w="20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74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(21,203,950</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0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74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(31,513,389</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F-50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Disaggregation of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Company’s percentage of revenue generated by SaaS product for the years ended December 31, 2025 and 2024:</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Summary of Company's Revenue Generated by Saas Product </w:t>
      </w:r>
    </w:p>
    <w:tbl>
      <w:tblPr>
        <w:tblW w:w="3986" w:type="dxa"/>
        <w:jc w:val="left"/>
        <w:tblInd w:w="0" w:type="dxa"/>
        <w:tblLayout w:type="fixed"/>
        <w:tblCellMar>
          <w:top w:w="0" w:type="dxa"/>
          <w:left w:w="0" w:type="dxa"/>
          <w:bottom w:w="28" w:type="dxa"/>
          <w:right w:w="0" w:type="dxa"/>
        </w:tblCellMar>
      </w:tblPr>
      <w:tblGrid>
        <w:gridCol w:w="1100"/>
        <w:gridCol w:w="60"/>
        <w:gridCol w:w="102"/>
        <w:gridCol w:w="961"/>
        <w:gridCol w:w="368"/>
        <w:gridCol w:w="102"/>
        <w:gridCol w:w="102"/>
        <w:gridCol w:w="961"/>
        <w:gridCol w:w="230"/>
      </w:tblGrid>
      <w:tr>
        <w:trPr/>
        <w:tc>
          <w:tcPr>
            <w:tcW w:w="1100" w:type="dxa"/>
            <w:tcBorders>
              <w:bottom w:val="single" w:sz="8" w:space="0" w:color="000000"/>
            </w:tcBorders>
            <w:vAlign w:val="center"/>
          </w:tcPr>
          <w:p>
            <w:pPr>
              <w:pStyle w:val="TableContents"/>
              <w:bidi w:val="0"/>
              <w:spacing w:before="0" w:after="283"/>
              <w:jc w:val="both"/>
              <w:rPr>
                <w:rFonts w:ascii="Times New Roman;Times;Serif" w:hAnsi="Times New Roman;Times;Serif"/>
                <w:i/>
              </w:rPr>
            </w:pPr>
            <w:r>
              <w:rPr>
                <w:rFonts w:ascii="Times New Roman;Times;Serif" w:hAnsi="Times New Roman;Times;Serif"/>
                <w:i/>
              </w:rPr>
              <w:t>Revenue %</w:t>
            </w:r>
          </w:p>
        </w:tc>
        <w:tc>
          <w:tcPr>
            <w:tcW w:w="60" w:type="dxa"/>
            <w:tcBorders/>
            <w:tcMar>
              <w:bottom w:w="0" w:type="dxa"/>
            </w:tcMar>
            <w:vAlign w:val="center"/>
          </w:tcPr>
          <w:p>
            <w:pPr>
              <w:pStyle w:val="TableContents"/>
              <w:bidi w:val="0"/>
              <w:spacing w:before="0" w:after="283"/>
              <w:jc w:val="left"/>
              <w:rPr/>
            </w:pPr>
            <w:r>
              <w:rPr/>
              <w:t> </w:t>
            </w:r>
          </w:p>
        </w:tc>
        <w:tc>
          <w:tcPr>
            <w:tcW w:w="1063"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rPr>
            </w:pPr>
            <w:r>
              <w:rPr>
                <w:rFonts w:ascii="Times New Roman;Times;Serif" w:hAnsi="Times New Roman;Times;Serif"/>
                <w:b/>
                <w:i/>
              </w:rPr>
              <w:t>2025</w:t>
            </w:r>
          </w:p>
        </w:tc>
        <w:tc>
          <w:tcPr>
            <w:tcW w:w="368" w:type="dxa"/>
            <w:tcBorders/>
            <w:tcMar>
              <w:bottom w:w="0" w:type="dxa"/>
            </w:tcMar>
            <w:vAlign w:val="center"/>
          </w:tcPr>
          <w:p>
            <w:pPr>
              <w:pStyle w:val="TableContents"/>
              <w:bidi w:val="0"/>
              <w:spacing w:before="0" w:after="283"/>
              <w:jc w:val="left"/>
              <w:rPr/>
            </w:pPr>
            <w:r>
              <w:rPr/>
              <w:t> </w:t>
            </w:r>
          </w:p>
        </w:tc>
        <w:tc>
          <w:tcPr>
            <w:tcW w:w="102" w:type="dxa"/>
            <w:tcBorders/>
            <w:tcMar>
              <w:bottom w:w="0" w:type="dxa"/>
            </w:tcMar>
            <w:vAlign w:val="center"/>
          </w:tcPr>
          <w:p>
            <w:pPr>
              <w:pStyle w:val="TableContents"/>
              <w:bidi w:val="0"/>
              <w:spacing w:before="0" w:after="283"/>
              <w:jc w:val="left"/>
              <w:rPr/>
            </w:pPr>
            <w:r>
              <w:rPr/>
              <w:t> </w:t>
            </w:r>
          </w:p>
        </w:tc>
        <w:tc>
          <w:tcPr>
            <w:tcW w:w="1063"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rPr>
            </w:pPr>
            <w:r>
              <w:rPr>
                <w:rFonts w:ascii="Times New Roman;Times;Serif" w:hAnsi="Times New Roman;Times;Serif"/>
                <w:b/>
                <w:i/>
              </w:rPr>
              <w:t>2024</w:t>
            </w:r>
          </w:p>
        </w:tc>
        <w:tc>
          <w:tcPr>
            <w:tcW w:w="230" w:type="dxa"/>
            <w:tcBorders/>
            <w:tcMar>
              <w:bottom w:w="0" w:type="dxa"/>
            </w:tcMar>
            <w:vAlign w:val="center"/>
          </w:tcPr>
          <w:p>
            <w:pPr>
              <w:pStyle w:val="TableContents"/>
              <w:bidi w:val="0"/>
              <w:spacing w:before="0" w:after="283"/>
              <w:jc w:val="left"/>
              <w:rPr/>
            </w:pPr>
            <w:r>
              <w:rPr/>
              <w:t> </w:t>
            </w:r>
          </w:p>
        </w:tc>
      </w:tr>
      <w:tr>
        <w:trPr/>
        <w:tc>
          <w:tcPr>
            <w:tcW w:w="1100"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left"/>
              <w:rPr/>
            </w:pPr>
            <w:r>
              <w:rPr/>
              <w:t> </w:t>
            </w:r>
          </w:p>
        </w:tc>
        <w:tc>
          <w:tcPr>
            <w:tcW w:w="2596" w:type="dxa"/>
            <w:gridSpan w:val="6"/>
            <w:tcBorders>
              <w:bottom w:val="single" w:sz="8" w:space="0" w:color="000000"/>
            </w:tcBorders>
            <w:vAlign w:val="center"/>
          </w:tcPr>
          <w:p>
            <w:pPr>
              <w:pStyle w:val="TableContents"/>
              <w:bidi w:val="0"/>
              <w:spacing w:before="0" w:after="283"/>
              <w:jc w:val="center"/>
              <w:rPr>
                <w:rFonts w:ascii="Times New Roman;Times;Serif" w:hAnsi="Times New Roman;Times;Serif"/>
                <w:b/>
                <w:i/>
              </w:rPr>
            </w:pPr>
            <w:r>
              <w:rPr>
                <w:rFonts w:ascii="Times New Roman;Times;Serif" w:hAnsi="Times New Roman;Times;Serif"/>
                <w:b/>
                <w:i/>
              </w:rPr>
              <w:t>Year Ended December 31,</w:t>
            </w:r>
          </w:p>
        </w:tc>
        <w:tc>
          <w:tcPr>
            <w:tcW w:w="230" w:type="dxa"/>
            <w:tcBorders/>
            <w:tcMar>
              <w:bottom w:w="0" w:type="dxa"/>
            </w:tcMar>
            <w:vAlign w:val="center"/>
          </w:tcPr>
          <w:p>
            <w:pPr>
              <w:pStyle w:val="TableContents"/>
              <w:bidi w:val="0"/>
              <w:spacing w:before="0" w:after="283"/>
              <w:jc w:val="left"/>
              <w:rPr/>
            </w:pPr>
            <w:r>
              <w:rPr/>
              <w:t> </w:t>
            </w:r>
          </w:p>
        </w:tc>
      </w:tr>
      <w:tr>
        <w:trPr/>
        <w:tc>
          <w:tcPr>
            <w:tcW w:w="1100" w:type="dxa"/>
            <w:tcBorders>
              <w:bottom w:val="single" w:sz="8" w:space="0" w:color="000000"/>
            </w:tcBorders>
            <w:vAlign w:val="center"/>
          </w:tcPr>
          <w:p>
            <w:pPr>
              <w:pStyle w:val="TableContents"/>
              <w:bidi w:val="0"/>
              <w:spacing w:before="0" w:after="283"/>
              <w:jc w:val="both"/>
              <w:rPr>
                <w:rFonts w:ascii="Times New Roman;Times;Serif" w:hAnsi="Times New Roman;Times;Serif"/>
                <w:i/>
              </w:rPr>
            </w:pPr>
            <w:r>
              <w:rPr>
                <w:rFonts w:ascii="Times New Roman;Times;Serif" w:hAnsi="Times New Roman;Times;Serif"/>
                <w:i/>
              </w:rPr>
              <w:t>Revenue %</w:t>
            </w:r>
          </w:p>
        </w:tc>
        <w:tc>
          <w:tcPr>
            <w:tcW w:w="60" w:type="dxa"/>
            <w:tcBorders/>
            <w:tcMar>
              <w:bottom w:w="0" w:type="dxa"/>
            </w:tcMar>
            <w:vAlign w:val="center"/>
          </w:tcPr>
          <w:p>
            <w:pPr>
              <w:pStyle w:val="TableContents"/>
              <w:bidi w:val="0"/>
              <w:spacing w:before="0" w:after="283"/>
              <w:jc w:val="left"/>
              <w:rPr/>
            </w:pPr>
            <w:r>
              <w:rPr/>
              <w:t> </w:t>
            </w:r>
          </w:p>
        </w:tc>
        <w:tc>
          <w:tcPr>
            <w:tcW w:w="1063"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rPr>
            </w:pPr>
            <w:r>
              <w:rPr>
                <w:rFonts w:ascii="Times New Roman;Times;Serif" w:hAnsi="Times New Roman;Times;Serif"/>
                <w:b/>
                <w:i/>
              </w:rPr>
              <w:t>2025</w:t>
            </w:r>
          </w:p>
        </w:tc>
        <w:tc>
          <w:tcPr>
            <w:tcW w:w="368" w:type="dxa"/>
            <w:tcBorders/>
            <w:tcMar>
              <w:bottom w:w="0" w:type="dxa"/>
            </w:tcMar>
            <w:vAlign w:val="center"/>
          </w:tcPr>
          <w:p>
            <w:pPr>
              <w:pStyle w:val="TableContents"/>
              <w:bidi w:val="0"/>
              <w:spacing w:before="0" w:after="283"/>
              <w:jc w:val="left"/>
              <w:rPr/>
            </w:pPr>
            <w:r>
              <w:rPr/>
              <w:t> </w:t>
            </w:r>
          </w:p>
        </w:tc>
        <w:tc>
          <w:tcPr>
            <w:tcW w:w="102" w:type="dxa"/>
            <w:tcBorders/>
            <w:tcMar>
              <w:bottom w:w="0" w:type="dxa"/>
            </w:tcMar>
            <w:vAlign w:val="center"/>
          </w:tcPr>
          <w:p>
            <w:pPr>
              <w:pStyle w:val="TableContents"/>
              <w:bidi w:val="0"/>
              <w:spacing w:before="0" w:after="283"/>
              <w:jc w:val="left"/>
              <w:rPr/>
            </w:pPr>
            <w:r>
              <w:rPr/>
              <w:t> </w:t>
            </w:r>
          </w:p>
        </w:tc>
        <w:tc>
          <w:tcPr>
            <w:tcW w:w="1063"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rPr>
            </w:pPr>
            <w:r>
              <w:rPr>
                <w:rFonts w:ascii="Times New Roman;Times;Serif" w:hAnsi="Times New Roman;Times;Serif"/>
                <w:b/>
                <w:i/>
              </w:rPr>
              <w:t>2024</w:t>
            </w:r>
          </w:p>
        </w:tc>
        <w:tc>
          <w:tcPr>
            <w:tcW w:w="230" w:type="dxa"/>
            <w:tcBorders/>
            <w:tcMar>
              <w:bottom w:w="0" w:type="dxa"/>
            </w:tcMar>
            <w:vAlign w:val="center"/>
          </w:tcPr>
          <w:p>
            <w:pPr>
              <w:pStyle w:val="TableContents"/>
              <w:bidi w:val="0"/>
              <w:spacing w:before="0" w:after="283"/>
              <w:jc w:val="left"/>
              <w:rPr/>
            </w:pPr>
            <w:r>
              <w:rPr/>
              <w:t> </w:t>
            </w:r>
          </w:p>
        </w:tc>
      </w:tr>
      <w:tr>
        <w:trPr/>
        <w:tc>
          <w:tcPr>
            <w:tcW w:w="1100"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Reach</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961"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w:t>
            </w:r>
          </w:p>
        </w:tc>
        <w:tc>
          <w:tcPr>
            <w:tcW w:w="368"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2"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961"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w:t>
            </w:r>
          </w:p>
        </w:tc>
        <w:tc>
          <w:tcPr>
            <w:tcW w:w="23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1100"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Demio</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2" w:type="dxa"/>
            <w:tcBorders/>
            <w:shd w:fill="FFFFFF" w:val="clear"/>
            <w:tcMar>
              <w:bottom w:w="0" w:type="dxa"/>
            </w:tcMar>
            <w:vAlign w:val="center"/>
          </w:tcPr>
          <w:p>
            <w:pPr>
              <w:pStyle w:val="TableContents"/>
              <w:bidi w:val="0"/>
              <w:spacing w:before="0" w:after="283"/>
              <w:jc w:val="left"/>
              <w:rPr/>
            </w:pPr>
            <w:r>
              <w:rPr/>
              <w:t> </w:t>
            </w:r>
          </w:p>
        </w:tc>
        <w:tc>
          <w:tcPr>
            <w:tcW w:w="961"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34.2</w:t>
            </w:r>
          </w:p>
        </w:tc>
        <w:tc>
          <w:tcPr>
            <w:tcW w:w="368"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2" w:type="dxa"/>
            <w:tcBorders/>
            <w:shd w:fill="FFFFFF" w:val="clear"/>
            <w:tcMar>
              <w:bottom w:w="0" w:type="dxa"/>
            </w:tcMar>
            <w:vAlign w:val="center"/>
          </w:tcPr>
          <w:p>
            <w:pPr>
              <w:pStyle w:val="TableContents"/>
              <w:bidi w:val="0"/>
              <w:spacing w:before="0" w:after="283"/>
              <w:jc w:val="left"/>
              <w:rPr/>
            </w:pPr>
            <w:r>
              <w:rPr/>
              <w:t> </w:t>
            </w:r>
          </w:p>
        </w:tc>
        <w:tc>
          <w:tcPr>
            <w:tcW w:w="102" w:type="dxa"/>
            <w:tcBorders/>
            <w:shd w:fill="FFFFFF" w:val="clear"/>
            <w:tcMar>
              <w:bottom w:w="0" w:type="dxa"/>
            </w:tcMar>
            <w:vAlign w:val="center"/>
          </w:tcPr>
          <w:p>
            <w:pPr>
              <w:pStyle w:val="TableContents"/>
              <w:bidi w:val="0"/>
              <w:spacing w:before="0" w:after="283"/>
              <w:jc w:val="left"/>
              <w:rPr/>
            </w:pPr>
            <w:r>
              <w:rPr/>
              <w:t> </w:t>
            </w:r>
          </w:p>
        </w:tc>
        <w:tc>
          <w:tcPr>
            <w:tcW w:w="961"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91.0</w:t>
            </w:r>
          </w:p>
        </w:tc>
        <w:tc>
          <w:tcPr>
            <w:tcW w:w="23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1100"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OpenReel </w:t>
            </w:r>
            <w:r>
              <w:rPr>
                <w:rFonts w:ascii="Times New Roman;Times;Serif" w:hAnsi="Times New Roman;Times;Serif"/>
                <w:position w:val="7"/>
                <w:sz w:val="16"/>
                <w:sz w:val="20"/>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961"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45.0</w:t>
            </w:r>
          </w:p>
        </w:tc>
        <w:tc>
          <w:tcPr>
            <w:tcW w:w="368"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2"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961"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w:t>
            </w:r>
          </w:p>
        </w:tc>
        <w:tc>
          <w:tcPr>
            <w:tcW w:w="23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1100"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Vidello </w:t>
            </w:r>
            <w:r>
              <w:rPr>
                <w:rFonts w:ascii="Times New Roman;Times;Serif" w:hAnsi="Times New Roman;Times;Serif"/>
                <w:position w:val="7"/>
                <w:sz w:val="16"/>
                <w:sz w:val="20"/>
              </w:rPr>
              <w:t>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2" w:type="dxa"/>
            <w:tcBorders>
              <w:bottom w:val="single" w:sz="8" w:space="0" w:color="000000"/>
            </w:tcBorders>
            <w:shd w:fill="FFFFFF" w:val="clear"/>
            <w:vAlign w:val="center"/>
          </w:tcPr>
          <w:p>
            <w:pPr>
              <w:pStyle w:val="TableContents"/>
              <w:bidi w:val="0"/>
              <w:spacing w:before="0" w:after="283"/>
              <w:jc w:val="left"/>
              <w:rPr/>
            </w:pPr>
            <w:r>
              <w:rPr/>
              <w:t> </w:t>
            </w:r>
          </w:p>
        </w:tc>
        <w:tc>
          <w:tcPr>
            <w:tcW w:w="961"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18.6</w:t>
            </w:r>
          </w:p>
        </w:tc>
        <w:tc>
          <w:tcPr>
            <w:tcW w:w="368"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2" w:type="dxa"/>
            <w:tcBorders/>
            <w:shd w:fill="FFFFFF" w:val="clear"/>
            <w:tcMar>
              <w:bottom w:w="0" w:type="dxa"/>
            </w:tcMar>
            <w:vAlign w:val="center"/>
          </w:tcPr>
          <w:p>
            <w:pPr>
              <w:pStyle w:val="TableContents"/>
              <w:bidi w:val="0"/>
              <w:spacing w:before="0" w:after="283"/>
              <w:jc w:val="left"/>
              <w:rPr/>
            </w:pPr>
            <w:r>
              <w:rPr/>
              <w:t> </w:t>
            </w:r>
          </w:p>
        </w:tc>
        <w:tc>
          <w:tcPr>
            <w:tcW w:w="102" w:type="dxa"/>
            <w:tcBorders>
              <w:bottom w:val="single" w:sz="8" w:space="0" w:color="000000"/>
            </w:tcBorders>
            <w:shd w:fill="FFFFFF" w:val="clear"/>
            <w:vAlign w:val="center"/>
          </w:tcPr>
          <w:p>
            <w:pPr>
              <w:pStyle w:val="TableContents"/>
              <w:bidi w:val="0"/>
              <w:spacing w:before="0" w:after="283"/>
              <w:jc w:val="left"/>
              <w:rPr/>
            </w:pPr>
            <w:r>
              <w:rPr/>
              <w:t> </w:t>
            </w:r>
          </w:p>
        </w:tc>
        <w:tc>
          <w:tcPr>
            <w:tcW w:w="961" w:type="dxa"/>
            <w:tcBorders>
              <w:bottom w:val="single" w:sz="8" w:space="0" w:color="000000"/>
            </w:tcBorders>
            <w:shd w:fill="FFFFFF" w:val="clear"/>
            <w:vAlign w:val="center"/>
          </w:tcPr>
          <w:p>
            <w:pPr>
              <w:pStyle w:val="TableContents"/>
              <w:bidi w:val="0"/>
              <w:spacing w:before="0" w:after="283"/>
              <w:jc w:val="right"/>
              <w:rPr/>
            </w:pPr>
            <w:r>
              <w:rPr/>
              <w:t>—</w:t>
            </w:r>
          </w:p>
        </w:tc>
        <w:tc>
          <w:tcPr>
            <w:tcW w:w="23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1100"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 w:type="dxa"/>
            <w:tcBorders>
              <w:bottom w:val="double" w:sz="6" w:space="0" w:color="000000"/>
            </w:tcBorders>
            <w:shd w:fill="CCEEFF" w:val="clear"/>
            <w:vAlign w:val="center"/>
          </w:tcPr>
          <w:p>
            <w:pPr>
              <w:pStyle w:val="TableContents"/>
              <w:bidi w:val="0"/>
              <w:spacing w:before="0" w:after="283"/>
              <w:jc w:val="left"/>
              <w:rPr/>
            </w:pPr>
            <w:r>
              <w:rPr/>
              <w:t> </w:t>
            </w:r>
          </w:p>
        </w:tc>
        <w:tc>
          <w:tcPr>
            <w:tcW w:w="961"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w:t>
            </w:r>
          </w:p>
        </w:tc>
        <w:tc>
          <w:tcPr>
            <w:tcW w:w="368"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2" w:type="dxa"/>
            <w:tcBorders/>
            <w:shd w:fill="CCEEFF" w:val="clear"/>
            <w:tcMar>
              <w:bottom w:w="0" w:type="dxa"/>
            </w:tcMar>
            <w:vAlign w:val="center"/>
          </w:tcPr>
          <w:p>
            <w:pPr>
              <w:pStyle w:val="TableContents"/>
              <w:bidi w:val="0"/>
              <w:spacing w:before="0" w:after="283"/>
              <w:jc w:val="left"/>
              <w:rPr/>
            </w:pPr>
            <w:r>
              <w:rPr/>
              <w:t> </w:t>
            </w:r>
          </w:p>
        </w:tc>
        <w:tc>
          <w:tcPr>
            <w:tcW w:w="102" w:type="dxa"/>
            <w:tcBorders>
              <w:bottom w:val="double" w:sz="6" w:space="0" w:color="000000"/>
            </w:tcBorders>
            <w:shd w:fill="CCEEFF" w:val="clear"/>
            <w:vAlign w:val="center"/>
          </w:tcPr>
          <w:p>
            <w:pPr>
              <w:pStyle w:val="TableContents"/>
              <w:bidi w:val="0"/>
              <w:spacing w:before="0" w:after="283"/>
              <w:jc w:val="left"/>
              <w:rPr/>
            </w:pPr>
            <w:r>
              <w:rPr/>
              <w:t> </w:t>
            </w:r>
          </w:p>
        </w:tc>
        <w:tc>
          <w:tcPr>
            <w:tcW w:w="961"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w:t>
            </w:r>
          </w:p>
        </w:tc>
        <w:tc>
          <w:tcPr>
            <w:tcW w:w="23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1100"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Percentage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 w:type="dxa"/>
            <w:tcBorders>
              <w:bottom w:val="double" w:sz="6" w:space="0" w:color="000000"/>
            </w:tcBorders>
            <w:shd w:fill="CCEEFF" w:val="clear"/>
            <w:vAlign w:val="center"/>
          </w:tcPr>
          <w:p>
            <w:pPr>
              <w:pStyle w:val="TableContents"/>
              <w:bidi w:val="0"/>
              <w:spacing w:before="0" w:after="283"/>
              <w:jc w:val="left"/>
              <w:rPr/>
            </w:pPr>
            <w:r>
              <w:rPr/>
              <w:t> </w:t>
            </w:r>
          </w:p>
        </w:tc>
        <w:tc>
          <w:tcPr>
            <w:tcW w:w="961"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w:t>
            </w:r>
          </w:p>
        </w:tc>
        <w:tc>
          <w:tcPr>
            <w:tcW w:w="368"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2" w:type="dxa"/>
            <w:tcBorders/>
            <w:shd w:fill="CCEEFF" w:val="clear"/>
            <w:tcMar>
              <w:bottom w:w="0" w:type="dxa"/>
            </w:tcMar>
            <w:vAlign w:val="center"/>
          </w:tcPr>
          <w:p>
            <w:pPr>
              <w:pStyle w:val="TableContents"/>
              <w:bidi w:val="0"/>
              <w:spacing w:before="0" w:after="283"/>
              <w:jc w:val="left"/>
              <w:rPr/>
            </w:pPr>
            <w:r>
              <w:rPr/>
              <w:t> </w:t>
            </w:r>
          </w:p>
        </w:tc>
        <w:tc>
          <w:tcPr>
            <w:tcW w:w="102" w:type="dxa"/>
            <w:tcBorders>
              <w:bottom w:val="double" w:sz="6" w:space="0" w:color="000000"/>
            </w:tcBorders>
            <w:shd w:fill="CCEEFF" w:val="clear"/>
            <w:vAlign w:val="center"/>
          </w:tcPr>
          <w:p>
            <w:pPr>
              <w:pStyle w:val="TableContents"/>
              <w:bidi w:val="0"/>
              <w:spacing w:before="0" w:after="283"/>
              <w:jc w:val="left"/>
              <w:rPr/>
            </w:pPr>
            <w:r>
              <w:rPr/>
              <w:t> </w:t>
            </w:r>
          </w:p>
        </w:tc>
        <w:tc>
          <w:tcPr>
            <w:tcW w:w="961"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w:t>
            </w:r>
          </w:p>
        </w:tc>
        <w:tc>
          <w:tcPr>
            <w:tcW w:w="23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disaggregation of revenue by geographic area, refer to </w:t>
      </w:r>
      <w:r>
        <w:rPr>
          <w:rFonts w:ascii="Times New Roman;Times;Serif" w:hAnsi="Times New Roman;Times;Serif"/>
          <w:b w:val="false"/>
          <w:i/>
          <w:caps w:val="false"/>
          <w:smallCaps w:val="false"/>
          <w:sz w:val="20"/>
        </w:rPr>
        <w:t>Note 6 – Revenue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 Subsequent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Exchange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to December 31, 2025, on January 27, 2026, February 9, 2026, February 25, 2026, and March 30, 2026, the Company entered into exchange agreements with Agile pursuant to which the Company issued an aggregate of approximately 586,000 shares of its Class A Common Stock in exchange for aggregate reductions of approximately $660,000 in the outstanding balance of the March Agile Note. Following these exchanges, the outstanding balance of the March Agile Note was reduced to approximately $1.3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Vesting of Employee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March 31, 2026, approximately 684,000 RSUs granted to employees vested into shares of Class A Common Stock. In addition, the Company will issue 376,884 shares of Class B Common Stock to the Company’s CEO, of which, approximately 251,256 shares relate to a tranche of the CEO Award vesting upon achieving a market capitalization threshold, and the remaining 125,628 shares relate to the CEO’s 2025 bonus payment. See </w:t>
      </w:r>
      <w:r>
        <w:rPr>
          <w:rFonts w:ascii="Times New Roman;Times;Serif" w:hAnsi="Times New Roman;Times;Serif"/>
          <w:b w:val="false"/>
          <w:i/>
          <w:caps w:val="false"/>
          <w:smallCaps w:val="false"/>
          <w:sz w:val="20"/>
        </w:rPr>
        <w:t>Note 16, Stock-Based Compensation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Yorkville Advanced Notice Settlements and Conversions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 January 1, 2026 and March 31, 2026, the Company issued Advance Notices to Yorkville pursuant to the SEPA in which the Company requested the purchase of approximately 635,000 shares of the Company’s Class A Common Stock at an aggregate gross value of approximately $700 thousand, and net proceeds of approximately $670 thousand were applied against the outstanding Yorkville Convertible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Private Placement Offering (3i, LP)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13, 2026, the parties held an additional closing pursuant to the terms of the Purchase Agreement (the “February Closing”). The Company issued an additional note in the original principal amount of $2,333,333, with an initial conversion price equal to $1.11 per share and issuance date of February 13, 2026 (the “February 3i Note,” together with the August Note, the October Note, and the Initial Note, are collectively referred to herein as the “Notes”), and additional warrants to purchase up to 420,000 shares of Common Stock, at an initial exercise price equal to $2.50 per share (the “February Warrants,” together with the August Warrant, the October Warrants, August Warrants and the Initial Buyer Warrants, are collectively referred to herein as the “Buyer Warrants”), in the February Closing. The February Note matures on February 13, 2027. Other than the maturity date of the February Note and February Warrants, respectively, the February Note and February Warrants have the same terms as those issued on the August Closing, the October Closing and the Initial Closing Date. Upon the issuance of the February Note, the Company received proceeds of approximately $1.6 million, net of original issue discount and issuance fees and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February Note was issued with an original issue discount of 10.0% (the “OID”), as were the other Notes issued on the August Closing, the October Closing and the Initial Closing Date and accrue interest at a rate of 10.0% per annum. The Notes mature 12 months from the date of issuance (the “Maturity Date”), unless extended pursuant to the terms thereof. The Notes are convertible (in whole or in part) at any time prior to the Maturity Date into the number of shares of Common Stock equal to quotient of the Conversion Amount divided by (y) the Conversion Price (the “Conversion Rate”). At no time may the Buyer hold more than 4.99% (or up to 9.99% at the election of the Buyers pursuant to the Notes) of the outstanding Common Stock. The conversion price of the October Note is subject to a floor price of $0.254.</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F-51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1800 Diagonal Issuance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12, 2026 and March 17, 2026, the Company issued the eleventh and twelfth promissory notes (the “January 1800 Diagonal Note and “March 1800 Diagonal Note,” respectively) for an aggregate principal amount of approximately $296 thousand and $180 thousand, respectively, and received net proceeds of approximately $250 thousand and $157 thousand, respectively, after discount and transaction fees. The notes have maturity dates of October 15, 2026 and December 15, 2026, respectively and bear interest at 14% per annum.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Common Stock Issuances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3i, LP Conversions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 January 1, 2026 and March 31, 2026, the Buyer exercised its contractual conversion option multiple times under the August 3i Note, the October 3i Note, and the February 3i Note and received an aggregate of approximately 2.9 million shares of Class A Common Stock at conversion prices per share ranging from $0.83 to $1.10 in satisfaction of approximately $2.7 million of the Company’s obligations under the respective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1800 Diagonal Conversions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 January 1, 2026 and March 31, 2026, the Lender exercised its contractual conversion option multiple times under the July 1800 Diagonal Note and September 1800 Diagonal Note and received an aggregate of approximately 476 thousand shares of Class A Common Stock at conversion prices ranging from $0.825 to $0.930 in satisfaction of approximately $392 thousand of the Company’s obligations under the respective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At the Market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to December 31, 2025, the Company issued approximately 2.1 million shares under the ATM Agreement for net proceeds of approximately $2.7 million. The aggregate market value of the shares of Class A Common Stock eligible for sale under the ATM Prospectus Supplement is approximately $1.5 million as of March 31, 2026, which is based on the limitations of General Instruction I.B.6 of Form S-3.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Transaction Announcement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23, 2026, the Company announced that it reached an agreement on terms to acquire assets of ConnectAndSell, Inc. (“ConnectandSell”), an AI-powered sales enablement platform serving B2B organizations across financial services, healthcare, technology, and other industries. The acquisition is expected to increase Banzai’s annual revenue by approximately $15 million. The two companies have executed a non-binding letter of intent, and the final transaction is expected to close in early second quarter 2026, subject to execution of a definitive agreement and closing conditions.</w:t>
      </w:r>
    </w:p>
    <w:p>
      <w:pPr>
        <w:pStyle w:val="TextBody"/>
        <w:bidi w:val="0"/>
        <w:spacing w:before="0" w:after="0"/>
        <w:ind w:left="0" w:right="0" w:hanging="0"/>
        <w:jc w:val="center"/>
        <w:rPr>
          <w:caps w:val="false"/>
          <w:smallCaps w:val="false"/>
          <w:color w:val="FF0000"/>
        </w:rPr>
      </w:pPr>
      <w:r>
        <w:rPr>
          <w:caps w:val="false"/>
          <w:smallCaps w:val="false"/>
          <w:color w:val="FF0000"/>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F-52</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color w:val="FF0000"/>
        </w:rPr>
      </w:pPr>
      <w:r>
        <w:rPr>
          <w:caps w:val="false"/>
          <w:smallCaps w:val="false"/>
          <w:color w:val="FF0000"/>
        </w:rPr>
        <w:t> </w:t>
      </w:r>
    </w:p>
    <w:p>
      <w:pPr>
        <w:pStyle w:val="TextBody"/>
        <w:bidi w:val="0"/>
        <w:spacing w:before="0" w:after="0"/>
        <w:ind w:left="0" w:right="0" w:hanging="0"/>
        <w:jc w:val="center"/>
        <w:rPr>
          <w:caps w:val="false"/>
          <w:smallCaps w:val="false"/>
          <w:color w:val="FF0000"/>
        </w:rPr>
      </w:pPr>
      <w:r>
        <w:rPr>
          <w:caps w:val="false"/>
          <w:smallCaps w:val="false"/>
          <w:color w:val="FF0000"/>
        </w:rPr>
        <w:drawing>
          <wp:inline distT="0" distB="0" distL="0" distR="0">
            <wp:extent cx="2381250" cy="5524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381250" cy="55245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2,076,842 shares</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of Class A Common Stock underlying Convertible Notes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April 27, 2026</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106168</Words>
  <Characters>568876</Characters>
  <CharactersWithSpaces>679634</CharactersWithSpaces>
  <Paragraphs>16446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