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333-292024</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1</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April 27, 2026)</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2,076,842 shares of Class A Common Stock underlying Convertible Notes</w:t>
      </w:r>
    </w:p>
    <w:p>
      <w:pPr>
        <w:spacing w:after="0" w:line="256" w:lineRule="exact"/>
        <w:rPr>
          <w:sz w:val="24"/>
          <w:szCs w:val="24"/>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This prospectus supplement updates, amends and supplements the prospectus dated April 27, 2026 (the “Prospectus”), which forms a part of our Registration Statement on Form S-1 (Registration No. 333-292024). Capitalized terms used in this prospectus supplement and not otherwise defined herein have the meanings specified in the Prospectus.</w:t>
      </w:r>
    </w:p>
    <w:p>
      <w:pPr>
        <w:spacing w:after="0" w:line="176" w:lineRule="exact"/>
        <w:rPr>
          <w:sz w:val="24"/>
          <w:szCs w:val="24"/>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This prospectus supplement is being filed to update, amend and supplement the information contained in the Prospectus with the information from our Quarterly Report on Form 10-Q for the quarter ended March 31, 2026, which was filed with the Securities and Exchange Commission (the “SEC”) on May 15, 2026 (the “Q1 10-Q”). Accordingly, we have attached the Q1 10-Q to this prospectus supplement.</w:t>
      </w:r>
    </w:p>
    <w:p>
      <w:pPr>
        <w:spacing w:after="0" w:line="176" w:lineRule="exact"/>
        <w:rPr>
          <w:sz w:val="24"/>
          <w:szCs w:val="24"/>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spacing w:after="0" w:line="176" w:lineRule="exact"/>
        <w:rPr>
          <w:sz w:val="24"/>
          <w:szCs w:val="24"/>
          <w:color w:val="auto"/>
        </w:rPr>
      </w:pPr>
    </w:p>
    <w:p>
      <w:pPr>
        <w:jc w:val="both"/>
        <w:ind w:firstLine="374"/>
        <w:spacing w:after="0" w:line="268" w:lineRule="auto"/>
        <w:rPr>
          <w:sz w:val="20"/>
          <w:szCs w:val="20"/>
          <w:color w:val="auto"/>
        </w:rPr>
      </w:pPr>
      <w:r>
        <w:rPr>
          <w:rFonts w:ascii="Times New Roman" w:cs="Times New Roman" w:eastAsia="Times New Roman" w:hAnsi="Times New Roman"/>
          <w:sz w:val="18"/>
          <w:szCs w:val="18"/>
          <w:b w:val="1"/>
          <w:bCs w:val="1"/>
          <w:color w:val="auto"/>
        </w:rPr>
        <w:t>We are a “smaller reporting company” for purposes of federal securities laws and are subject to reduced public company reporting requirements. Investing in our securities involves risks. See the section entitled “Risk Factors” beginning on page 10 of the Prospectus to read about factors you should consider before buying our securities.</w:t>
      </w:r>
    </w:p>
    <w:p>
      <w:pPr>
        <w:spacing w:after="0" w:line="171" w:lineRule="exact"/>
        <w:rPr>
          <w:sz w:val="24"/>
          <w:szCs w:val="24"/>
          <w:color w:val="auto"/>
        </w:rPr>
      </w:pPr>
    </w:p>
    <w:p>
      <w:pPr>
        <w:jc w:val="both"/>
        <w:ind w:firstLine="374"/>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supplement is truthful or complete. Any representation to the contrary is a criminal offense.</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May 18,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1250315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 w:name="page2"/>
    <w:bookmarkEnd w:id="1"/>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75565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00" w:lineRule="exact"/>
        <w:rPr>
          <w:sz w:val="20"/>
          <w:szCs w:val="20"/>
          <w:color w:val="auto"/>
        </w:rPr>
      </w:pPr>
    </w:p>
    <w:p>
      <w:pPr>
        <w:ind w:left="1580" w:hanging="225"/>
        <w:spacing w:after="0"/>
        <w:tabs>
          <w:tab w:leader="none" w:pos="15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65" w:lineRule="exact"/>
        <w:rPr>
          <w:rFonts w:ascii="MS PGothic" w:cs="MS PGothic" w:eastAsia="MS PGothic" w:hAnsi="MS PGothic"/>
          <w:sz w:val="16"/>
          <w:szCs w:val="16"/>
          <w:color w:val="auto"/>
        </w:rPr>
      </w:pPr>
    </w:p>
    <w:p>
      <w:pPr>
        <w:ind w:left="4280"/>
        <w:spacing w:after="0"/>
        <w:rPr>
          <w:rFonts w:ascii="MS PGothic" w:cs="MS PGothic" w:eastAsia="MS PGothic" w:hAnsi="MS PGothic"/>
          <w:sz w:val="16"/>
          <w:szCs w:val="16"/>
          <w:color w:val="auto"/>
        </w:rPr>
      </w:pPr>
      <w:r>
        <w:rPr>
          <w:rFonts w:ascii="Times New Roman" w:cs="Times New Roman" w:eastAsia="Times New Roman" w:hAnsi="Times New Roman"/>
          <w:sz w:val="14"/>
          <w:szCs w:val="14"/>
          <w:color w:val="auto"/>
        </w:rPr>
        <w:t>For the quarterly period ended March 31, 2026</w:t>
      </w:r>
    </w:p>
    <w:p>
      <w:pPr>
        <w:spacing w:after="0" w:line="68" w:lineRule="exact"/>
        <w:rPr>
          <w:rFonts w:ascii="MS PGothic" w:cs="MS PGothic" w:eastAsia="MS PGothic" w:hAnsi="MS PGothic"/>
          <w:sz w:val="16"/>
          <w:szCs w:val="16"/>
          <w:color w:val="auto"/>
        </w:rPr>
      </w:pPr>
    </w:p>
    <w:p>
      <w:pPr>
        <w:ind w:left="5540"/>
        <w:spacing w:after="0"/>
        <w:rPr>
          <w:rFonts w:ascii="MS PGothic" w:cs="MS PGothic" w:eastAsia="MS PGothic" w:hAnsi="MS PGothic"/>
          <w:sz w:val="16"/>
          <w:szCs w:val="16"/>
          <w:color w:val="auto"/>
        </w:rPr>
      </w:pPr>
      <w:r>
        <w:rPr>
          <w:rFonts w:ascii="Times New Roman" w:cs="Times New Roman" w:eastAsia="Times New Roman" w:hAnsi="Times New Roman"/>
          <w:sz w:val="14"/>
          <w:szCs w:val="14"/>
          <w:color w:val="auto"/>
        </w:rPr>
        <w:t>or</w:t>
      </w:r>
    </w:p>
    <w:p>
      <w:pPr>
        <w:spacing w:after="0" w:line="75" w:lineRule="exact"/>
        <w:rPr>
          <w:rFonts w:ascii="MS PGothic" w:cs="MS PGothic" w:eastAsia="MS PGothic" w:hAnsi="MS PGothic"/>
          <w:sz w:val="16"/>
          <w:szCs w:val="16"/>
          <w:color w:val="auto"/>
        </w:rPr>
      </w:pPr>
    </w:p>
    <w:p>
      <w:pPr>
        <w:ind w:left="1620" w:hanging="238"/>
        <w:spacing w:after="0"/>
        <w:tabs>
          <w:tab w:leader="none" w:pos="1620" w:val="left"/>
        </w:tabs>
        <w:numPr>
          <w:ilvl w:val="1"/>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65" w:lineRule="exact"/>
        <w:rPr>
          <w:rFonts w:ascii="MS PGothic" w:cs="MS PGothic" w:eastAsia="MS PGothic" w:hAnsi="MS PGothic"/>
          <w:sz w:val="16"/>
          <w:szCs w:val="16"/>
          <w:color w:val="auto"/>
        </w:rPr>
      </w:pPr>
    </w:p>
    <w:p>
      <w:pPr>
        <w:ind w:left="4020"/>
        <w:spacing w:after="0"/>
        <w:rPr>
          <w:rFonts w:ascii="MS PGothic" w:cs="MS PGothic" w:eastAsia="MS PGothic" w:hAnsi="MS PGothic"/>
          <w:sz w:val="16"/>
          <w:szCs w:val="16"/>
          <w:color w:val="auto"/>
        </w:rPr>
      </w:pPr>
      <w:r>
        <w:rPr>
          <w:rFonts w:ascii="Times New Roman" w:cs="Times New Roman" w:eastAsia="Times New Roman" w:hAnsi="Times New Roman"/>
          <w:sz w:val="14"/>
          <w:szCs w:val="14"/>
          <w:color w:val="auto"/>
        </w:rPr>
        <w:t>For the transition period from _________ to _________</w:t>
      </w:r>
    </w:p>
    <w:p>
      <w:pPr>
        <w:spacing w:after="0" w:line="48" w:lineRule="exact"/>
        <w:rPr>
          <w:rFonts w:ascii="MS PGothic" w:cs="MS PGothic" w:eastAsia="MS PGothic" w:hAnsi="MS PGothic"/>
          <w:sz w:val="16"/>
          <w:szCs w:val="16"/>
          <w:color w:val="auto"/>
        </w:rPr>
      </w:pPr>
    </w:p>
    <w:p>
      <w:pPr>
        <w:ind w:left="4480"/>
        <w:spacing w:after="0"/>
        <w:rPr>
          <w:rFonts w:ascii="MS PGothic" w:cs="MS PGothic" w:eastAsia="MS PGothic" w:hAnsi="MS PGothic"/>
          <w:sz w:val="16"/>
          <w:szCs w:val="16"/>
          <w:color w:val="auto"/>
        </w:rPr>
      </w:pPr>
      <w:r>
        <w:rPr>
          <w:rFonts w:ascii="Times New Roman" w:cs="Times New Roman" w:eastAsia="Times New Roman" w:hAnsi="Times New Roman"/>
          <w:sz w:val="14"/>
          <w:szCs w:val="14"/>
          <w:color w:val="auto"/>
        </w:rPr>
        <w:t xml:space="preserve">Commission File Number: </w:t>
      </w:r>
      <w:r>
        <w:rPr>
          <w:rFonts w:ascii="Times New Roman" w:cs="Times New Roman" w:eastAsia="Times New Roman" w:hAnsi="Times New Roman"/>
          <w:sz w:val="16"/>
          <w:szCs w:val="16"/>
          <w:b w:val="1"/>
          <w:bCs w:val="1"/>
          <w:color w:val="auto"/>
        </w:rPr>
        <w:t>001-39826</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Banzai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-211455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3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56515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5" w:lineRule="exact"/>
        <w:rPr>
          <w:sz w:val="20"/>
          <w:szCs w:val="20"/>
          <w:color w:val="auto"/>
        </w:rPr>
      </w:pPr>
    </w:p>
    <w:p>
      <w:pPr>
        <w:jc w:val="center"/>
        <w:ind w:right="1600"/>
        <w:spacing w:after="0"/>
        <w:rPr>
          <w:sz w:val="20"/>
          <w:szCs w:val="20"/>
          <w:color w:val="auto"/>
        </w:rPr>
      </w:pPr>
      <w:r>
        <w:rPr>
          <w:rFonts w:ascii="Times New Roman" w:cs="Times New Roman" w:eastAsia="Times New Roman" w:hAnsi="Times New Roman"/>
          <w:sz w:val="14"/>
          <w:szCs w:val="14"/>
          <w:b w:val="1"/>
          <w:bCs w:val="1"/>
          <w:color w:val="auto"/>
        </w:rPr>
        <w:t>Delaware</w:t>
      </w:r>
    </w:p>
    <w:p>
      <w:pPr>
        <w:ind w:left="2080"/>
        <w:spacing w:after="0" w:line="229" w:lineRule="auto"/>
        <w:rPr>
          <w:sz w:val="20"/>
          <w:szCs w:val="20"/>
          <w:color w:val="auto"/>
        </w:rPr>
      </w:pPr>
      <w:r>
        <w:rPr>
          <w:rFonts w:ascii="Times New Roman" w:cs="Times New Roman" w:eastAsia="Times New Roman" w:hAnsi="Times New Roman"/>
          <w:sz w:val="13"/>
          <w:szCs w:val="13"/>
          <w:color w:val="auto"/>
        </w:rPr>
        <w:t>(State or other jurisdiction of</w:t>
      </w:r>
    </w:p>
    <w:p>
      <w:pPr>
        <w:ind w:left="2060"/>
        <w:spacing w:after="0" w:line="235" w:lineRule="auto"/>
        <w:rPr>
          <w:sz w:val="20"/>
          <w:szCs w:val="20"/>
          <w:color w:val="auto"/>
        </w:rPr>
      </w:pPr>
      <w:r>
        <w:rPr>
          <w:rFonts w:ascii="Times New Roman" w:cs="Times New Roman" w:eastAsia="Times New Roman" w:hAnsi="Times New Roman"/>
          <w:sz w:val="13"/>
          <w:szCs w:val="13"/>
          <w:color w:val="auto"/>
        </w:rPr>
        <w:t>incorporation or organization)</w:t>
      </w:r>
    </w:p>
    <w:p>
      <w:pPr>
        <w:ind w:left="1940"/>
        <w:spacing w:after="0"/>
        <w:rPr>
          <w:sz w:val="20"/>
          <w:szCs w:val="20"/>
          <w:color w:val="auto"/>
        </w:rPr>
      </w:pPr>
      <w:r>
        <w:rPr>
          <w:rFonts w:ascii="Times New Roman" w:cs="Times New Roman" w:eastAsia="Times New Roman" w:hAnsi="Times New Roman"/>
          <w:sz w:val="14"/>
          <w:szCs w:val="14"/>
          <w:b w:val="1"/>
          <w:bCs w:val="1"/>
          <w:color w:val="auto"/>
        </w:rPr>
        <w:t>435 Ericksen Ave, Suite 250</w:t>
      </w:r>
    </w:p>
    <w:p>
      <w:pPr>
        <w:spacing w:after="0" w:line="1"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4"/>
          <w:szCs w:val="14"/>
          <w:b w:val="1"/>
          <w:bCs w:val="1"/>
          <w:color w:val="auto"/>
        </w:rPr>
        <w:t>Bainbridge Island, Washington</w:t>
      </w:r>
    </w:p>
    <w:p>
      <w:pPr>
        <w:spacing w:after="0" w:line="4"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3"/>
          <w:szCs w:val="13"/>
          <w:color w:val="auto"/>
        </w:rPr>
        <w:t>(Address of principal executive offices)</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jc w:val="center"/>
        <w:ind w:right="2340"/>
        <w:spacing w:after="0"/>
        <w:rPr>
          <w:sz w:val="20"/>
          <w:szCs w:val="20"/>
          <w:color w:val="auto"/>
        </w:rPr>
      </w:pPr>
      <w:r>
        <w:rPr>
          <w:rFonts w:ascii="Times New Roman" w:cs="Times New Roman" w:eastAsia="Times New Roman" w:hAnsi="Times New Roman"/>
          <w:sz w:val="14"/>
          <w:szCs w:val="14"/>
          <w:b w:val="1"/>
          <w:bCs w:val="1"/>
          <w:color w:val="auto"/>
        </w:rPr>
        <w:t>85-3118980</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(I.R.S. Employer</w:t>
      </w:r>
    </w:p>
    <w:p>
      <w:pPr>
        <w:spacing w:after="0"/>
        <w:rPr>
          <w:sz w:val="20"/>
          <w:szCs w:val="20"/>
          <w:color w:val="auto"/>
        </w:rPr>
      </w:pPr>
      <w:r>
        <w:rPr>
          <w:rFonts w:ascii="Times New Roman" w:cs="Times New Roman" w:eastAsia="Times New Roman" w:hAnsi="Times New Roman"/>
          <w:sz w:val="12"/>
          <w:szCs w:val="12"/>
          <w:color w:val="auto"/>
        </w:rPr>
        <w:t>Identification No.)</w:t>
      </w:r>
    </w:p>
    <w:p>
      <w:pPr>
        <w:spacing w:after="0" w:line="152" w:lineRule="exact"/>
        <w:rPr>
          <w:sz w:val="20"/>
          <w:szCs w:val="20"/>
          <w:color w:val="auto"/>
        </w:rPr>
      </w:pPr>
    </w:p>
    <w:p>
      <w:pPr>
        <w:jc w:val="center"/>
        <w:ind w:right="2340"/>
        <w:spacing w:after="0"/>
        <w:rPr>
          <w:sz w:val="20"/>
          <w:szCs w:val="20"/>
          <w:color w:val="auto"/>
        </w:rPr>
      </w:pPr>
      <w:r>
        <w:rPr>
          <w:rFonts w:ascii="Times New Roman" w:cs="Times New Roman" w:eastAsia="Times New Roman" w:hAnsi="Times New Roman"/>
          <w:sz w:val="14"/>
          <w:szCs w:val="14"/>
          <w:b w:val="1"/>
          <w:bCs w:val="1"/>
          <w:color w:val="auto"/>
        </w:rPr>
        <w:t>98110</w:t>
      </w:r>
    </w:p>
    <w:p>
      <w:pPr>
        <w:spacing w:after="0" w:line="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(Zip Code)</w:t>
      </w:r>
    </w:p>
    <w:p>
      <w:pPr>
        <w:spacing w:after="0" w:line="19" w:lineRule="exact"/>
        <w:rPr>
          <w:sz w:val="20"/>
          <w:szCs w:val="20"/>
          <w:color w:val="auto"/>
        </w:rPr>
      </w:pPr>
    </w:p>
    <w:p>
      <w:pPr>
        <w:sectPr>
          <w:pgSz w:w="11900" w:h="16838" w:orient="portrait"/>
          <w:cols w:equalWidth="0" w:num="2">
            <w:col w:w="7240" w:space="720"/>
            <w:col w:w="3280"/>
          </w:cols>
          <w:pgMar w:left="320" w:top="1440"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b w:val="1"/>
          <w:bCs w:val="1"/>
          <w:color w:val="auto"/>
        </w:rPr>
        <w:t>(206) 414-1777</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57785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Trading</w:t>
            </w:r>
          </w:p>
        </w:tc>
        <w:tc>
          <w:tcPr>
            <w:tcW w:w="220" w:type="dxa"/>
            <w:vAlign w:val="bottom"/>
          </w:tcPr>
          <w:p>
            <w:pPr>
              <w:spacing w:after="0"/>
              <w:rPr>
                <w:sz w:val="12"/>
                <w:szCs w:val="12"/>
                <w:color w:val="auto"/>
              </w:rPr>
            </w:pPr>
          </w:p>
        </w:tc>
        <w:tc>
          <w:tcPr>
            <w:tcW w:w="4480" w:type="dxa"/>
            <w:vAlign w:val="bottom"/>
          </w:tcPr>
          <w:p>
            <w:pPr>
              <w:spacing w:after="0"/>
              <w:rPr>
                <w:sz w:val="12"/>
                <w:szCs w:val="12"/>
                <w:color w:val="auto"/>
              </w:rPr>
            </w:pPr>
          </w:p>
        </w:tc>
      </w:tr>
      <w:tr>
        <w:trPr>
          <w:trHeight w:val="155"/>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240" w:type="dxa"/>
            <w:vAlign w:val="bottom"/>
          </w:tcPr>
          <w:p>
            <w:pPr>
              <w:spacing w:after="0"/>
              <w:rPr>
                <w:sz w:val="13"/>
                <w:szCs w:val="13"/>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Symbol(s)</w:t>
            </w:r>
          </w:p>
        </w:tc>
        <w:tc>
          <w:tcPr>
            <w:tcW w:w="220" w:type="dxa"/>
            <w:vAlign w:val="bottom"/>
          </w:tcPr>
          <w:p>
            <w:pPr>
              <w:spacing w:after="0"/>
              <w:rPr>
                <w:sz w:val="13"/>
                <w:szCs w:val="13"/>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Name of each exchange on which registered</w:t>
            </w:r>
          </w:p>
        </w:tc>
      </w:tr>
      <w:tr>
        <w:trPr>
          <w:trHeight w:val="108"/>
        </w:trPr>
        <w:tc>
          <w:tcPr>
            <w:tcW w:w="450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Class A common stock, par value $0.0001 per share</w:t>
            </w:r>
          </w:p>
        </w:tc>
        <w:tc>
          <w:tcPr>
            <w:tcW w:w="240" w:type="dxa"/>
            <w:vAlign w:val="bottom"/>
          </w:tcPr>
          <w:p>
            <w:pPr>
              <w:spacing w:after="0"/>
              <w:rPr>
                <w:sz w:val="9"/>
                <w:szCs w:val="9"/>
                <w:color w:val="auto"/>
              </w:rPr>
            </w:pPr>
          </w:p>
        </w:tc>
        <w:tc>
          <w:tcPr>
            <w:tcW w:w="180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BNZI</w:t>
            </w:r>
          </w:p>
        </w:tc>
        <w:tc>
          <w:tcPr>
            <w:tcW w:w="220" w:type="dxa"/>
            <w:vAlign w:val="bottom"/>
          </w:tcPr>
          <w:p>
            <w:pPr>
              <w:spacing w:after="0"/>
              <w:rPr>
                <w:sz w:val="9"/>
                <w:szCs w:val="9"/>
                <w:color w:val="auto"/>
              </w:rPr>
            </w:pPr>
          </w:p>
        </w:tc>
        <w:tc>
          <w:tcPr>
            <w:tcW w:w="448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The Nasdaq Capital Market</w:t>
            </w:r>
          </w:p>
        </w:tc>
      </w:tr>
      <w:tr>
        <w:trPr>
          <w:trHeight w:val="135"/>
        </w:trPr>
        <w:tc>
          <w:tcPr>
            <w:tcW w:w="45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Redeemable Warrants, each whole warrant exercisable for one share of Class A</w:t>
            </w:r>
          </w:p>
        </w:tc>
        <w:tc>
          <w:tcPr>
            <w:tcW w:w="240" w:type="dxa"/>
            <w:vAlign w:val="bottom"/>
          </w:tcPr>
          <w:p>
            <w:pPr>
              <w:spacing w:after="0"/>
              <w:rPr>
                <w:sz w:val="11"/>
                <w:szCs w:val="11"/>
                <w:color w:val="auto"/>
              </w:rPr>
            </w:pPr>
          </w:p>
        </w:tc>
        <w:tc>
          <w:tcPr>
            <w:tcW w:w="1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BNZIW</w:t>
            </w:r>
          </w:p>
        </w:tc>
        <w:tc>
          <w:tcPr>
            <w:tcW w:w="220" w:type="dxa"/>
            <w:vAlign w:val="bottom"/>
          </w:tcPr>
          <w:p>
            <w:pPr>
              <w:spacing w:after="0"/>
              <w:rPr>
                <w:sz w:val="11"/>
                <w:szCs w:val="11"/>
                <w:color w:val="auto"/>
              </w:rPr>
            </w:pPr>
          </w:p>
        </w:tc>
        <w:tc>
          <w:tcPr>
            <w:tcW w:w="4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The Nasdaq Capital Market</w:t>
            </w:r>
          </w:p>
        </w:tc>
      </w:tr>
      <w:tr>
        <w:trPr>
          <w:trHeight w:val="166"/>
        </w:trPr>
        <w:tc>
          <w:tcPr>
            <w:tcW w:w="4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common stock at an exercise price of $115,000</w:t>
            </w:r>
          </w:p>
        </w:tc>
        <w:tc>
          <w:tcPr>
            <w:tcW w:w="2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80" w:type="dxa"/>
            <w:vAlign w:val="bottom"/>
          </w:tcPr>
          <w:p>
            <w:pPr>
              <w:spacing w:after="0"/>
              <w:rPr>
                <w:sz w:val="14"/>
                <w:szCs w:val="14"/>
                <w:color w:val="auto"/>
              </w:rPr>
            </w:pPr>
          </w:p>
        </w:tc>
      </w:tr>
    </w:tbl>
    <w:p>
      <w:pPr>
        <w:spacing w:after="0" w:line="232" w:lineRule="exact"/>
        <w:rPr>
          <w:sz w:val="20"/>
          <w:szCs w:val="20"/>
          <w:color w:val="auto"/>
        </w:rPr>
      </w:pPr>
    </w:p>
    <w:p>
      <w:pPr>
        <w:ind w:right="32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2" w:lineRule="exact"/>
        <w:rPr>
          <w:sz w:val="20"/>
          <w:szCs w:val="20"/>
          <w:color w:val="auto"/>
        </w:rPr>
      </w:pPr>
    </w:p>
    <w:p>
      <w:pPr>
        <w:ind w:right="36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19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8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Pr>
          <w:p>
            <w:pPr>
              <w:ind w:left="2900"/>
              <w:spacing w:after="0"/>
              <w:rPr>
                <w:sz w:val="20"/>
                <w:szCs w:val="20"/>
                <w:color w:val="auto"/>
              </w:rPr>
            </w:pPr>
            <w:r>
              <w:rPr>
                <w:rFonts w:ascii="Times New Roman" w:cs="Times New Roman" w:eastAsia="Times New Roman" w:hAnsi="Times New Roman"/>
                <w:sz w:val="16"/>
                <w:szCs w:val="16"/>
                <w:color w:val="auto"/>
              </w:rPr>
              <w:t>Accelerated filer</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19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8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Pr>
          <w:p>
            <w:pPr>
              <w:ind w:left="29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19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5080" w:type="dxa"/>
            <w:vAlign w:val="bottom"/>
          </w:tcPr>
          <w:p>
            <w:pPr>
              <w:ind w:left="2900"/>
              <w:spacing w:after="0"/>
              <w:rPr>
                <w:sz w:val="20"/>
                <w:szCs w:val="20"/>
                <w:color w:val="auto"/>
              </w:rPr>
            </w:pPr>
            <w:r>
              <w:rPr>
                <w:rFonts w:ascii="Times New Roman" w:cs="Times New Roman" w:eastAsia="Times New Roman" w:hAnsi="Times New Roman"/>
                <w:sz w:val="16"/>
                <w:szCs w:val="16"/>
                <w:color w:val="auto"/>
              </w:rPr>
              <w:t>Emerging growth company</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69" w:lineRule="exact"/>
        <w:rPr>
          <w:sz w:val="20"/>
          <w:szCs w:val="20"/>
          <w:color w:val="auto"/>
        </w:rPr>
      </w:pPr>
    </w:p>
    <w:p>
      <w:pPr>
        <w:ind w:right="56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84" w:lineRule="exact"/>
        <w:tabs>
          <w:tab w:leader="none" w:pos="812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number of shares outstanding of each of the registrant's classes of common stock, $0.0001 par value per share, as of May 14, 2026:</w:t>
      </w:r>
    </w:p>
    <w:p>
      <w:pPr>
        <w:spacing w:after="0" w:line="7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Class A Common Stock - 1,422,526 shares</w:t>
      </w:r>
    </w:p>
    <w:p>
      <w:pPr>
        <w:spacing w:after="0" w:line="7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Class B Common Stock - 33,856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85"/>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41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50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Financial Statements</w:t>
            </w:r>
          </w:p>
        </w:tc>
        <w:tc>
          <w:tcPr>
            <w:tcW w:w="760" w:type="dxa"/>
            <w:vAlign w:val="bottom"/>
            <w:tcBorders>
              <w:top w:val="single" w:sz="8" w:color="0000FF"/>
            </w:tcBorders>
            <w:gridSpan w:val="3"/>
          </w:tcPr>
          <w:p>
            <w:pPr>
              <w:spacing w:after="0"/>
              <w:rPr>
                <w:sz w:val="24"/>
                <w:szCs w:val="24"/>
                <w:color w:val="auto"/>
              </w:rPr>
            </w:pPr>
          </w:p>
        </w:tc>
        <w:tc>
          <w:tcPr>
            <w:tcW w:w="7040" w:type="dxa"/>
            <w:vAlign w:val="bottom"/>
            <w:gridSpan w:val="10"/>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 as of March 31, 2026 (Unaudited) and December 31, 2025</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Unaudited Condensed Consolidated Statements of Operations for the three months ended March 31, 2026 and 2025</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0" w:type="dxa"/>
            <w:vAlign w:val="bottom"/>
            <w:tcBorders>
              <w:bottom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Unaudited Condensed Consolidated Statements of Changes in Stockholders' Equity (Deficit) for the three months ended March</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8"/>
              </w:rPr>
              <w:t>31, 2026 and 2025</w:t>
            </w:r>
          </w:p>
        </w:tc>
        <w:tc>
          <w:tcPr>
            <w:tcW w:w="7960" w:type="dxa"/>
            <w:vAlign w:val="bottom"/>
            <w:gridSpan w:val="1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38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Unaudited Condensed Consolidated Statements of Cash Flows for the three months ended March 31, 2026 and 2025</w:t>
            </w:r>
          </w:p>
        </w:tc>
        <w:tc>
          <w:tcPr>
            <w:tcW w:w="920" w:type="dxa"/>
            <w:vAlign w:val="bottom"/>
            <w:gridSpan w:val="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FF"/>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tcBorders>
              <w:top w:val="single" w:sz="8" w:color="0000FF"/>
            </w:tcBorders>
            <w:gridSpan w:val="2"/>
          </w:tcPr>
          <w:p>
            <w:pPr>
              <w:spacing w:after="0"/>
              <w:rPr>
                <w:sz w:val="17"/>
                <w:szCs w:val="17"/>
                <w:color w:val="auto"/>
              </w:rPr>
            </w:pPr>
          </w:p>
        </w:tc>
        <w:tc>
          <w:tcPr>
            <w:tcW w:w="2840" w:type="dxa"/>
            <w:vAlign w:val="bottom"/>
            <w:gridSpan w:val="5"/>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96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2"/>
            <w:vMerge w:val="continue"/>
          </w:tcPr>
          <w:p>
            <w:pPr>
              <w:spacing w:after="0"/>
              <w:rPr>
                <w:sz w:val="24"/>
                <w:szCs w:val="24"/>
                <w:color w:val="auto"/>
              </w:rPr>
            </w:pPr>
          </w:p>
        </w:tc>
        <w:tc>
          <w:tcPr>
            <w:tcW w:w="19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400" w:type="dxa"/>
            <w:vAlign w:val="bottom"/>
            <w:gridSpan w:val="11"/>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41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1320" w:type="dxa"/>
            <w:vAlign w:val="bottom"/>
            <w:tcBorders>
              <w:top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980" w:type="dxa"/>
            <w:vAlign w:val="bottom"/>
            <w:gridSpan w:val="15"/>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96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top w:val="single" w:sz="8" w:color="0000FF"/>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2020" w:type="dxa"/>
            <w:vAlign w:val="bottom"/>
            <w:tcBorders>
              <w:top w:val="single" w:sz="8" w:color="0000FF"/>
            </w:tcBorders>
          </w:tcPr>
          <w:p>
            <w:pPr>
              <w:spacing w:after="0"/>
              <w:rPr>
                <w:sz w:val="17"/>
                <w:szCs w:val="17"/>
                <w:color w:val="auto"/>
              </w:rPr>
            </w:pPr>
          </w:p>
        </w:tc>
        <w:tc>
          <w:tcPr>
            <w:tcW w:w="4960" w:type="dxa"/>
            <w:vAlign w:val="bottom"/>
            <w:gridSpan w:val="8"/>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540" w:type="dxa"/>
            <w:vAlign w:val="bottom"/>
            <w:gridSpan w:val="1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8000" w:type="dxa"/>
            <w:vAlign w:val="bottom"/>
            <w:gridSpan w:val="16"/>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561"/>
        </w:trPr>
        <w:tc>
          <w:tcPr>
            <w:tcW w:w="76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4780" w:type="dxa"/>
            <w:vAlign w:val="bottom"/>
            <w:gridSpan w:val="13"/>
          </w:tcPr>
          <w:p>
            <w:pPr>
              <w:ind w:left="4420"/>
              <w:spacing w:after="0"/>
              <w:rPr>
                <w:sz w:val="20"/>
                <w:szCs w:val="20"/>
                <w:color w:val="auto"/>
              </w:rPr>
            </w:pPr>
            <w:r>
              <w:rPr>
                <w:rFonts w:ascii="Times New Roman" w:cs="Times New Roman" w:eastAsia="Times New Roman" w:hAnsi="Times New Roman"/>
                <w:sz w:val="18"/>
                <w:szCs w:val="18"/>
                <w:color w:val="auto"/>
              </w:rPr>
              <w:t>3</w:t>
            </w: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7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data)</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3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tcPr>
          <w:p>
            <w:pPr>
              <w:jc w:val="right"/>
              <w:ind w:right="448"/>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2026</w:t>
            </w: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42"/>
        </w:trPr>
        <w:tc>
          <w:tcPr>
            <w:tcW w:w="73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shd w:val="clear" w:color="auto" w:fill="CFF0FC"/>
          </w:tcPr>
          <w:p>
            <w:pPr>
              <w:spacing w:after="0"/>
              <w:rPr>
                <w:sz w:val="12"/>
                <w:szCs w:val="12"/>
                <w:color w:val="auto"/>
              </w:rPr>
            </w:pPr>
          </w:p>
        </w:tc>
        <w:tc>
          <w:tcPr>
            <w:tcW w:w="1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2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Cash</w:t>
            </w:r>
          </w:p>
        </w:tc>
        <w:tc>
          <w:tcPr>
            <w:tcW w:w="240" w:type="dxa"/>
            <w:vAlign w:val="bottom"/>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137</w:t>
            </w:r>
          </w:p>
        </w:tc>
        <w:tc>
          <w:tcPr>
            <w:tcW w:w="32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7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259</w:t>
            </w:r>
          </w:p>
        </w:tc>
        <w:tc>
          <w:tcPr>
            <w:tcW w:w="0" w:type="dxa"/>
            <w:vAlign w:val="bottom"/>
          </w:tcPr>
          <w:p>
            <w:pPr>
              <w:spacing w:after="0"/>
              <w:rPr>
                <w:sz w:val="1"/>
                <w:szCs w:val="1"/>
                <w:color w:val="auto"/>
              </w:rPr>
            </w:pPr>
          </w:p>
        </w:tc>
      </w:tr>
      <w:tr>
        <w:trPr>
          <w:trHeight w:val="148"/>
        </w:trPr>
        <w:tc>
          <w:tcPr>
            <w:tcW w:w="73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Accounts receivable, net of allowance for credit losses of $26 and $41, respectively</w:t>
            </w:r>
          </w:p>
        </w:tc>
        <w:tc>
          <w:tcPr>
            <w:tcW w:w="240" w:type="dxa"/>
            <w:vAlign w:val="bottom"/>
          </w:tcPr>
          <w:p>
            <w:pPr>
              <w:spacing w:after="0"/>
              <w:rPr>
                <w:sz w:val="12"/>
                <w:szCs w:val="12"/>
                <w:color w:val="auto"/>
              </w:rPr>
            </w:pPr>
          </w:p>
        </w:tc>
        <w:tc>
          <w:tcPr>
            <w:tcW w:w="1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668</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709</w:t>
            </w:r>
          </w:p>
        </w:tc>
        <w:tc>
          <w:tcPr>
            <w:tcW w:w="0" w:type="dxa"/>
            <w:vAlign w:val="bottom"/>
          </w:tcPr>
          <w:p>
            <w:pPr>
              <w:spacing w:after="0"/>
              <w:rPr>
                <w:sz w:val="1"/>
                <w:szCs w:val="1"/>
                <w:color w:val="auto"/>
              </w:rPr>
            </w:pPr>
          </w:p>
        </w:tc>
      </w:tr>
      <w:tr>
        <w:trPr>
          <w:trHeight w:val="149"/>
        </w:trPr>
        <w:tc>
          <w:tcPr>
            <w:tcW w:w="7320" w:type="dxa"/>
            <w:vAlign w:val="bottom"/>
            <w:tcBorders>
              <w:bottom w:val="single" w:sz="8" w:color="CFF0FC"/>
            </w:tcBorders>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240" w:type="dxa"/>
            <w:vAlign w:val="bottom"/>
            <w:tcBorders>
              <w:bottom w:val="single" w:sz="8" w:color="auto"/>
            </w:tcBorders>
            <w:shd w:val="clear" w:color="auto" w:fill="CFF0FC"/>
          </w:tcPr>
          <w:p>
            <w:pPr>
              <w:spacing w:after="0"/>
              <w:rPr>
                <w:sz w:val="12"/>
                <w:szCs w:val="12"/>
                <w:color w:val="auto"/>
              </w:rPr>
            </w:pPr>
          </w:p>
        </w:tc>
        <w:tc>
          <w:tcPr>
            <w:tcW w:w="166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855</w:t>
            </w:r>
          </w:p>
        </w:tc>
        <w:tc>
          <w:tcPr>
            <w:tcW w:w="14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170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445</w:t>
            </w:r>
          </w:p>
        </w:tc>
        <w:tc>
          <w:tcPr>
            <w:tcW w:w="0" w:type="dxa"/>
            <w:vAlign w:val="bottom"/>
          </w:tcPr>
          <w:p>
            <w:pPr>
              <w:spacing w:after="0"/>
              <w:rPr>
                <w:sz w:val="1"/>
                <w:szCs w:val="1"/>
                <w:color w:val="auto"/>
              </w:rPr>
            </w:pPr>
          </w:p>
        </w:tc>
      </w:tr>
      <w:tr>
        <w:trPr>
          <w:trHeight w:val="142"/>
        </w:trPr>
        <w:tc>
          <w:tcPr>
            <w:tcW w:w="7320" w:type="dxa"/>
            <w:vAlign w:val="bottom"/>
          </w:tcPr>
          <w:p>
            <w:pPr>
              <w:ind w:left="28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240" w:type="dxa"/>
            <w:vAlign w:val="bottom"/>
          </w:tcPr>
          <w:p>
            <w:pPr>
              <w:spacing w:after="0"/>
              <w:rPr>
                <w:sz w:val="12"/>
                <w:szCs w:val="12"/>
                <w:color w:val="auto"/>
              </w:rPr>
            </w:pPr>
          </w:p>
        </w:tc>
        <w:tc>
          <w:tcPr>
            <w:tcW w:w="166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1,660</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1,413</w:t>
            </w:r>
          </w:p>
        </w:tc>
        <w:tc>
          <w:tcPr>
            <w:tcW w:w="0" w:type="dxa"/>
            <w:vAlign w:val="bottom"/>
          </w:tcPr>
          <w:p>
            <w:pPr>
              <w:spacing w:after="0"/>
              <w:rPr>
                <w:sz w:val="1"/>
                <w:szCs w:val="1"/>
                <w:color w:val="auto"/>
              </w:rPr>
            </w:pPr>
          </w:p>
        </w:tc>
      </w:tr>
      <w:tr>
        <w:trPr>
          <w:trHeight w:val="148"/>
        </w:trPr>
        <w:tc>
          <w:tcPr>
            <w:tcW w:w="73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240" w:type="dxa"/>
            <w:vAlign w:val="bottom"/>
          </w:tcPr>
          <w:p>
            <w:pPr>
              <w:spacing w:after="0"/>
              <w:rPr>
                <w:sz w:val="12"/>
                <w:szCs w:val="12"/>
                <w:color w:val="auto"/>
              </w:rPr>
            </w:pPr>
          </w:p>
        </w:tc>
        <w:tc>
          <w:tcPr>
            <w:tcW w:w="1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49"/>
        </w:trPr>
        <w:tc>
          <w:tcPr>
            <w:tcW w:w="73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240" w:type="dxa"/>
            <w:vAlign w:val="bottom"/>
            <w:shd w:val="clear" w:color="auto" w:fill="CFF0FC"/>
          </w:tcPr>
          <w:p>
            <w:pPr>
              <w:spacing w:after="0"/>
              <w:rPr>
                <w:sz w:val="12"/>
                <w:szCs w:val="12"/>
                <w:color w:val="auto"/>
              </w:rPr>
            </w:pPr>
          </w:p>
        </w:tc>
        <w:tc>
          <w:tcPr>
            <w:tcW w:w="16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7,737</w:t>
            </w: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7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8,027</w:t>
            </w:r>
          </w:p>
        </w:tc>
        <w:tc>
          <w:tcPr>
            <w:tcW w:w="0" w:type="dxa"/>
            <w:vAlign w:val="bottom"/>
          </w:tcPr>
          <w:p>
            <w:pPr>
              <w:spacing w:after="0"/>
              <w:rPr>
                <w:sz w:val="1"/>
                <w:szCs w:val="1"/>
                <w:color w:val="auto"/>
              </w:rPr>
            </w:pPr>
          </w:p>
        </w:tc>
      </w:tr>
      <w:tr>
        <w:trPr>
          <w:trHeight w:val="148"/>
        </w:trPr>
        <w:tc>
          <w:tcPr>
            <w:tcW w:w="73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240" w:type="dxa"/>
            <w:vAlign w:val="bottom"/>
          </w:tcPr>
          <w:p>
            <w:pPr>
              <w:spacing w:after="0"/>
              <w:rPr>
                <w:sz w:val="12"/>
                <w:szCs w:val="12"/>
                <w:color w:val="auto"/>
              </w:rPr>
            </w:pPr>
          </w:p>
        </w:tc>
        <w:tc>
          <w:tcPr>
            <w:tcW w:w="1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21,992</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21,992</w:t>
            </w:r>
          </w:p>
        </w:tc>
        <w:tc>
          <w:tcPr>
            <w:tcW w:w="0" w:type="dxa"/>
            <w:vAlign w:val="bottom"/>
          </w:tcPr>
          <w:p>
            <w:pPr>
              <w:spacing w:after="0"/>
              <w:rPr>
                <w:sz w:val="1"/>
                <w:szCs w:val="1"/>
                <w:color w:val="auto"/>
              </w:rPr>
            </w:pPr>
          </w:p>
        </w:tc>
      </w:tr>
      <w:tr>
        <w:trPr>
          <w:trHeight w:val="148"/>
        </w:trPr>
        <w:tc>
          <w:tcPr>
            <w:tcW w:w="73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w:t>
            </w:r>
          </w:p>
        </w:tc>
        <w:tc>
          <w:tcPr>
            <w:tcW w:w="240" w:type="dxa"/>
            <w:vAlign w:val="bottom"/>
            <w:shd w:val="clear" w:color="auto" w:fill="CFF0FC"/>
          </w:tcPr>
          <w:p>
            <w:pPr>
              <w:spacing w:after="0"/>
              <w:rPr>
                <w:sz w:val="12"/>
                <w:szCs w:val="12"/>
                <w:color w:val="auto"/>
              </w:rPr>
            </w:pPr>
          </w:p>
        </w:tc>
        <w:tc>
          <w:tcPr>
            <w:tcW w:w="16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7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48"/>
        </w:trPr>
        <w:tc>
          <w:tcPr>
            <w:tcW w:w="73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Bifurcated embedded derivative asset – related party</w:t>
            </w:r>
          </w:p>
        </w:tc>
        <w:tc>
          <w:tcPr>
            <w:tcW w:w="240" w:type="dxa"/>
            <w:vAlign w:val="bottom"/>
          </w:tcPr>
          <w:p>
            <w:pPr>
              <w:spacing w:after="0"/>
              <w:rPr>
                <w:sz w:val="12"/>
                <w:szCs w:val="12"/>
                <w:color w:val="auto"/>
              </w:rPr>
            </w:pPr>
          </w:p>
        </w:tc>
        <w:tc>
          <w:tcPr>
            <w:tcW w:w="1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48"/>
        </w:trPr>
        <w:tc>
          <w:tcPr>
            <w:tcW w:w="73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Deferred offering costs</w:t>
            </w:r>
          </w:p>
        </w:tc>
        <w:tc>
          <w:tcPr>
            <w:tcW w:w="240" w:type="dxa"/>
            <w:vAlign w:val="bottom"/>
            <w:shd w:val="clear" w:color="auto" w:fill="CFF0FC"/>
          </w:tcPr>
          <w:p>
            <w:pPr>
              <w:spacing w:after="0"/>
              <w:rPr>
                <w:sz w:val="12"/>
                <w:szCs w:val="12"/>
                <w:color w:val="auto"/>
              </w:rPr>
            </w:pPr>
          </w:p>
        </w:tc>
        <w:tc>
          <w:tcPr>
            <w:tcW w:w="16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7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122</w:t>
            </w:r>
          </w:p>
        </w:tc>
        <w:tc>
          <w:tcPr>
            <w:tcW w:w="0" w:type="dxa"/>
            <w:vAlign w:val="bottom"/>
          </w:tcPr>
          <w:p>
            <w:pPr>
              <w:spacing w:after="0"/>
              <w:rPr>
                <w:sz w:val="1"/>
                <w:szCs w:val="1"/>
                <w:color w:val="auto"/>
              </w:rPr>
            </w:pPr>
          </w:p>
        </w:tc>
      </w:tr>
      <w:tr>
        <w:trPr>
          <w:trHeight w:val="149"/>
        </w:trPr>
        <w:tc>
          <w:tcPr>
            <w:tcW w:w="73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24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82"/>
        </w:trPr>
        <w:tc>
          <w:tcPr>
            <w:tcW w:w="7320" w:type="dxa"/>
            <w:vAlign w:val="bottom"/>
            <w:tcBorders>
              <w:bottom w:val="single" w:sz="8" w:color="CFF0FC"/>
            </w:tcBorders>
            <w:shd w:val="clear" w:color="auto" w:fill="CFF0FC"/>
          </w:tcPr>
          <w:p>
            <w:pPr>
              <w:ind w:left="280"/>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240" w:type="dxa"/>
            <w:vAlign w:val="bottom"/>
            <w:tcBorders>
              <w:bottom w:val="single" w:sz="8" w:color="auto"/>
            </w:tcBorders>
            <w:shd w:val="clear" w:color="auto" w:fill="CFF0FC"/>
          </w:tcPr>
          <w:p>
            <w:pPr>
              <w:spacing w:after="0"/>
              <w:rPr>
                <w:sz w:val="15"/>
                <w:szCs w:val="15"/>
                <w:color w:val="auto"/>
              </w:rPr>
            </w:pPr>
          </w:p>
        </w:tc>
        <w:tc>
          <w:tcPr>
            <w:tcW w:w="166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31,474</w:t>
            </w:r>
          </w:p>
        </w:tc>
        <w:tc>
          <w:tcPr>
            <w:tcW w:w="1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70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31,631</w:t>
            </w:r>
          </w:p>
        </w:tc>
        <w:tc>
          <w:tcPr>
            <w:tcW w:w="0" w:type="dxa"/>
            <w:vAlign w:val="bottom"/>
          </w:tcPr>
          <w:p>
            <w:pPr>
              <w:spacing w:after="0"/>
              <w:rPr>
                <w:sz w:val="1"/>
                <w:szCs w:val="1"/>
                <w:color w:val="auto"/>
              </w:rPr>
            </w:pPr>
          </w:p>
        </w:tc>
      </w:tr>
      <w:tr>
        <w:trPr>
          <w:trHeight w:val="129"/>
        </w:trPr>
        <w:tc>
          <w:tcPr>
            <w:tcW w:w="7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3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40" w:type="dxa"/>
            <w:vAlign w:val="bottom"/>
            <w:shd w:val="clear" w:color="auto" w:fill="CFF0FC"/>
          </w:tcPr>
          <w:p>
            <w:pPr>
              <w:spacing w:after="0"/>
              <w:rPr>
                <w:sz w:val="12"/>
                <w:szCs w:val="12"/>
                <w:color w:val="auto"/>
              </w:rPr>
            </w:pPr>
          </w:p>
        </w:tc>
        <w:tc>
          <w:tcPr>
            <w:tcW w:w="1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2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240" w:type="dxa"/>
            <w:vAlign w:val="bottom"/>
            <w:shd w:val="clear" w:color="auto" w:fill="CFF0FC"/>
          </w:tcPr>
          <w:p>
            <w:pPr>
              <w:spacing w:after="0"/>
              <w:rPr>
                <w:sz w:val="12"/>
                <w:szCs w:val="12"/>
                <w:color w:val="auto"/>
              </w:rPr>
            </w:pPr>
          </w:p>
        </w:tc>
        <w:tc>
          <w:tcPr>
            <w:tcW w:w="16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2,971</w:t>
            </w: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7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2,494</w:t>
            </w:r>
          </w:p>
        </w:tc>
        <w:tc>
          <w:tcPr>
            <w:tcW w:w="0" w:type="dxa"/>
            <w:vAlign w:val="bottom"/>
          </w:tcPr>
          <w:p>
            <w:pPr>
              <w:spacing w:after="0"/>
              <w:rPr>
                <w:sz w:val="1"/>
                <w:szCs w:val="1"/>
                <w:color w:val="auto"/>
              </w:rPr>
            </w:pPr>
          </w:p>
        </w:tc>
      </w:tr>
      <w:tr>
        <w:trPr>
          <w:trHeight w:val="148"/>
        </w:trPr>
        <w:tc>
          <w:tcPr>
            <w:tcW w:w="73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240" w:type="dxa"/>
            <w:vAlign w:val="bottom"/>
          </w:tcPr>
          <w:p>
            <w:pPr>
              <w:spacing w:after="0"/>
              <w:rPr>
                <w:sz w:val="12"/>
                <w:szCs w:val="12"/>
                <w:color w:val="auto"/>
              </w:rPr>
            </w:pPr>
          </w:p>
        </w:tc>
        <w:tc>
          <w:tcPr>
            <w:tcW w:w="1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4,068</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4,354</w:t>
            </w:r>
          </w:p>
        </w:tc>
        <w:tc>
          <w:tcPr>
            <w:tcW w:w="0" w:type="dxa"/>
            <w:vAlign w:val="bottom"/>
          </w:tcPr>
          <w:p>
            <w:pPr>
              <w:spacing w:after="0"/>
              <w:rPr>
                <w:sz w:val="1"/>
                <w:szCs w:val="1"/>
                <w:color w:val="auto"/>
              </w:rPr>
            </w:pPr>
          </w:p>
        </w:tc>
      </w:tr>
      <w:tr>
        <w:trPr>
          <w:trHeight w:val="149"/>
        </w:trPr>
        <w:tc>
          <w:tcPr>
            <w:tcW w:w="73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Convertible notes – related party</w:t>
            </w:r>
          </w:p>
        </w:tc>
        <w:tc>
          <w:tcPr>
            <w:tcW w:w="240" w:type="dxa"/>
            <w:vAlign w:val="bottom"/>
            <w:shd w:val="clear" w:color="auto" w:fill="CFF0FC"/>
          </w:tcPr>
          <w:p>
            <w:pPr>
              <w:spacing w:after="0"/>
              <w:rPr>
                <w:sz w:val="12"/>
                <w:szCs w:val="12"/>
                <w:color w:val="auto"/>
              </w:rPr>
            </w:pPr>
          </w:p>
        </w:tc>
        <w:tc>
          <w:tcPr>
            <w:tcW w:w="16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5,117</w:t>
            </w: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7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4,923</w:t>
            </w:r>
          </w:p>
        </w:tc>
        <w:tc>
          <w:tcPr>
            <w:tcW w:w="0" w:type="dxa"/>
            <w:vAlign w:val="bottom"/>
          </w:tcPr>
          <w:p>
            <w:pPr>
              <w:spacing w:after="0"/>
              <w:rPr>
                <w:sz w:val="1"/>
                <w:szCs w:val="1"/>
                <w:color w:val="auto"/>
              </w:rPr>
            </w:pPr>
          </w:p>
        </w:tc>
      </w:tr>
      <w:tr>
        <w:trPr>
          <w:trHeight w:val="148"/>
        </w:trPr>
        <w:tc>
          <w:tcPr>
            <w:tcW w:w="73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Convertible notes, carried at fair value</w:t>
            </w:r>
          </w:p>
        </w:tc>
        <w:tc>
          <w:tcPr>
            <w:tcW w:w="240" w:type="dxa"/>
            <w:vAlign w:val="bottom"/>
          </w:tcPr>
          <w:p>
            <w:pPr>
              <w:spacing w:after="0"/>
              <w:rPr>
                <w:sz w:val="12"/>
                <w:szCs w:val="12"/>
                <w:color w:val="auto"/>
              </w:rPr>
            </w:pPr>
          </w:p>
        </w:tc>
        <w:tc>
          <w:tcPr>
            <w:tcW w:w="1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1,890</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1,856</w:t>
            </w:r>
          </w:p>
        </w:tc>
        <w:tc>
          <w:tcPr>
            <w:tcW w:w="0" w:type="dxa"/>
            <w:vAlign w:val="bottom"/>
          </w:tcPr>
          <w:p>
            <w:pPr>
              <w:spacing w:after="0"/>
              <w:rPr>
                <w:sz w:val="1"/>
                <w:szCs w:val="1"/>
                <w:color w:val="auto"/>
              </w:rPr>
            </w:pPr>
          </w:p>
        </w:tc>
      </w:tr>
      <w:tr>
        <w:trPr>
          <w:trHeight w:val="148"/>
        </w:trPr>
        <w:tc>
          <w:tcPr>
            <w:tcW w:w="73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Convertible notes (Yorkville)</w:t>
            </w:r>
          </w:p>
        </w:tc>
        <w:tc>
          <w:tcPr>
            <w:tcW w:w="240" w:type="dxa"/>
            <w:vAlign w:val="bottom"/>
            <w:shd w:val="clear" w:color="auto" w:fill="CFF0FC"/>
          </w:tcPr>
          <w:p>
            <w:pPr>
              <w:spacing w:after="0"/>
              <w:rPr>
                <w:sz w:val="12"/>
                <w:szCs w:val="12"/>
                <w:color w:val="auto"/>
              </w:rPr>
            </w:pPr>
          </w:p>
        </w:tc>
        <w:tc>
          <w:tcPr>
            <w:tcW w:w="16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571</w:t>
            </w: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7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1,200</w:t>
            </w:r>
          </w:p>
        </w:tc>
        <w:tc>
          <w:tcPr>
            <w:tcW w:w="0" w:type="dxa"/>
            <w:vAlign w:val="bottom"/>
          </w:tcPr>
          <w:p>
            <w:pPr>
              <w:spacing w:after="0"/>
              <w:rPr>
                <w:sz w:val="1"/>
                <w:szCs w:val="1"/>
                <w:color w:val="auto"/>
              </w:rPr>
            </w:pPr>
          </w:p>
        </w:tc>
      </w:tr>
      <w:tr>
        <w:trPr>
          <w:trHeight w:val="148"/>
        </w:trPr>
        <w:tc>
          <w:tcPr>
            <w:tcW w:w="73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Notes payable, carried at fair value</w:t>
            </w:r>
          </w:p>
        </w:tc>
        <w:tc>
          <w:tcPr>
            <w:tcW w:w="240" w:type="dxa"/>
            <w:vAlign w:val="bottom"/>
          </w:tcPr>
          <w:p>
            <w:pPr>
              <w:spacing w:after="0"/>
              <w:rPr>
                <w:sz w:val="12"/>
                <w:szCs w:val="12"/>
                <w:color w:val="auto"/>
              </w:rPr>
            </w:pPr>
          </w:p>
        </w:tc>
        <w:tc>
          <w:tcPr>
            <w:tcW w:w="1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2,258</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2,591</w:t>
            </w:r>
          </w:p>
        </w:tc>
        <w:tc>
          <w:tcPr>
            <w:tcW w:w="0" w:type="dxa"/>
            <w:vAlign w:val="bottom"/>
          </w:tcPr>
          <w:p>
            <w:pPr>
              <w:spacing w:after="0"/>
              <w:rPr>
                <w:sz w:val="1"/>
                <w:szCs w:val="1"/>
                <w:color w:val="auto"/>
              </w:rPr>
            </w:pPr>
          </w:p>
        </w:tc>
      </w:tr>
      <w:tr>
        <w:trPr>
          <w:trHeight w:val="148"/>
        </w:trPr>
        <w:tc>
          <w:tcPr>
            <w:tcW w:w="73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Private placement warrant liability</w:t>
            </w:r>
          </w:p>
        </w:tc>
        <w:tc>
          <w:tcPr>
            <w:tcW w:w="240" w:type="dxa"/>
            <w:vAlign w:val="bottom"/>
            <w:shd w:val="clear" w:color="auto" w:fill="CFF0FC"/>
          </w:tcPr>
          <w:p>
            <w:pPr>
              <w:spacing w:after="0"/>
              <w:rPr>
                <w:sz w:val="12"/>
                <w:szCs w:val="12"/>
                <w:color w:val="auto"/>
              </w:rPr>
            </w:pPr>
          </w:p>
        </w:tc>
        <w:tc>
          <w:tcPr>
            <w:tcW w:w="16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1,250</w:t>
            </w: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7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296</w:t>
            </w:r>
          </w:p>
        </w:tc>
        <w:tc>
          <w:tcPr>
            <w:tcW w:w="0" w:type="dxa"/>
            <w:vAlign w:val="bottom"/>
          </w:tcPr>
          <w:p>
            <w:pPr>
              <w:spacing w:after="0"/>
              <w:rPr>
                <w:sz w:val="1"/>
                <w:szCs w:val="1"/>
                <w:color w:val="auto"/>
              </w:rPr>
            </w:pPr>
          </w:p>
        </w:tc>
      </w:tr>
      <w:tr>
        <w:trPr>
          <w:trHeight w:val="149"/>
        </w:trPr>
        <w:tc>
          <w:tcPr>
            <w:tcW w:w="73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Financial instruments – related party</w:t>
            </w:r>
          </w:p>
        </w:tc>
        <w:tc>
          <w:tcPr>
            <w:tcW w:w="240" w:type="dxa"/>
            <w:vAlign w:val="bottom"/>
          </w:tcPr>
          <w:p>
            <w:pPr>
              <w:spacing w:after="0"/>
              <w:rPr>
                <w:sz w:val="12"/>
                <w:szCs w:val="12"/>
                <w:color w:val="auto"/>
              </w:rPr>
            </w:pPr>
          </w:p>
        </w:tc>
        <w:tc>
          <w:tcPr>
            <w:tcW w:w="1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73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Earnout liability</w:t>
            </w:r>
          </w:p>
        </w:tc>
        <w:tc>
          <w:tcPr>
            <w:tcW w:w="240" w:type="dxa"/>
            <w:vAlign w:val="bottom"/>
            <w:shd w:val="clear" w:color="auto" w:fill="CFF0FC"/>
          </w:tcPr>
          <w:p>
            <w:pPr>
              <w:spacing w:after="0"/>
              <w:rPr>
                <w:sz w:val="12"/>
                <w:szCs w:val="12"/>
                <w:color w:val="auto"/>
              </w:rPr>
            </w:pPr>
          </w:p>
        </w:tc>
        <w:tc>
          <w:tcPr>
            <w:tcW w:w="16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7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991</w:t>
            </w:r>
          </w:p>
        </w:tc>
        <w:tc>
          <w:tcPr>
            <w:tcW w:w="0" w:type="dxa"/>
            <w:vAlign w:val="bottom"/>
          </w:tcPr>
          <w:p>
            <w:pPr>
              <w:spacing w:after="0"/>
              <w:rPr>
                <w:sz w:val="1"/>
                <w:szCs w:val="1"/>
                <w:color w:val="auto"/>
              </w:rPr>
            </w:pPr>
          </w:p>
        </w:tc>
      </w:tr>
      <w:tr>
        <w:trPr>
          <w:trHeight w:val="148"/>
        </w:trPr>
        <w:tc>
          <w:tcPr>
            <w:tcW w:w="73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240" w:type="dxa"/>
            <w:vAlign w:val="bottom"/>
          </w:tcPr>
          <w:p>
            <w:pPr>
              <w:spacing w:after="0"/>
              <w:rPr>
                <w:sz w:val="12"/>
                <w:szCs w:val="12"/>
                <w:color w:val="auto"/>
              </w:rPr>
            </w:pPr>
          </w:p>
        </w:tc>
        <w:tc>
          <w:tcPr>
            <w:tcW w:w="1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3,547</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3,642</w:t>
            </w:r>
          </w:p>
        </w:tc>
        <w:tc>
          <w:tcPr>
            <w:tcW w:w="0" w:type="dxa"/>
            <w:vAlign w:val="bottom"/>
          </w:tcPr>
          <w:p>
            <w:pPr>
              <w:spacing w:after="0"/>
              <w:rPr>
                <w:sz w:val="1"/>
                <w:szCs w:val="1"/>
                <w:color w:val="auto"/>
              </w:rPr>
            </w:pPr>
          </w:p>
        </w:tc>
      </w:tr>
      <w:tr>
        <w:trPr>
          <w:trHeight w:val="148"/>
        </w:trPr>
        <w:tc>
          <w:tcPr>
            <w:tcW w:w="7320" w:type="dxa"/>
            <w:vAlign w:val="bottom"/>
            <w:tcBorders>
              <w:bottom w:val="single" w:sz="8" w:color="CFF0FC"/>
            </w:tcBorders>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Operating lease liabilities, current</w:t>
            </w:r>
          </w:p>
        </w:tc>
        <w:tc>
          <w:tcPr>
            <w:tcW w:w="240" w:type="dxa"/>
            <w:vAlign w:val="bottom"/>
            <w:tcBorders>
              <w:bottom w:val="single" w:sz="8" w:color="auto"/>
            </w:tcBorders>
            <w:shd w:val="clear" w:color="auto" w:fill="CFF0FC"/>
          </w:tcPr>
          <w:p>
            <w:pPr>
              <w:spacing w:after="0"/>
              <w:rPr>
                <w:sz w:val="12"/>
                <w:szCs w:val="12"/>
                <w:color w:val="auto"/>
              </w:rPr>
            </w:pPr>
          </w:p>
        </w:tc>
        <w:tc>
          <w:tcPr>
            <w:tcW w:w="166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14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170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42"/>
        </w:trPr>
        <w:tc>
          <w:tcPr>
            <w:tcW w:w="7320" w:type="dxa"/>
            <w:vAlign w:val="bottom"/>
          </w:tcPr>
          <w:p>
            <w:pPr>
              <w:ind w:left="28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240" w:type="dxa"/>
            <w:vAlign w:val="bottom"/>
          </w:tcPr>
          <w:p>
            <w:pPr>
              <w:spacing w:after="0"/>
              <w:rPr>
                <w:sz w:val="12"/>
                <w:szCs w:val="12"/>
                <w:color w:val="auto"/>
              </w:rPr>
            </w:pPr>
          </w:p>
        </w:tc>
        <w:tc>
          <w:tcPr>
            <w:tcW w:w="166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22,215</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22,370</w:t>
            </w:r>
          </w:p>
        </w:tc>
        <w:tc>
          <w:tcPr>
            <w:tcW w:w="0" w:type="dxa"/>
            <w:vAlign w:val="bottom"/>
          </w:tcPr>
          <w:p>
            <w:pPr>
              <w:spacing w:after="0"/>
              <w:rPr>
                <w:sz w:val="1"/>
                <w:szCs w:val="1"/>
                <w:color w:val="auto"/>
              </w:rPr>
            </w:pPr>
          </w:p>
        </w:tc>
      </w:tr>
      <w:tr>
        <w:trPr>
          <w:trHeight w:val="148"/>
        </w:trPr>
        <w:tc>
          <w:tcPr>
            <w:tcW w:w="73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Deferred revenue, non-current</w:t>
            </w:r>
          </w:p>
        </w:tc>
        <w:tc>
          <w:tcPr>
            <w:tcW w:w="240" w:type="dxa"/>
            <w:vAlign w:val="bottom"/>
          </w:tcPr>
          <w:p>
            <w:pPr>
              <w:spacing w:after="0"/>
              <w:rPr>
                <w:sz w:val="12"/>
                <w:szCs w:val="12"/>
                <w:color w:val="auto"/>
              </w:rPr>
            </w:pPr>
          </w:p>
        </w:tc>
        <w:tc>
          <w:tcPr>
            <w:tcW w:w="1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117</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148"/>
        </w:trPr>
        <w:tc>
          <w:tcPr>
            <w:tcW w:w="73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Deferred tax liability</w:t>
            </w:r>
          </w:p>
        </w:tc>
        <w:tc>
          <w:tcPr>
            <w:tcW w:w="240" w:type="dxa"/>
            <w:vAlign w:val="bottom"/>
            <w:shd w:val="clear" w:color="auto" w:fill="CFF0FC"/>
          </w:tcPr>
          <w:p>
            <w:pPr>
              <w:spacing w:after="0"/>
              <w:rPr>
                <w:sz w:val="12"/>
                <w:szCs w:val="12"/>
                <w:color w:val="auto"/>
              </w:rPr>
            </w:pPr>
          </w:p>
        </w:tc>
        <w:tc>
          <w:tcPr>
            <w:tcW w:w="16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1,026</w:t>
            </w: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7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1,078</w:t>
            </w:r>
          </w:p>
        </w:tc>
        <w:tc>
          <w:tcPr>
            <w:tcW w:w="0" w:type="dxa"/>
            <w:vAlign w:val="bottom"/>
          </w:tcPr>
          <w:p>
            <w:pPr>
              <w:spacing w:after="0"/>
              <w:rPr>
                <w:sz w:val="1"/>
                <w:szCs w:val="1"/>
                <w:color w:val="auto"/>
              </w:rPr>
            </w:pPr>
          </w:p>
        </w:tc>
      </w:tr>
      <w:tr>
        <w:trPr>
          <w:trHeight w:val="149"/>
        </w:trPr>
        <w:tc>
          <w:tcPr>
            <w:tcW w:w="73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Operating lease liabilities, non-current</w:t>
            </w:r>
          </w:p>
        </w:tc>
        <w:tc>
          <w:tcPr>
            <w:tcW w:w="24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42"/>
        </w:trPr>
        <w:tc>
          <w:tcPr>
            <w:tcW w:w="7320" w:type="dxa"/>
            <w:vAlign w:val="bottom"/>
            <w:tcBorders>
              <w:bottom w:val="single" w:sz="8" w:color="CFF0FC"/>
            </w:tcBorders>
            <w:shd w:val="clear" w:color="auto" w:fill="CFF0FC"/>
          </w:tcPr>
          <w:p>
            <w:pPr>
              <w:ind w:left="280"/>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240" w:type="dxa"/>
            <w:vAlign w:val="bottom"/>
            <w:tcBorders>
              <w:bottom w:val="single" w:sz="8" w:color="auto"/>
            </w:tcBorders>
            <w:shd w:val="clear" w:color="auto" w:fill="CFF0FC"/>
          </w:tcPr>
          <w:p>
            <w:pPr>
              <w:spacing w:after="0"/>
              <w:rPr>
                <w:sz w:val="12"/>
                <w:szCs w:val="12"/>
                <w:color w:val="auto"/>
              </w:rPr>
            </w:pPr>
          </w:p>
        </w:tc>
        <w:tc>
          <w:tcPr>
            <w:tcW w:w="166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23,377</w:t>
            </w:r>
          </w:p>
        </w:tc>
        <w:tc>
          <w:tcPr>
            <w:tcW w:w="14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170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23,576</w:t>
            </w:r>
          </w:p>
        </w:tc>
        <w:tc>
          <w:tcPr>
            <w:tcW w:w="0" w:type="dxa"/>
            <w:vAlign w:val="bottom"/>
          </w:tcPr>
          <w:p>
            <w:pPr>
              <w:spacing w:after="0"/>
              <w:rPr>
                <w:sz w:val="1"/>
                <w:szCs w:val="1"/>
                <w:color w:val="auto"/>
              </w:rPr>
            </w:pPr>
          </w:p>
        </w:tc>
      </w:tr>
      <w:tr>
        <w:trPr>
          <w:trHeight w:val="142"/>
        </w:trPr>
        <w:tc>
          <w:tcPr>
            <w:tcW w:w="7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Commitments and contingencies (Note 15)</w:t>
            </w:r>
          </w:p>
        </w:tc>
        <w:tc>
          <w:tcPr>
            <w:tcW w:w="240" w:type="dxa"/>
            <w:vAlign w:val="bottom"/>
            <w:shd w:val="clear" w:color="auto" w:fill="CFF0FC"/>
          </w:tcPr>
          <w:p>
            <w:pPr>
              <w:spacing w:after="0"/>
              <w:rPr>
                <w:sz w:val="12"/>
                <w:szCs w:val="12"/>
                <w:color w:val="auto"/>
              </w:rPr>
            </w:pPr>
          </w:p>
        </w:tc>
        <w:tc>
          <w:tcPr>
            <w:tcW w:w="1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Stockholders' equity:</w:t>
            </w:r>
          </w:p>
        </w:tc>
        <w:tc>
          <w:tcPr>
            <w:tcW w:w="240" w:type="dxa"/>
            <w:vAlign w:val="bottom"/>
            <w:shd w:val="clear" w:color="auto" w:fill="CFF0FC"/>
          </w:tcPr>
          <w:p>
            <w:pPr>
              <w:spacing w:after="0"/>
              <w:rPr>
                <w:sz w:val="12"/>
                <w:szCs w:val="12"/>
                <w:color w:val="auto"/>
              </w:rPr>
            </w:pPr>
          </w:p>
        </w:tc>
        <w:tc>
          <w:tcPr>
            <w:tcW w:w="1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73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Common stock, $0.0001 par value, 275,000,000 (250,000,000 Class A and 25,000,000 Class B) shares authorized and</w:t>
            </w:r>
          </w:p>
        </w:tc>
        <w:tc>
          <w:tcPr>
            <w:tcW w:w="2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867,355 (855,799 Class A and 11,556 Class B) and 527,317 (515,761 Class A and 11,556 Class B) shares issued and</w:t>
            </w:r>
          </w:p>
        </w:tc>
        <w:tc>
          <w:tcPr>
            <w:tcW w:w="240" w:type="dxa"/>
            <w:vAlign w:val="bottom"/>
          </w:tcPr>
          <w:p>
            <w:pPr>
              <w:spacing w:after="0"/>
              <w:rPr>
                <w:sz w:val="12"/>
                <w:szCs w:val="12"/>
                <w:color w:val="auto"/>
              </w:rPr>
            </w:pPr>
          </w:p>
        </w:tc>
        <w:tc>
          <w:tcPr>
            <w:tcW w:w="1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7320" w:type="dxa"/>
            <w:vAlign w:val="bottom"/>
          </w:tcPr>
          <w:p>
            <w:pPr>
              <w:spacing w:after="0"/>
              <w:rPr>
                <w:sz w:val="20"/>
                <w:szCs w:val="20"/>
                <w:color w:val="auto"/>
              </w:rPr>
            </w:pPr>
            <w:r>
              <w:rPr>
                <w:rFonts w:ascii="Times New Roman" w:cs="Times New Roman" w:eastAsia="Times New Roman" w:hAnsi="Times New Roman"/>
                <w:sz w:val="14"/>
                <w:szCs w:val="14"/>
                <w:color w:val="auto"/>
              </w:rPr>
              <w:t>outstanding at March 31, 2026 and 2025, respectively</w:t>
            </w:r>
          </w:p>
        </w:tc>
        <w:tc>
          <w:tcPr>
            <w:tcW w:w="240" w:type="dxa"/>
            <w:vAlign w:val="bottom"/>
          </w:tcPr>
          <w:p>
            <w:pPr>
              <w:spacing w:after="0"/>
              <w:rPr>
                <w:sz w:val="14"/>
                <w:szCs w:val="14"/>
                <w:color w:val="auto"/>
              </w:rPr>
            </w:pPr>
          </w:p>
        </w:tc>
        <w:tc>
          <w:tcPr>
            <w:tcW w:w="1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32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Preferred stock, $0.0001 par value, 75,000,000 shares authorized, 1 and 1 shares issued and outstanding at March 31, 2026</w:t>
            </w:r>
          </w:p>
        </w:tc>
        <w:tc>
          <w:tcPr>
            <w:tcW w:w="240" w:type="dxa"/>
            <w:vAlign w:val="bottom"/>
            <w:shd w:val="clear" w:color="auto" w:fill="CFF0FC"/>
          </w:tcPr>
          <w:p>
            <w:pPr>
              <w:spacing w:after="0"/>
              <w:rPr>
                <w:sz w:val="10"/>
                <w:szCs w:val="10"/>
                <w:color w:val="auto"/>
              </w:rPr>
            </w:pPr>
          </w:p>
        </w:tc>
        <w:tc>
          <w:tcPr>
            <w:tcW w:w="16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7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and 2025, respectively</w:t>
            </w:r>
          </w:p>
        </w:tc>
        <w:tc>
          <w:tcPr>
            <w:tcW w:w="240" w:type="dxa"/>
            <w:vAlign w:val="bottom"/>
            <w:shd w:val="clear" w:color="auto" w:fill="CFF0FC"/>
          </w:tcPr>
          <w:p>
            <w:pPr>
              <w:spacing w:after="0"/>
              <w:rPr>
                <w:sz w:val="14"/>
                <w:szCs w:val="14"/>
                <w:color w:val="auto"/>
              </w:rPr>
            </w:pPr>
          </w:p>
        </w:tc>
        <w:tc>
          <w:tcPr>
            <w:tcW w:w="166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70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240" w:type="dxa"/>
            <w:vAlign w:val="bottom"/>
          </w:tcPr>
          <w:p>
            <w:pPr>
              <w:spacing w:after="0"/>
              <w:rPr>
                <w:sz w:val="12"/>
                <w:szCs w:val="12"/>
                <w:color w:val="auto"/>
              </w:rPr>
            </w:pPr>
          </w:p>
        </w:tc>
        <w:tc>
          <w:tcPr>
            <w:tcW w:w="1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117,346</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108,912</w:t>
            </w:r>
          </w:p>
        </w:tc>
        <w:tc>
          <w:tcPr>
            <w:tcW w:w="0" w:type="dxa"/>
            <w:vAlign w:val="bottom"/>
          </w:tcPr>
          <w:p>
            <w:pPr>
              <w:spacing w:after="0"/>
              <w:rPr>
                <w:sz w:val="1"/>
                <w:szCs w:val="1"/>
                <w:color w:val="auto"/>
              </w:rPr>
            </w:pPr>
          </w:p>
        </w:tc>
      </w:tr>
      <w:tr>
        <w:trPr>
          <w:trHeight w:val="149"/>
        </w:trPr>
        <w:tc>
          <w:tcPr>
            <w:tcW w:w="73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(loss) income</w:t>
            </w:r>
          </w:p>
        </w:tc>
        <w:tc>
          <w:tcPr>
            <w:tcW w:w="240" w:type="dxa"/>
            <w:vAlign w:val="bottom"/>
            <w:shd w:val="clear" w:color="auto" w:fill="CFF0FC"/>
          </w:tcPr>
          <w:p>
            <w:pPr>
              <w:spacing w:after="0"/>
              <w:rPr>
                <w:sz w:val="12"/>
                <w:szCs w:val="12"/>
                <w:color w:val="auto"/>
              </w:rPr>
            </w:pPr>
          </w:p>
        </w:tc>
        <w:tc>
          <w:tcPr>
            <w:tcW w:w="1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148"/>
        </w:trPr>
        <w:tc>
          <w:tcPr>
            <w:tcW w:w="7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24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(109,189)</w:t>
            </w: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(100,772)</w:t>
            </w:r>
          </w:p>
        </w:tc>
        <w:tc>
          <w:tcPr>
            <w:tcW w:w="0" w:type="dxa"/>
            <w:vAlign w:val="bottom"/>
          </w:tcPr>
          <w:p>
            <w:pPr>
              <w:spacing w:after="0"/>
              <w:rPr>
                <w:sz w:val="1"/>
                <w:szCs w:val="1"/>
                <w:color w:val="auto"/>
              </w:rPr>
            </w:pPr>
          </w:p>
        </w:tc>
      </w:tr>
      <w:tr>
        <w:trPr>
          <w:trHeight w:val="142"/>
        </w:trPr>
        <w:tc>
          <w:tcPr>
            <w:tcW w:w="7320" w:type="dxa"/>
            <w:vAlign w:val="bottom"/>
            <w:tcBorders>
              <w:bottom w:val="single" w:sz="8" w:color="CFF0FC"/>
            </w:tcBorders>
            <w:shd w:val="clear" w:color="auto" w:fill="CFF0FC"/>
          </w:tcPr>
          <w:p>
            <w:pPr>
              <w:ind w:left="280"/>
              <w:spacing w:after="0" w:line="142" w:lineRule="exact"/>
              <w:rPr>
                <w:sz w:val="20"/>
                <w:szCs w:val="20"/>
                <w:color w:val="auto"/>
              </w:rPr>
            </w:pPr>
            <w:r>
              <w:rPr>
                <w:rFonts w:ascii="Times New Roman" w:cs="Times New Roman" w:eastAsia="Times New Roman" w:hAnsi="Times New Roman"/>
                <w:sz w:val="14"/>
                <w:szCs w:val="14"/>
                <w:color w:val="auto"/>
              </w:rPr>
              <w:t>Stockholders' equity</w:t>
            </w:r>
          </w:p>
        </w:tc>
        <w:tc>
          <w:tcPr>
            <w:tcW w:w="240" w:type="dxa"/>
            <w:vAlign w:val="bottom"/>
            <w:tcBorders>
              <w:bottom w:val="single" w:sz="8" w:color="auto"/>
            </w:tcBorders>
            <w:shd w:val="clear" w:color="auto" w:fill="CFF0FC"/>
          </w:tcPr>
          <w:p>
            <w:pPr>
              <w:spacing w:after="0"/>
              <w:rPr>
                <w:sz w:val="12"/>
                <w:szCs w:val="12"/>
                <w:color w:val="auto"/>
              </w:rPr>
            </w:pPr>
          </w:p>
        </w:tc>
        <w:tc>
          <w:tcPr>
            <w:tcW w:w="166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8,097</w:t>
            </w:r>
          </w:p>
        </w:tc>
        <w:tc>
          <w:tcPr>
            <w:tcW w:w="14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170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8,055</w:t>
            </w:r>
          </w:p>
        </w:tc>
        <w:tc>
          <w:tcPr>
            <w:tcW w:w="0" w:type="dxa"/>
            <w:vAlign w:val="bottom"/>
          </w:tcPr>
          <w:p>
            <w:pPr>
              <w:spacing w:after="0"/>
              <w:rPr>
                <w:sz w:val="1"/>
                <w:szCs w:val="1"/>
                <w:color w:val="auto"/>
              </w:rPr>
            </w:pPr>
          </w:p>
        </w:tc>
      </w:tr>
      <w:tr>
        <w:trPr>
          <w:trHeight w:val="142"/>
        </w:trPr>
        <w:tc>
          <w:tcPr>
            <w:tcW w:w="7320" w:type="dxa"/>
            <w:vAlign w:val="bottom"/>
          </w:tcPr>
          <w:p>
            <w:pPr>
              <w:ind w:left="280"/>
              <w:spacing w:after="0" w:line="142" w:lineRule="exact"/>
              <w:rPr>
                <w:sz w:val="20"/>
                <w:szCs w:val="20"/>
                <w:color w:val="auto"/>
              </w:rPr>
            </w:pPr>
            <w:r>
              <w:rPr>
                <w:rFonts w:ascii="Times New Roman" w:cs="Times New Roman" w:eastAsia="Times New Roman" w:hAnsi="Times New Roman"/>
                <w:sz w:val="14"/>
                <w:szCs w:val="14"/>
                <w:color w:val="auto"/>
              </w:rPr>
              <w:t>Total liabilities and stockholders' equity</w:t>
            </w:r>
          </w:p>
        </w:tc>
        <w:tc>
          <w:tcPr>
            <w:tcW w:w="240" w:type="dxa"/>
            <w:vAlign w:val="bottom"/>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31,474</w:t>
            </w:r>
          </w:p>
        </w:tc>
        <w:tc>
          <w:tcPr>
            <w:tcW w:w="32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70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31,631</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-4259580</wp:posOffset>
            </wp:positionV>
            <wp:extent cx="857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-3299460</wp:posOffset>
            </wp:positionV>
            <wp:extent cx="857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-3282315</wp:posOffset>
            </wp:positionV>
            <wp:extent cx="857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-1953895</wp:posOffset>
            </wp:positionV>
            <wp:extent cx="857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-1370965</wp:posOffset>
            </wp:positionV>
            <wp:extent cx="857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-128270</wp:posOffset>
            </wp:positionV>
            <wp:extent cx="857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8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640" w:type="dxa"/>
            <w:vAlign w:val="bottom"/>
            <w:tcBorders>
              <w:bottom w:val="single" w:sz="8" w:color="auto"/>
            </w:tcBorders>
            <w:gridSpan w:val="5"/>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r>
      <w:tr>
        <w:trPr>
          <w:trHeight w:val="202"/>
        </w:trPr>
        <w:tc>
          <w:tcPr>
            <w:tcW w:w="58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6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6"/>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18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r>
      <w:tr>
        <w:trPr>
          <w:trHeight w:val="203"/>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Revenue</w:t>
            </w:r>
          </w:p>
        </w:tc>
        <w:tc>
          <w:tcPr>
            <w:tcW w:w="2880" w:type="dxa"/>
            <w:vAlign w:val="bottom"/>
            <w:gridSpan w:val="2"/>
          </w:tcPr>
          <w:p>
            <w:pPr>
              <w:jc w:val="right"/>
              <w:ind w:right="91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2,696</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3,379</w:t>
            </w:r>
          </w:p>
        </w:tc>
      </w:tr>
      <w:tr>
        <w:trPr>
          <w:trHeight w:val="203"/>
        </w:trPr>
        <w:tc>
          <w:tcPr>
            <w:tcW w:w="5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180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521</w:t>
            </w:r>
          </w:p>
        </w:tc>
        <w:tc>
          <w:tcPr>
            <w:tcW w:w="14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606</w:t>
            </w:r>
          </w:p>
        </w:tc>
      </w:tr>
      <w:tr>
        <w:trPr>
          <w:trHeight w:val="196"/>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80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2,175</w:t>
            </w:r>
          </w:p>
        </w:tc>
        <w:tc>
          <w:tcPr>
            <w:tcW w:w="1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2,773</w:t>
            </w:r>
          </w:p>
        </w:tc>
      </w:tr>
      <w:tr>
        <w:trPr>
          <w:trHeight w:val="196"/>
        </w:trPr>
        <w:tc>
          <w:tcPr>
            <w:tcW w:w="5800" w:type="dxa"/>
            <w:vAlign w:val="bottom"/>
            <w:shd w:val="clear" w:color="auto" w:fill="CFF0FC"/>
          </w:tcPr>
          <w:p>
            <w:pPr>
              <w:spacing w:after="0"/>
              <w:rPr>
                <w:sz w:val="17"/>
                <w:szCs w:val="17"/>
                <w:color w:val="auto"/>
              </w:rPr>
            </w:pPr>
          </w:p>
        </w:tc>
        <w:tc>
          <w:tcPr>
            <w:tcW w:w="18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r>
      <w:tr>
        <w:trPr>
          <w:trHeight w:val="203"/>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8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8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7,650</w:t>
            </w: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7,433</w:t>
            </w:r>
          </w:p>
        </w:tc>
      </w:tr>
      <w:tr>
        <w:trPr>
          <w:trHeight w:val="203"/>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80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305</w:t>
            </w:r>
          </w:p>
        </w:tc>
        <w:tc>
          <w:tcPr>
            <w:tcW w:w="1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247</w:t>
            </w:r>
          </w:p>
        </w:tc>
      </w:tr>
      <w:tr>
        <w:trPr>
          <w:trHeight w:val="196"/>
        </w:trPr>
        <w:tc>
          <w:tcPr>
            <w:tcW w:w="5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0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7,955</w:t>
            </w:r>
          </w:p>
        </w:tc>
        <w:tc>
          <w:tcPr>
            <w:tcW w:w="14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7,680</w:t>
            </w:r>
          </w:p>
        </w:tc>
      </w:tr>
      <w:tr>
        <w:trPr>
          <w:trHeight w:val="196"/>
        </w:trPr>
        <w:tc>
          <w:tcPr>
            <w:tcW w:w="58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r>
      <w:tr>
        <w:trPr>
          <w:trHeight w:val="196"/>
        </w:trPr>
        <w:tc>
          <w:tcPr>
            <w:tcW w:w="5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loss</w:t>
            </w:r>
          </w:p>
        </w:tc>
        <w:tc>
          <w:tcPr>
            <w:tcW w:w="180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(5,780)</w:t>
            </w:r>
          </w:p>
        </w:tc>
        <w:tc>
          <w:tcPr>
            <w:tcW w:w="14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(4,907)</w:t>
            </w:r>
          </w:p>
        </w:tc>
      </w:tr>
      <w:tr>
        <w:trPr>
          <w:trHeight w:val="196"/>
        </w:trPr>
        <w:tc>
          <w:tcPr>
            <w:tcW w:w="58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expenses (income):</w:t>
            </w:r>
          </w:p>
        </w:tc>
        <w:tc>
          <w:tcPr>
            <w:tcW w:w="18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r>
      <w:tr>
        <w:trPr>
          <w:trHeight w:val="203"/>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18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8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 – related party</w:t>
            </w:r>
          </w:p>
        </w:tc>
        <w:tc>
          <w:tcPr>
            <w:tcW w:w="18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194</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358</w:t>
            </w:r>
          </w:p>
        </w:tc>
      </w:tr>
      <w:tr>
        <w:trPr>
          <w:trHeight w:val="202"/>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Gain on extinguishment of liabilities</w:t>
            </w:r>
          </w:p>
        </w:tc>
        <w:tc>
          <w:tcPr>
            <w:tcW w:w="18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(4,343)</w:t>
            </w:r>
          </w:p>
        </w:tc>
      </w:tr>
      <w:tr>
        <w:trPr>
          <w:trHeight w:val="203"/>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Loss on debt issuance</w:t>
            </w:r>
          </w:p>
        </w:tc>
        <w:tc>
          <w:tcPr>
            <w:tcW w:w="18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274</w:t>
            </w:r>
          </w:p>
        </w:tc>
      </w:tr>
      <w:tr>
        <w:trPr>
          <w:trHeight w:val="203"/>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on Private Placement Issuance</w:t>
            </w:r>
          </w:p>
        </w:tc>
        <w:tc>
          <w:tcPr>
            <w:tcW w:w="18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1,598</w:t>
            </w: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Loss on extinguishment of debt, net</w:t>
            </w:r>
          </w:p>
        </w:tc>
        <w:tc>
          <w:tcPr>
            <w:tcW w:w="18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1,770</w:t>
            </w:r>
          </w:p>
        </w:tc>
      </w:tr>
      <w:tr>
        <w:trPr>
          <w:trHeight w:val="203"/>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Change in fair value of financial instruments</w:t>
            </w:r>
          </w:p>
        </w:tc>
        <w:tc>
          <w:tcPr>
            <w:tcW w:w="18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608</w:t>
            </w: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140</w:t>
            </w:r>
          </w:p>
        </w:tc>
      </w:tr>
      <w:tr>
        <w:trPr>
          <w:trHeight w:val="203"/>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Change in fair value of financial instruments – related party</w:t>
            </w:r>
          </w:p>
        </w:tc>
        <w:tc>
          <w:tcPr>
            <w:tcW w:w="18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45</w:t>
            </w:r>
          </w:p>
        </w:tc>
      </w:tr>
      <w:tr>
        <w:trPr>
          <w:trHeight w:val="203"/>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Change in fair value of convertible notes</w:t>
            </w:r>
          </w:p>
        </w:tc>
        <w:tc>
          <w:tcPr>
            <w:tcW w:w="18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159</w:t>
            </w:r>
          </w:p>
        </w:tc>
      </w:tr>
      <w:tr>
        <w:trPr>
          <w:trHeight w:val="203"/>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Loss on Yorkville SEPA advances</w:t>
            </w:r>
          </w:p>
        </w:tc>
        <w:tc>
          <w:tcPr>
            <w:tcW w:w="18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385</w:t>
            </w:r>
          </w:p>
        </w:tc>
      </w:tr>
      <w:tr>
        <w:trPr>
          <w:trHeight w:val="203"/>
        </w:trPr>
        <w:tc>
          <w:tcPr>
            <w:tcW w:w="5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180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550</w:t>
            </w:r>
          </w:p>
        </w:tc>
        <w:tc>
          <w:tcPr>
            <w:tcW w:w="14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w:t>
            </w:r>
          </w:p>
        </w:tc>
      </w:tr>
      <w:tr>
        <w:trPr>
          <w:trHeight w:val="196"/>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Total other expenses, net</w:t>
            </w:r>
          </w:p>
        </w:tc>
        <w:tc>
          <w:tcPr>
            <w:tcW w:w="180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2,689</w:t>
            </w:r>
          </w:p>
        </w:tc>
        <w:tc>
          <w:tcPr>
            <w:tcW w:w="1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(1,337)</w:t>
            </w:r>
          </w:p>
        </w:tc>
      </w:tr>
      <w:tr>
        <w:trPr>
          <w:trHeight w:val="196"/>
        </w:trPr>
        <w:tc>
          <w:tcPr>
            <w:tcW w:w="5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before income taxes</w:t>
            </w:r>
          </w:p>
        </w:tc>
        <w:tc>
          <w:tcPr>
            <w:tcW w:w="180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(8,469)</w:t>
            </w:r>
          </w:p>
        </w:tc>
        <w:tc>
          <w:tcPr>
            <w:tcW w:w="14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(3,570)</w:t>
            </w:r>
          </w:p>
        </w:tc>
      </w:tr>
      <w:tr>
        <w:trPr>
          <w:trHeight w:val="196"/>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180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74</w:t>
            </w:r>
          </w:p>
        </w:tc>
      </w:tr>
      <w:tr>
        <w:trPr>
          <w:trHeight w:val="236"/>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2880" w:type="dxa"/>
            <w:vAlign w:val="bottom"/>
            <w:gridSpan w:val="2"/>
            <w:shd w:val="clear" w:color="auto" w:fill="CFF0FC"/>
          </w:tcPr>
          <w:p>
            <w:pPr>
              <w:jc w:val="right"/>
              <w:ind w:right="91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(8,417)</w:t>
            </w:r>
          </w:p>
        </w:tc>
        <w:tc>
          <w:tcPr>
            <w:tcW w:w="5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(3,644)</w:t>
            </w:r>
          </w:p>
        </w:tc>
      </w:tr>
      <w:tr>
        <w:trPr>
          <w:trHeight w:val="183"/>
        </w:trPr>
        <w:tc>
          <w:tcPr>
            <w:tcW w:w="5800" w:type="dxa"/>
            <w:vAlign w:val="bottom"/>
            <w:tcBorders>
              <w:top w:val="single" w:sz="8" w:color="CFF0FC"/>
            </w:tcBorders>
          </w:tcPr>
          <w:p>
            <w:pPr>
              <w:spacing w:after="0"/>
              <w:rPr>
                <w:sz w:val="15"/>
                <w:szCs w:val="15"/>
                <w:color w:val="auto"/>
              </w:rPr>
            </w:pPr>
          </w:p>
        </w:tc>
        <w:tc>
          <w:tcPr>
            <w:tcW w:w="1800" w:type="dxa"/>
            <w:vAlign w:val="bottom"/>
            <w:tcBorders>
              <w:top w:val="single" w:sz="8" w:color="CFF0FC"/>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r>
      <w:tr>
        <w:trPr>
          <w:trHeight w:val="243"/>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 attributable to common shareholders</w:t>
            </w:r>
          </w:p>
        </w:tc>
        <w:tc>
          <w:tcPr>
            <w:tcW w:w="2880" w:type="dxa"/>
            <w:vAlign w:val="bottom"/>
            <w:gridSpan w:val="2"/>
            <w:shd w:val="clear" w:color="auto" w:fill="CFF0FC"/>
          </w:tcPr>
          <w:p>
            <w:pPr>
              <w:jc w:val="right"/>
              <w:ind w:right="91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(8,417)</w:t>
            </w:r>
          </w:p>
        </w:tc>
        <w:tc>
          <w:tcPr>
            <w:tcW w:w="5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(3,644)</w:t>
            </w:r>
          </w:p>
        </w:tc>
      </w:tr>
      <w:tr>
        <w:trPr>
          <w:trHeight w:val="183"/>
        </w:trPr>
        <w:tc>
          <w:tcPr>
            <w:tcW w:w="5800" w:type="dxa"/>
            <w:vAlign w:val="bottom"/>
            <w:tcBorders>
              <w:top w:val="single" w:sz="8" w:color="CFF0FC"/>
            </w:tcBorders>
          </w:tcPr>
          <w:p>
            <w:pPr>
              <w:spacing w:after="0"/>
              <w:rPr>
                <w:sz w:val="15"/>
                <w:szCs w:val="15"/>
                <w:color w:val="auto"/>
              </w:rPr>
            </w:pPr>
          </w:p>
        </w:tc>
        <w:tc>
          <w:tcPr>
            <w:tcW w:w="1800" w:type="dxa"/>
            <w:vAlign w:val="bottom"/>
            <w:tcBorders>
              <w:top w:val="single" w:sz="8" w:color="CFF0FC"/>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r>
      <w:tr>
        <w:trPr>
          <w:trHeight w:val="203"/>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 per share attributable to common shareholders</w:t>
            </w:r>
          </w:p>
        </w:tc>
        <w:tc>
          <w:tcPr>
            <w:tcW w:w="18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r>
      <w:tr>
        <w:trPr>
          <w:trHeight w:val="203"/>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Basic and diluted</w:t>
            </w:r>
          </w:p>
        </w:tc>
        <w:tc>
          <w:tcPr>
            <w:tcW w:w="2880" w:type="dxa"/>
            <w:vAlign w:val="bottom"/>
            <w:gridSpan w:val="2"/>
          </w:tcPr>
          <w:p>
            <w:pPr>
              <w:jc w:val="right"/>
              <w:ind w:right="91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(11.69)</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(30.37)</w:t>
            </w:r>
          </w:p>
        </w:tc>
      </w:tr>
      <w:tr>
        <w:trPr>
          <w:trHeight w:val="20"/>
        </w:trPr>
        <w:tc>
          <w:tcPr>
            <w:tcW w:w="5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5800" w:type="dxa"/>
            <w:vAlign w:val="bottom"/>
            <w:shd w:val="clear" w:color="auto" w:fill="CFF0FC"/>
          </w:tcPr>
          <w:p>
            <w:pPr>
              <w:spacing w:after="0"/>
              <w:rPr>
                <w:sz w:val="15"/>
                <w:szCs w:val="15"/>
                <w:color w:val="auto"/>
              </w:rPr>
            </w:pPr>
          </w:p>
        </w:tc>
        <w:tc>
          <w:tcPr>
            <w:tcW w:w="18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r>
      <w:tr>
        <w:trPr>
          <w:trHeight w:val="203"/>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common shares outstanding (in thousands)</w:t>
            </w:r>
          </w:p>
        </w:tc>
        <w:tc>
          <w:tcPr>
            <w:tcW w:w="18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43"/>
        </w:trPr>
        <w:tc>
          <w:tcPr>
            <w:tcW w:w="5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Basic and diluted</w:t>
            </w:r>
          </w:p>
        </w:tc>
        <w:tc>
          <w:tcPr>
            <w:tcW w:w="180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720</w:t>
            </w:r>
          </w:p>
        </w:tc>
        <w:tc>
          <w:tcPr>
            <w:tcW w:w="1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-4559935</wp:posOffset>
            </wp:positionV>
            <wp:extent cx="939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-3762375</wp:posOffset>
            </wp:positionV>
            <wp:extent cx="939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-3488690</wp:posOffset>
            </wp:positionV>
            <wp:extent cx="93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-1679575</wp:posOffset>
            </wp:positionV>
            <wp:extent cx="939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-1405255</wp:posOffset>
            </wp:positionV>
            <wp:extent cx="939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-1130935</wp:posOffset>
            </wp:positionV>
            <wp:extent cx="939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-1113790</wp:posOffset>
            </wp:positionV>
            <wp:extent cx="939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-848360</wp:posOffset>
            </wp:positionV>
            <wp:extent cx="93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-831215</wp:posOffset>
            </wp:positionV>
            <wp:extent cx="939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-25400</wp:posOffset>
            </wp:positionV>
            <wp:extent cx="93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-8255</wp:posOffset>
            </wp:positionV>
            <wp:extent cx="939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 and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Accumul</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Addition</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ated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146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Series A Preferred</w:t>
            </w:r>
          </w:p>
        </w:tc>
        <w:tc>
          <w:tcPr>
            <w:tcW w:w="120" w:type="dxa"/>
            <w:vAlign w:val="bottom"/>
          </w:tcPr>
          <w:p>
            <w:pPr>
              <w:spacing w:after="0"/>
              <w:rPr>
                <w:sz w:val="12"/>
                <w:szCs w:val="12"/>
                <w:color w:val="auto"/>
              </w:rPr>
            </w:pPr>
          </w:p>
        </w:tc>
        <w:tc>
          <w:tcPr>
            <w:tcW w:w="1420" w:type="dxa"/>
            <w:vAlign w:val="bottom"/>
            <w:gridSpan w:val="4"/>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Series FE Preferred</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420" w:type="dxa"/>
            <w:vAlign w:val="bottom"/>
          </w:tcPr>
          <w:p>
            <w:pPr>
              <w:spacing w:after="0"/>
              <w:rPr>
                <w:sz w:val="12"/>
                <w:szCs w:val="12"/>
                <w:color w:val="auto"/>
              </w:rPr>
            </w:pPr>
          </w:p>
        </w:tc>
        <w:tc>
          <w:tcPr>
            <w:tcW w:w="146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48"/>
              <w:spacing w:after="0" w:line="146" w:lineRule="exact"/>
              <w:rPr>
                <w:sz w:val="20"/>
                <w:szCs w:val="20"/>
                <w:color w:val="auto"/>
              </w:rPr>
            </w:pPr>
            <w:r>
              <w:rPr>
                <w:rFonts w:ascii="Times New Roman" w:cs="Times New Roman" w:eastAsia="Times New Roman" w:hAnsi="Times New Roman"/>
                <w:sz w:val="14"/>
                <w:szCs w:val="14"/>
                <w:b w:val="1"/>
                <w:bCs w:val="1"/>
                <w:color w:val="auto"/>
                <w:w w:val="91"/>
              </w:rPr>
              <w:t>al</w:t>
            </w:r>
          </w:p>
        </w:tc>
        <w:tc>
          <w:tcPr>
            <w:tcW w:w="120" w:type="dxa"/>
            <w:vAlign w:val="bottom"/>
          </w:tcPr>
          <w:p>
            <w:pPr>
              <w:spacing w:after="0"/>
              <w:rPr>
                <w:sz w:val="12"/>
                <w:szCs w:val="12"/>
                <w:color w:val="auto"/>
              </w:rPr>
            </w:pPr>
          </w:p>
        </w:tc>
        <w:tc>
          <w:tcPr>
            <w:tcW w:w="680" w:type="dxa"/>
            <w:vAlign w:val="bottom"/>
            <w:gridSpan w:val="2"/>
          </w:tcPr>
          <w:p>
            <w:pPr>
              <w:jc w:val="center"/>
              <w:ind w:right="68"/>
              <w:spacing w:after="0" w:line="146" w:lineRule="exact"/>
              <w:rPr>
                <w:sz w:val="20"/>
                <w:szCs w:val="20"/>
                <w:color w:val="auto"/>
              </w:rPr>
            </w:pPr>
            <w:r>
              <w:rPr>
                <w:rFonts w:ascii="Times New Roman" w:cs="Times New Roman" w:eastAsia="Times New Roman" w:hAnsi="Times New Roman"/>
                <w:sz w:val="14"/>
                <w:szCs w:val="14"/>
                <w:b w:val="1"/>
                <w:bCs w:val="1"/>
                <w:color w:val="auto"/>
              </w:rPr>
              <w:t>Compre</w:t>
            </w: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68"/>
              <w:spacing w:after="0" w:line="146" w:lineRule="exact"/>
              <w:rPr>
                <w:sz w:val="20"/>
                <w:szCs w:val="20"/>
                <w:color w:val="auto"/>
              </w:rPr>
            </w:pPr>
            <w:r>
              <w:rPr>
                <w:rFonts w:ascii="Times New Roman" w:cs="Times New Roman" w:eastAsia="Times New Roman" w:hAnsi="Times New Roman"/>
                <w:sz w:val="14"/>
                <w:szCs w:val="14"/>
                <w:b w:val="1"/>
                <w:bCs w:val="1"/>
                <w:color w:val="auto"/>
              </w:rPr>
              <w:t>Stockhold</w:t>
            </w:r>
          </w:p>
        </w:tc>
        <w:tc>
          <w:tcPr>
            <w:tcW w:w="0" w:type="dxa"/>
            <w:vAlign w:val="bottom"/>
          </w:tcPr>
          <w:p>
            <w:pPr>
              <w:spacing w:after="0"/>
              <w:rPr>
                <w:sz w:val="1"/>
                <w:szCs w:val="1"/>
                <w:color w:val="auto"/>
              </w:rPr>
            </w:pPr>
          </w:p>
        </w:tc>
      </w:tr>
      <w:tr>
        <w:trPr>
          <w:trHeight w:val="162"/>
        </w:trPr>
        <w:tc>
          <w:tcPr>
            <w:tcW w:w="3420" w:type="dxa"/>
            <w:vAlign w:val="bottom"/>
          </w:tcPr>
          <w:p>
            <w:pPr>
              <w:spacing w:after="0"/>
              <w:rPr>
                <w:sz w:val="14"/>
                <w:szCs w:val="14"/>
                <w:color w:val="auto"/>
              </w:rPr>
            </w:pPr>
          </w:p>
        </w:tc>
        <w:tc>
          <w:tcPr>
            <w:tcW w:w="840" w:type="dxa"/>
            <w:vAlign w:val="bottom"/>
            <w:tcBorders>
              <w:bottom w:val="single" w:sz="8" w:color="auto"/>
            </w:tcBorders>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bottom w:val="single" w:sz="8" w:color="auto"/>
            </w:tcBorders>
            <w:gridSpan w:val="3"/>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4"/>
                <w:szCs w:val="14"/>
                <w:color w:val="auto"/>
              </w:rPr>
            </w:pPr>
          </w:p>
        </w:tc>
        <w:tc>
          <w:tcPr>
            <w:tcW w:w="680" w:type="dxa"/>
            <w:vAlign w:val="bottom"/>
            <w:gridSpan w:val="2"/>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hensive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ated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ers'</w:t>
            </w:r>
          </w:p>
        </w:tc>
        <w:tc>
          <w:tcPr>
            <w:tcW w:w="0" w:type="dxa"/>
            <w:vAlign w:val="bottom"/>
          </w:tcPr>
          <w:p>
            <w:pPr>
              <w:spacing w:after="0"/>
              <w:rPr>
                <w:sz w:val="1"/>
                <w:szCs w:val="1"/>
                <w:color w:val="auto"/>
              </w:rPr>
            </w:pPr>
          </w:p>
        </w:tc>
      </w:tr>
      <w:tr>
        <w:trPr>
          <w:trHeight w:val="117"/>
        </w:trPr>
        <w:tc>
          <w:tcPr>
            <w:tcW w:w="3420" w:type="dxa"/>
            <w:vAlign w:val="bottom"/>
          </w:tcPr>
          <w:p>
            <w:pPr>
              <w:spacing w:after="0"/>
              <w:rPr>
                <w:sz w:val="10"/>
                <w:szCs w:val="10"/>
                <w:color w:val="auto"/>
              </w:rPr>
            </w:pP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vMerge w:val="restart"/>
          </w:tcPr>
          <w:p>
            <w:pPr>
              <w:spacing w:after="0"/>
              <w:rPr>
                <w:sz w:val="10"/>
                <w:szCs w:val="10"/>
                <w:color w:val="auto"/>
              </w:rPr>
            </w:pPr>
          </w:p>
        </w:tc>
        <w:tc>
          <w:tcPr>
            <w:tcW w:w="62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Amoun</w:t>
            </w:r>
          </w:p>
        </w:tc>
        <w:tc>
          <w:tcPr>
            <w:tcW w:w="120" w:type="dxa"/>
            <w:vAlign w:val="bottom"/>
          </w:tcPr>
          <w:p>
            <w:pPr>
              <w:spacing w:after="0"/>
              <w:rPr>
                <w:sz w:val="10"/>
                <w:szCs w:val="10"/>
                <w:color w:val="auto"/>
              </w:rPr>
            </w:pPr>
          </w:p>
        </w:tc>
        <w:tc>
          <w:tcPr>
            <w:tcW w:w="7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20" w:type="dxa"/>
            <w:vAlign w:val="bottom"/>
            <w:vMerge w:val="restart"/>
          </w:tcPr>
          <w:p>
            <w:pPr>
              <w:spacing w:after="0"/>
              <w:rPr>
                <w:sz w:val="10"/>
                <w:szCs w:val="10"/>
                <w:color w:val="auto"/>
              </w:rPr>
            </w:pPr>
          </w:p>
        </w:tc>
        <w:tc>
          <w:tcPr>
            <w:tcW w:w="580" w:type="dxa"/>
            <w:vAlign w:val="bottom"/>
            <w:gridSpan w:val="2"/>
          </w:tcPr>
          <w:p>
            <w:pPr>
              <w:jc w:val="right"/>
              <w:ind w:right="48"/>
              <w:spacing w:after="0" w:line="118" w:lineRule="exact"/>
              <w:rPr>
                <w:sz w:val="20"/>
                <w:szCs w:val="20"/>
                <w:color w:val="auto"/>
              </w:rPr>
            </w:pPr>
            <w:r>
              <w:rPr>
                <w:rFonts w:ascii="Times New Roman" w:cs="Times New Roman" w:eastAsia="Times New Roman" w:hAnsi="Times New Roman"/>
                <w:sz w:val="13"/>
                <w:szCs w:val="13"/>
                <w:b w:val="1"/>
                <w:bCs w:val="1"/>
                <w:color w:val="auto"/>
              </w:rPr>
              <w:t>Amoun</w:t>
            </w:r>
          </w:p>
        </w:tc>
        <w:tc>
          <w:tcPr>
            <w:tcW w:w="100" w:type="dxa"/>
            <w:vAlign w:val="bottom"/>
          </w:tcPr>
          <w:p>
            <w:pPr>
              <w:spacing w:after="0"/>
              <w:rPr>
                <w:sz w:val="10"/>
                <w:szCs w:val="10"/>
                <w:color w:val="auto"/>
              </w:rPr>
            </w:pPr>
          </w:p>
        </w:tc>
        <w:tc>
          <w:tcPr>
            <w:tcW w:w="6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0"/>
                <w:szCs w:val="10"/>
                <w:color w:val="auto"/>
              </w:rPr>
            </w:pPr>
          </w:p>
        </w:tc>
        <w:tc>
          <w:tcPr>
            <w:tcW w:w="62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Amoun</w:t>
            </w:r>
          </w:p>
        </w:tc>
        <w:tc>
          <w:tcPr>
            <w:tcW w:w="100" w:type="dxa"/>
            <w:vAlign w:val="bottom"/>
          </w:tcPr>
          <w:p>
            <w:pPr>
              <w:spacing w:after="0"/>
              <w:rPr>
                <w:sz w:val="10"/>
                <w:szCs w:val="10"/>
                <w:color w:val="auto"/>
              </w:rPr>
            </w:pPr>
          </w:p>
        </w:tc>
        <w:tc>
          <w:tcPr>
            <w:tcW w:w="70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center"/>
              <w:ind w:right="148"/>
              <w:spacing w:after="0" w:line="118" w:lineRule="exact"/>
              <w:rPr>
                <w:sz w:val="20"/>
                <w:szCs w:val="20"/>
                <w:color w:val="auto"/>
              </w:rPr>
            </w:pPr>
            <w:r>
              <w:rPr>
                <w:rFonts w:ascii="Times New Roman" w:cs="Times New Roman" w:eastAsia="Times New Roman" w:hAnsi="Times New Roman"/>
                <w:sz w:val="13"/>
                <w:szCs w:val="13"/>
                <w:b w:val="1"/>
                <w:bCs w:val="1"/>
                <w:color w:val="auto"/>
              </w:rPr>
              <w:t>(loss)</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restart"/>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vMerge w:val="restart"/>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73"/>
        </w:trPr>
        <w:tc>
          <w:tcPr>
            <w:tcW w:w="3420" w:type="dxa"/>
            <w:vAlign w:val="bottom"/>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t</w:t>
            </w: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w:t>
            </w:r>
          </w:p>
        </w:tc>
        <w:tc>
          <w:tcPr>
            <w:tcW w:w="100" w:type="dxa"/>
            <w:vAlign w:val="bottom"/>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t</w:t>
            </w:r>
          </w:p>
        </w:tc>
        <w:tc>
          <w:tcPr>
            <w:tcW w:w="2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bottom w:val="single" w:sz="8" w:color="auto"/>
            </w:tcBorders>
            <w:gridSpan w:val="2"/>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420" w:type="dxa"/>
            <w:vAlign w:val="bottom"/>
            <w:vMerge w:val="restart"/>
            <w:shd w:val="clear" w:color="auto" w:fill="CFF0FC"/>
          </w:tcPr>
          <w:p>
            <w:pPr>
              <w:ind w:left="40"/>
              <w:spacing w:after="0"/>
              <w:rPr>
                <w:sz w:val="20"/>
                <w:szCs w:val="20"/>
                <w:color w:val="auto"/>
              </w:rPr>
            </w:pPr>
            <w:r>
              <w:rPr>
                <w:rFonts w:ascii="Times New Roman" w:cs="Times New Roman" w:eastAsia="Times New Roman" w:hAnsi="Times New Roman"/>
                <w:sz w:val="14"/>
                <w:szCs w:val="14"/>
                <w:b w:val="1"/>
                <w:bCs w:val="1"/>
                <w:color w:val="auto"/>
              </w:rPr>
              <w:t>Balance December 31, 2025</w:t>
            </w:r>
          </w:p>
        </w:tc>
        <w:tc>
          <w:tcPr>
            <w:tcW w:w="840" w:type="dxa"/>
            <w:vAlign w:val="bottom"/>
            <w:gridSpan w:val="2"/>
            <w:vMerge w:val="restart"/>
            <w:shd w:val="clear" w:color="auto" w:fill="CFF0FC"/>
          </w:tcPr>
          <w:p>
            <w:pPr>
              <w:ind w:left="4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vMerge w:val="restart"/>
            <w:shd w:val="clear" w:color="auto" w:fill="CFF0FC"/>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FF0FC"/>
          </w:tcPr>
          <w:p>
            <w:pPr>
              <w:spacing w:after="0"/>
              <w:rPr>
                <w:sz w:val="10"/>
                <w:szCs w:val="10"/>
                <w:color w:val="auto"/>
              </w:rPr>
            </w:pPr>
          </w:p>
        </w:tc>
        <w:tc>
          <w:tcPr>
            <w:tcW w:w="840" w:type="dxa"/>
            <w:vAlign w:val="bottom"/>
            <w:gridSpan w:val="2"/>
            <w:vMerge w:val="restart"/>
            <w:shd w:val="clear" w:color="auto" w:fill="CFF0FC"/>
          </w:tcPr>
          <w:p>
            <w:pPr>
              <w:ind w:left="4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2"/>
            <w:shd w:val="clear" w:color="auto" w:fill="CFF0FC"/>
          </w:tcPr>
          <w:p>
            <w:pPr>
              <w:jc w:val="right"/>
              <w:ind w:right="48"/>
              <w:spacing w:after="0" w:line="118" w:lineRule="exact"/>
              <w:rPr>
                <w:sz w:val="20"/>
                <w:szCs w:val="20"/>
                <w:color w:val="auto"/>
              </w:rPr>
            </w:pPr>
            <w:r>
              <w:rPr>
                <w:rFonts w:ascii="Times New Roman" w:cs="Times New Roman" w:eastAsia="Times New Roman" w:hAnsi="Times New Roman"/>
                <w:sz w:val="13"/>
                <w:szCs w:val="13"/>
                <w:b w:val="1"/>
                <w:bCs w:val="1"/>
                <w:color w:val="auto"/>
              </w:rPr>
              <w:t>527,31</w:t>
            </w:r>
          </w:p>
        </w:tc>
        <w:tc>
          <w:tcPr>
            <w:tcW w:w="460" w:type="dxa"/>
            <w:vAlign w:val="bottom"/>
            <w:gridSpan w:val="2"/>
            <w:vMerge w:val="restart"/>
            <w:shd w:val="clear" w:color="auto" w:fill="CFF0FC"/>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$ 108,912</w:t>
            </w:r>
          </w:p>
        </w:tc>
        <w:tc>
          <w:tcPr>
            <w:tcW w:w="1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(85)</w:t>
            </w:r>
          </w:p>
        </w:tc>
        <w:tc>
          <w:tcPr>
            <w:tcW w:w="180" w:type="dxa"/>
            <w:vAlign w:val="bottom"/>
            <w:gridSpan w:val="2"/>
            <w:vMerge w:val="restart"/>
            <w:shd w:val="clear" w:color="auto" w:fill="CFF0FC"/>
          </w:tcPr>
          <w:p>
            <w:pPr>
              <w:ind w:left="10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shd w:val="clear" w:color="auto" w:fill="CFF0FC"/>
          </w:tcPr>
          <w:p>
            <w:pPr>
              <w:jc w:val="right"/>
              <w:ind w:right="49"/>
              <w:spacing w:after="0" w:line="118" w:lineRule="exact"/>
              <w:rPr>
                <w:sz w:val="20"/>
                <w:szCs w:val="20"/>
                <w:color w:val="auto"/>
              </w:rPr>
            </w:pPr>
            <w:r>
              <w:rPr>
                <w:rFonts w:ascii="Times New Roman" w:cs="Times New Roman" w:eastAsia="Times New Roman" w:hAnsi="Times New Roman"/>
                <w:sz w:val="13"/>
                <w:szCs w:val="13"/>
                <w:b w:val="1"/>
                <w:bCs w:val="1"/>
                <w:color w:val="auto"/>
              </w:rPr>
              <w:t>(100,77</w:t>
            </w:r>
          </w:p>
        </w:tc>
        <w:tc>
          <w:tcPr>
            <w:tcW w:w="2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8,055</w:t>
            </w:r>
          </w:p>
        </w:tc>
        <w:tc>
          <w:tcPr>
            <w:tcW w:w="0" w:type="dxa"/>
            <w:vAlign w:val="bottom"/>
          </w:tcPr>
          <w:p>
            <w:pPr>
              <w:spacing w:after="0"/>
              <w:rPr>
                <w:sz w:val="1"/>
                <w:szCs w:val="1"/>
                <w:color w:val="auto"/>
              </w:rPr>
            </w:pPr>
          </w:p>
        </w:tc>
      </w:tr>
      <w:tr>
        <w:trPr>
          <w:trHeight w:val="173"/>
        </w:trPr>
        <w:tc>
          <w:tcPr>
            <w:tcW w:w="3420" w:type="dxa"/>
            <w:vAlign w:val="bottom"/>
            <w:vMerge w:val="continue"/>
            <w:shd w:val="clear" w:color="auto" w:fill="CFF0FC"/>
          </w:tcPr>
          <w:p>
            <w:pPr>
              <w:spacing w:after="0"/>
              <w:rPr>
                <w:sz w:val="15"/>
                <w:szCs w:val="15"/>
                <w:color w:val="auto"/>
              </w:rPr>
            </w:pPr>
          </w:p>
        </w:tc>
        <w:tc>
          <w:tcPr>
            <w:tcW w:w="840" w:type="dxa"/>
            <w:vAlign w:val="bottom"/>
            <w:gridSpan w:val="2"/>
            <w:vMerge w:val="continue"/>
            <w:shd w:val="clear" w:color="auto" w:fill="CFF0FC"/>
          </w:tcPr>
          <w:p>
            <w:pPr>
              <w:spacing w:after="0"/>
              <w:rPr>
                <w:sz w:val="15"/>
                <w:szCs w:val="15"/>
                <w:color w:val="auto"/>
              </w:rPr>
            </w:pPr>
          </w:p>
        </w:tc>
        <w:tc>
          <w:tcPr>
            <w:tcW w:w="140" w:type="dxa"/>
            <w:vAlign w:val="bottom"/>
            <w:vMerge w:val="continue"/>
            <w:shd w:val="clear" w:color="auto" w:fill="CFF0FC"/>
          </w:tcPr>
          <w:p>
            <w:pPr>
              <w:spacing w:after="0"/>
              <w:rPr>
                <w:sz w:val="15"/>
                <w:szCs w:val="15"/>
                <w:color w:val="auto"/>
              </w:rPr>
            </w:pPr>
          </w:p>
        </w:tc>
        <w:tc>
          <w:tcPr>
            <w:tcW w:w="480" w:type="dxa"/>
            <w:vAlign w:val="bottom"/>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gridSpan w:val="2"/>
            <w:vMerge w:val="continue"/>
            <w:shd w:val="clear" w:color="auto" w:fill="CFF0FC"/>
          </w:tcPr>
          <w:p>
            <w:pPr>
              <w:spacing w:after="0"/>
              <w:rPr>
                <w:sz w:val="15"/>
                <w:szCs w:val="15"/>
                <w:color w:val="auto"/>
              </w:rPr>
            </w:pPr>
          </w:p>
        </w:tc>
        <w:tc>
          <w:tcPr>
            <w:tcW w:w="140" w:type="dxa"/>
            <w:vAlign w:val="bottom"/>
            <w:vMerge w:val="continue"/>
            <w:shd w:val="clear" w:color="auto" w:fill="CFF0FC"/>
          </w:tcPr>
          <w:p>
            <w:pPr>
              <w:spacing w:after="0"/>
              <w:rPr>
                <w:sz w:val="15"/>
                <w:szCs w:val="15"/>
                <w:color w:val="auto"/>
              </w:rPr>
            </w:pPr>
          </w:p>
        </w:tc>
        <w:tc>
          <w:tcPr>
            <w:tcW w:w="440" w:type="dxa"/>
            <w:vAlign w:val="bottom"/>
            <w:vMerge w:val="continue"/>
            <w:shd w:val="clear" w:color="auto" w:fill="CFF0FC"/>
          </w:tcPr>
          <w:p>
            <w:pPr>
              <w:spacing w:after="0"/>
              <w:rPr>
                <w:sz w:val="15"/>
                <w:szCs w:val="15"/>
                <w:color w:val="auto"/>
              </w:rPr>
            </w:pPr>
          </w:p>
        </w:tc>
        <w:tc>
          <w:tcPr>
            <w:tcW w:w="7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7</w:t>
            </w:r>
          </w:p>
        </w:tc>
        <w:tc>
          <w:tcPr>
            <w:tcW w:w="460" w:type="dxa"/>
            <w:vAlign w:val="bottom"/>
            <w:gridSpan w:val="2"/>
            <w:vMerge w:val="continue"/>
            <w:shd w:val="clear" w:color="auto" w:fill="CFF0FC"/>
          </w:tcPr>
          <w:p>
            <w:pPr>
              <w:spacing w:after="0"/>
              <w:rPr>
                <w:sz w:val="15"/>
                <w:szCs w:val="15"/>
                <w:color w:val="auto"/>
              </w:rPr>
            </w:pPr>
          </w:p>
        </w:tc>
        <w:tc>
          <w:tcPr>
            <w:tcW w:w="280" w:type="dxa"/>
            <w:vAlign w:val="bottom"/>
            <w:vMerge w:val="continue"/>
            <w:shd w:val="clear" w:color="auto" w:fill="CFF0FC"/>
          </w:tcPr>
          <w:p>
            <w:pPr>
              <w:spacing w:after="0"/>
              <w:rPr>
                <w:sz w:val="15"/>
                <w:szCs w:val="15"/>
                <w:color w:val="auto"/>
              </w:rPr>
            </w:pPr>
          </w:p>
        </w:tc>
        <w:tc>
          <w:tcPr>
            <w:tcW w:w="800" w:type="dxa"/>
            <w:vAlign w:val="bottom"/>
            <w:gridSpan w:val="2"/>
            <w:vMerge w:val="continue"/>
            <w:shd w:val="clear" w:color="auto" w:fill="CFF0FC"/>
          </w:tcPr>
          <w:p>
            <w:pPr>
              <w:spacing w:after="0"/>
              <w:rPr>
                <w:sz w:val="15"/>
                <w:szCs w:val="15"/>
                <w:color w:val="auto"/>
              </w:rPr>
            </w:pPr>
          </w:p>
        </w:tc>
        <w:tc>
          <w:tcPr>
            <w:tcW w:w="180" w:type="dxa"/>
            <w:vAlign w:val="bottom"/>
            <w:gridSpan w:val="2"/>
            <w:vMerge w:val="continue"/>
            <w:shd w:val="clear" w:color="auto" w:fill="CFF0FC"/>
          </w:tcPr>
          <w:p>
            <w:pPr>
              <w:spacing w:after="0"/>
              <w:rPr>
                <w:sz w:val="15"/>
                <w:szCs w:val="15"/>
                <w:color w:val="auto"/>
              </w:rPr>
            </w:pPr>
          </w:p>
        </w:tc>
        <w:tc>
          <w:tcPr>
            <w:tcW w:w="620" w:type="dxa"/>
            <w:vAlign w:val="bottom"/>
            <w:vMerge w:val="continue"/>
            <w:shd w:val="clear" w:color="auto" w:fill="CFF0FC"/>
          </w:tcPr>
          <w:p>
            <w:pPr>
              <w:spacing w:after="0"/>
              <w:rPr>
                <w:sz w:val="15"/>
                <w:szCs w:val="15"/>
                <w:color w:val="auto"/>
              </w:rPr>
            </w:pPr>
          </w:p>
        </w:tc>
        <w:tc>
          <w:tcPr>
            <w:tcW w:w="180" w:type="dxa"/>
            <w:vAlign w:val="bottom"/>
            <w:gridSpan w:val="2"/>
            <w:vMerge w:val="continue"/>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200" w:type="dxa"/>
            <w:vAlign w:val="bottom"/>
            <w:gridSpan w:val="2"/>
            <w:vMerge w:val="continue"/>
            <w:shd w:val="clear" w:color="auto" w:fill="CFF0FC"/>
          </w:tcPr>
          <w:p>
            <w:pPr>
              <w:spacing w:after="0"/>
              <w:rPr>
                <w:sz w:val="15"/>
                <w:szCs w:val="15"/>
                <w:color w:val="auto"/>
              </w:rPr>
            </w:pPr>
          </w:p>
        </w:tc>
        <w:tc>
          <w:tcPr>
            <w:tcW w:w="680" w:type="dxa"/>
            <w:vAlign w:val="bottom"/>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42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Shares issued to Yorkville under the SEPA</w:t>
            </w:r>
          </w:p>
        </w:tc>
        <w:tc>
          <w:tcPr>
            <w:tcW w:w="84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4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4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4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31,750</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697</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697</w:t>
            </w:r>
          </w:p>
        </w:tc>
        <w:tc>
          <w:tcPr>
            <w:tcW w:w="0" w:type="dxa"/>
            <w:vAlign w:val="bottom"/>
          </w:tcPr>
          <w:p>
            <w:pPr>
              <w:spacing w:after="0"/>
              <w:rPr>
                <w:sz w:val="1"/>
                <w:szCs w:val="1"/>
                <w:color w:val="auto"/>
              </w:rPr>
            </w:pPr>
          </w:p>
        </w:tc>
      </w:tr>
      <w:tr>
        <w:trPr>
          <w:trHeight w:val="126"/>
        </w:trPr>
        <w:tc>
          <w:tcPr>
            <w:tcW w:w="3420" w:type="dxa"/>
            <w:vAlign w:val="bottom"/>
            <w:vMerge w:val="restart"/>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Shares issued under the ATM</w:t>
            </w:r>
          </w:p>
        </w:tc>
        <w:tc>
          <w:tcPr>
            <w:tcW w:w="840" w:type="dxa"/>
            <w:vAlign w:val="bottom"/>
            <w:gridSpan w:val="2"/>
            <w:vMerge w:val="restart"/>
            <w:shd w:val="clear" w:color="auto" w:fill="CFF0FC"/>
          </w:tcPr>
          <w:p>
            <w:pPr>
              <w:ind w:left="4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FF0FC"/>
          </w:tcPr>
          <w:p>
            <w:pPr>
              <w:spacing w:after="0"/>
              <w:rPr>
                <w:sz w:val="10"/>
                <w:szCs w:val="10"/>
                <w:color w:val="auto"/>
              </w:rPr>
            </w:pPr>
          </w:p>
        </w:tc>
        <w:tc>
          <w:tcPr>
            <w:tcW w:w="480" w:type="dxa"/>
            <w:vAlign w:val="bottom"/>
            <w:vMerge w:val="restart"/>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840" w:type="dxa"/>
            <w:vAlign w:val="bottom"/>
            <w:gridSpan w:val="2"/>
            <w:vMerge w:val="restart"/>
            <w:shd w:val="clear" w:color="auto" w:fill="CFF0FC"/>
          </w:tcPr>
          <w:p>
            <w:pPr>
              <w:ind w:left="4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FF0FC"/>
          </w:tcPr>
          <w:p>
            <w:pPr>
              <w:spacing w:after="0"/>
              <w:rPr>
                <w:sz w:val="10"/>
                <w:szCs w:val="10"/>
                <w:color w:val="auto"/>
              </w:rPr>
            </w:pPr>
          </w:p>
        </w:tc>
        <w:tc>
          <w:tcPr>
            <w:tcW w:w="4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FF0FC"/>
          </w:tcPr>
          <w:p>
            <w:pPr>
              <w:jc w:val="right"/>
              <w:ind w:right="48"/>
              <w:spacing w:after="0" w:line="126" w:lineRule="exact"/>
              <w:rPr>
                <w:sz w:val="20"/>
                <w:szCs w:val="20"/>
                <w:color w:val="auto"/>
              </w:rPr>
            </w:pPr>
            <w:r>
              <w:rPr>
                <w:rFonts w:ascii="Times New Roman" w:cs="Times New Roman" w:eastAsia="Times New Roman" w:hAnsi="Times New Roman"/>
                <w:sz w:val="14"/>
                <w:szCs w:val="14"/>
                <w:color w:val="auto"/>
              </w:rPr>
              <w:t>107,25</w:t>
            </w:r>
          </w:p>
        </w:tc>
        <w:tc>
          <w:tcPr>
            <w:tcW w:w="1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2,636</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8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2,636</w:t>
            </w:r>
          </w:p>
        </w:tc>
        <w:tc>
          <w:tcPr>
            <w:tcW w:w="0" w:type="dxa"/>
            <w:vAlign w:val="bottom"/>
          </w:tcPr>
          <w:p>
            <w:pPr>
              <w:spacing w:after="0"/>
              <w:rPr>
                <w:sz w:val="1"/>
                <w:szCs w:val="1"/>
                <w:color w:val="auto"/>
              </w:rPr>
            </w:pPr>
          </w:p>
        </w:tc>
      </w:tr>
      <w:tr>
        <w:trPr>
          <w:trHeight w:val="171"/>
        </w:trPr>
        <w:tc>
          <w:tcPr>
            <w:tcW w:w="3420" w:type="dxa"/>
            <w:vAlign w:val="bottom"/>
            <w:vMerge w:val="continue"/>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40" w:type="dxa"/>
            <w:vAlign w:val="bottom"/>
            <w:vMerge w:val="continue"/>
            <w:shd w:val="clear" w:color="auto" w:fill="CFF0FC"/>
          </w:tcPr>
          <w:p>
            <w:pPr>
              <w:spacing w:after="0"/>
              <w:rPr>
                <w:sz w:val="14"/>
                <w:szCs w:val="14"/>
                <w:color w:val="auto"/>
              </w:rPr>
            </w:pPr>
          </w:p>
        </w:tc>
        <w:tc>
          <w:tcPr>
            <w:tcW w:w="7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80" w:type="dxa"/>
            <w:vAlign w:val="bottom"/>
            <w:vMerge w:val="continue"/>
            <w:shd w:val="clear" w:color="auto" w:fill="CFF0FC"/>
          </w:tcPr>
          <w:p>
            <w:pPr>
              <w:spacing w:after="0"/>
              <w:rPr>
                <w:sz w:val="14"/>
                <w:szCs w:val="14"/>
                <w:color w:val="auto"/>
              </w:rPr>
            </w:pPr>
          </w:p>
        </w:tc>
        <w:tc>
          <w:tcPr>
            <w:tcW w:w="80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2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Shares issued to 1800 Diagonal for conversions of debt</w:t>
            </w:r>
          </w:p>
        </w:tc>
        <w:tc>
          <w:tcPr>
            <w:tcW w:w="84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4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4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4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23,813</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392</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392</w:t>
            </w:r>
          </w:p>
        </w:tc>
        <w:tc>
          <w:tcPr>
            <w:tcW w:w="0" w:type="dxa"/>
            <w:vAlign w:val="bottom"/>
          </w:tcPr>
          <w:p>
            <w:pPr>
              <w:spacing w:after="0"/>
              <w:rPr>
                <w:sz w:val="1"/>
                <w:szCs w:val="1"/>
                <w:color w:val="auto"/>
              </w:rPr>
            </w:pPr>
          </w:p>
        </w:tc>
      </w:tr>
      <w:tr>
        <w:trPr>
          <w:trHeight w:val="126"/>
        </w:trPr>
        <w:tc>
          <w:tcPr>
            <w:tcW w:w="3420" w:type="dxa"/>
            <w:vAlign w:val="bottom"/>
            <w:vMerge w:val="restart"/>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Shares issued to 3i for conversions of debt</w:t>
            </w:r>
          </w:p>
        </w:tc>
        <w:tc>
          <w:tcPr>
            <w:tcW w:w="840" w:type="dxa"/>
            <w:vAlign w:val="bottom"/>
            <w:gridSpan w:val="2"/>
            <w:vMerge w:val="restart"/>
            <w:shd w:val="clear" w:color="auto" w:fill="CFF0FC"/>
          </w:tcPr>
          <w:p>
            <w:pPr>
              <w:ind w:left="4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FF0FC"/>
          </w:tcPr>
          <w:p>
            <w:pPr>
              <w:spacing w:after="0"/>
              <w:rPr>
                <w:sz w:val="10"/>
                <w:szCs w:val="10"/>
                <w:color w:val="auto"/>
              </w:rPr>
            </w:pPr>
          </w:p>
        </w:tc>
        <w:tc>
          <w:tcPr>
            <w:tcW w:w="480" w:type="dxa"/>
            <w:vAlign w:val="bottom"/>
            <w:vMerge w:val="restart"/>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840" w:type="dxa"/>
            <w:vAlign w:val="bottom"/>
            <w:gridSpan w:val="2"/>
            <w:vMerge w:val="restart"/>
            <w:shd w:val="clear" w:color="auto" w:fill="CFF0FC"/>
          </w:tcPr>
          <w:p>
            <w:pPr>
              <w:ind w:left="4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FF0FC"/>
          </w:tcPr>
          <w:p>
            <w:pPr>
              <w:spacing w:after="0"/>
              <w:rPr>
                <w:sz w:val="10"/>
                <w:szCs w:val="10"/>
                <w:color w:val="auto"/>
              </w:rPr>
            </w:pPr>
          </w:p>
        </w:tc>
        <w:tc>
          <w:tcPr>
            <w:tcW w:w="4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FF0FC"/>
          </w:tcPr>
          <w:p>
            <w:pPr>
              <w:jc w:val="right"/>
              <w:ind w:right="48"/>
              <w:spacing w:after="0" w:line="126" w:lineRule="exact"/>
              <w:rPr>
                <w:sz w:val="20"/>
                <w:szCs w:val="20"/>
                <w:color w:val="auto"/>
              </w:rPr>
            </w:pPr>
            <w:r>
              <w:rPr>
                <w:rFonts w:ascii="Times New Roman" w:cs="Times New Roman" w:eastAsia="Times New Roman" w:hAnsi="Times New Roman"/>
                <w:sz w:val="14"/>
                <w:szCs w:val="14"/>
                <w:color w:val="auto"/>
              </w:rPr>
              <w:t>143,80</w:t>
            </w:r>
          </w:p>
        </w:tc>
        <w:tc>
          <w:tcPr>
            <w:tcW w:w="1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2,735</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8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2,735</w:t>
            </w:r>
          </w:p>
        </w:tc>
        <w:tc>
          <w:tcPr>
            <w:tcW w:w="0" w:type="dxa"/>
            <w:vAlign w:val="bottom"/>
          </w:tcPr>
          <w:p>
            <w:pPr>
              <w:spacing w:after="0"/>
              <w:rPr>
                <w:sz w:val="1"/>
                <w:szCs w:val="1"/>
                <w:color w:val="auto"/>
              </w:rPr>
            </w:pPr>
          </w:p>
        </w:tc>
      </w:tr>
      <w:tr>
        <w:trPr>
          <w:trHeight w:val="171"/>
        </w:trPr>
        <w:tc>
          <w:tcPr>
            <w:tcW w:w="3420" w:type="dxa"/>
            <w:vAlign w:val="bottom"/>
            <w:vMerge w:val="continue"/>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40" w:type="dxa"/>
            <w:vAlign w:val="bottom"/>
            <w:vMerge w:val="continue"/>
            <w:shd w:val="clear" w:color="auto" w:fill="CFF0FC"/>
          </w:tcPr>
          <w:p>
            <w:pPr>
              <w:spacing w:after="0"/>
              <w:rPr>
                <w:sz w:val="14"/>
                <w:szCs w:val="14"/>
                <w:color w:val="auto"/>
              </w:rPr>
            </w:pPr>
          </w:p>
        </w:tc>
        <w:tc>
          <w:tcPr>
            <w:tcW w:w="7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80" w:type="dxa"/>
            <w:vAlign w:val="bottom"/>
            <w:vMerge w:val="continue"/>
            <w:shd w:val="clear" w:color="auto" w:fill="CFF0FC"/>
          </w:tcPr>
          <w:p>
            <w:pPr>
              <w:spacing w:after="0"/>
              <w:rPr>
                <w:sz w:val="14"/>
                <w:szCs w:val="14"/>
                <w:color w:val="auto"/>
              </w:rPr>
            </w:pPr>
          </w:p>
        </w:tc>
        <w:tc>
          <w:tcPr>
            <w:tcW w:w="80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2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Shares issued to Agile for conversions of debt</w:t>
            </w:r>
          </w:p>
        </w:tc>
        <w:tc>
          <w:tcPr>
            <w:tcW w:w="84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4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4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4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29,306</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666</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666</w:t>
            </w:r>
          </w:p>
        </w:tc>
        <w:tc>
          <w:tcPr>
            <w:tcW w:w="0" w:type="dxa"/>
            <w:vAlign w:val="bottom"/>
          </w:tcPr>
          <w:p>
            <w:pPr>
              <w:spacing w:after="0"/>
              <w:rPr>
                <w:sz w:val="1"/>
                <w:szCs w:val="1"/>
                <w:color w:val="auto"/>
              </w:rPr>
            </w:pPr>
          </w:p>
        </w:tc>
      </w:tr>
      <w:tr>
        <w:trPr>
          <w:trHeight w:val="148"/>
        </w:trPr>
        <w:tc>
          <w:tcPr>
            <w:tcW w:w="342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840" w:type="dxa"/>
            <w:vAlign w:val="bottom"/>
            <w:gridSpan w:val="2"/>
            <w:shd w:val="clear" w:color="auto" w:fill="CFF0FC"/>
          </w:tcPr>
          <w:p>
            <w:pPr>
              <w:ind w:left="4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FF0FC"/>
          </w:tcPr>
          <w:p>
            <w:pPr>
              <w:spacing w:after="0"/>
              <w:rPr>
                <w:sz w:val="12"/>
                <w:szCs w:val="12"/>
                <w:color w:val="auto"/>
              </w:rPr>
            </w:pPr>
          </w:p>
        </w:tc>
        <w:tc>
          <w:tcPr>
            <w:tcW w:w="48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ind w:left="4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FF0FC"/>
          </w:tcPr>
          <w:p>
            <w:pPr>
              <w:spacing w:after="0"/>
              <w:rPr>
                <w:sz w:val="12"/>
                <w:szCs w:val="12"/>
                <w:color w:val="auto"/>
              </w:rPr>
            </w:pPr>
          </w:p>
        </w:tc>
        <w:tc>
          <w:tcPr>
            <w:tcW w:w="4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1,308</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1,308</w:t>
            </w:r>
          </w:p>
        </w:tc>
        <w:tc>
          <w:tcPr>
            <w:tcW w:w="0" w:type="dxa"/>
            <w:vAlign w:val="bottom"/>
          </w:tcPr>
          <w:p>
            <w:pPr>
              <w:spacing w:after="0"/>
              <w:rPr>
                <w:sz w:val="1"/>
                <w:szCs w:val="1"/>
                <w:color w:val="auto"/>
              </w:rPr>
            </w:pPr>
          </w:p>
        </w:tc>
      </w:tr>
      <w:tr>
        <w:trPr>
          <w:trHeight w:val="148"/>
        </w:trPr>
        <w:tc>
          <w:tcPr>
            <w:tcW w:w="342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Vesting of RSUs</w:t>
            </w:r>
          </w:p>
        </w:tc>
        <w:tc>
          <w:tcPr>
            <w:tcW w:w="84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4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4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4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4,109</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42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Currency translation adjustment</w:t>
            </w:r>
          </w:p>
        </w:tc>
        <w:tc>
          <w:tcPr>
            <w:tcW w:w="840" w:type="dxa"/>
            <w:vAlign w:val="bottom"/>
            <w:gridSpan w:val="2"/>
            <w:shd w:val="clear" w:color="auto" w:fill="CFF0FC"/>
          </w:tcPr>
          <w:p>
            <w:pPr>
              <w:ind w:left="4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FF0FC"/>
          </w:tcPr>
          <w:p>
            <w:pPr>
              <w:spacing w:after="0"/>
              <w:rPr>
                <w:sz w:val="12"/>
                <w:szCs w:val="12"/>
                <w:color w:val="auto"/>
              </w:rPr>
            </w:pPr>
          </w:p>
        </w:tc>
        <w:tc>
          <w:tcPr>
            <w:tcW w:w="48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ind w:left="4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FF0FC"/>
          </w:tcPr>
          <w:p>
            <w:pPr>
              <w:spacing w:after="0"/>
              <w:rPr>
                <w:sz w:val="12"/>
                <w:szCs w:val="12"/>
                <w:color w:val="auto"/>
              </w:rPr>
            </w:pPr>
          </w:p>
        </w:tc>
        <w:tc>
          <w:tcPr>
            <w:tcW w:w="4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48"/>
        </w:trPr>
        <w:tc>
          <w:tcPr>
            <w:tcW w:w="342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720" w:type="dxa"/>
            <w:vAlign w:val="bottom"/>
            <w:tcBorders>
              <w:bottom w:val="single" w:sz="8" w:color="auto"/>
            </w:tcBorders>
          </w:tcPr>
          <w:p>
            <w:pPr>
              <w:ind w:left="4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tcBorders>
              <w:bottom w:val="single" w:sz="8" w:color="auto"/>
            </w:tcBorders>
          </w:tcPr>
          <w:p>
            <w:pPr>
              <w:ind w:left="4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8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(8,417)</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(8,417)</w:t>
            </w:r>
          </w:p>
        </w:tc>
        <w:tc>
          <w:tcPr>
            <w:tcW w:w="0" w:type="dxa"/>
            <w:vAlign w:val="bottom"/>
          </w:tcPr>
          <w:p>
            <w:pPr>
              <w:spacing w:after="0"/>
              <w:rPr>
                <w:sz w:val="1"/>
                <w:szCs w:val="1"/>
                <w:color w:val="auto"/>
              </w:rPr>
            </w:pPr>
          </w:p>
        </w:tc>
      </w:tr>
      <w:tr>
        <w:trPr>
          <w:trHeight w:val="117"/>
        </w:trPr>
        <w:tc>
          <w:tcPr>
            <w:tcW w:w="34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48"/>
              <w:spacing w:after="0" w:line="118" w:lineRule="exact"/>
              <w:rPr>
                <w:sz w:val="20"/>
                <w:szCs w:val="20"/>
                <w:color w:val="auto"/>
              </w:rPr>
            </w:pPr>
            <w:r>
              <w:rPr>
                <w:rFonts w:ascii="Times New Roman" w:cs="Times New Roman" w:eastAsia="Times New Roman" w:hAnsi="Times New Roman"/>
                <w:sz w:val="13"/>
                <w:szCs w:val="13"/>
                <w:b w:val="1"/>
                <w:bCs w:val="1"/>
                <w:color w:val="auto"/>
              </w:rPr>
              <w:t>867,35</w:t>
            </w:r>
          </w:p>
        </w:tc>
        <w:tc>
          <w:tcPr>
            <w:tcW w:w="1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40" w:type="dxa"/>
            <w:vAlign w:val="bottom"/>
            <w:shd w:val="clear" w:color="auto" w:fill="CFF0FC"/>
          </w:tcPr>
          <w:p>
            <w:pPr>
              <w:jc w:val="right"/>
              <w:ind w:right="49"/>
              <w:spacing w:after="0" w:line="118" w:lineRule="exact"/>
              <w:rPr>
                <w:sz w:val="20"/>
                <w:szCs w:val="20"/>
                <w:color w:val="auto"/>
              </w:rPr>
            </w:pPr>
            <w:r>
              <w:rPr>
                <w:rFonts w:ascii="Times New Roman" w:cs="Times New Roman" w:eastAsia="Times New Roman" w:hAnsi="Times New Roman"/>
                <w:sz w:val="13"/>
                <w:szCs w:val="13"/>
                <w:b w:val="1"/>
                <w:bCs w:val="1"/>
                <w:color w:val="auto"/>
              </w:rPr>
              <w:t>(109,18</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34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4"/>
                <w:szCs w:val="14"/>
                <w:b w:val="1"/>
                <w:bCs w:val="1"/>
                <w:color w:val="auto"/>
              </w:rPr>
              <w:t>Balance March 31, 2026</w:t>
            </w:r>
          </w:p>
        </w:tc>
        <w:tc>
          <w:tcPr>
            <w:tcW w:w="720" w:type="dxa"/>
            <w:vAlign w:val="bottom"/>
            <w:tcBorders>
              <w:bottom w:val="single" w:sz="8" w:color="auto"/>
            </w:tcBorders>
            <w:shd w:val="clear" w:color="auto" w:fill="CFF0FC"/>
          </w:tcPr>
          <w:p>
            <w:pPr>
              <w:ind w:left="440"/>
              <w:spacing w:after="0" w:line="153"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bottom w:val="single" w:sz="8" w:color="auto"/>
            </w:tcBorders>
            <w:shd w:val="clear" w:color="auto" w:fill="CFF0FC"/>
          </w:tcPr>
          <w:p>
            <w:pPr>
              <w:ind w:left="200"/>
              <w:spacing w:after="0" w:line="153"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ind w:left="440"/>
              <w:spacing w:after="0" w:line="153"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tcBorders>
              <w:bottom w:val="single" w:sz="8" w:color="auto"/>
            </w:tcBorders>
            <w:shd w:val="clear" w:color="auto" w:fill="CFF0FC"/>
          </w:tcPr>
          <w:p>
            <w:pPr>
              <w:jc w:val="right"/>
              <w:ind w:right="48"/>
              <w:spacing w:after="0" w:line="153"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48"/>
              <w:spacing w:after="0" w:line="153" w:lineRule="exact"/>
              <w:rPr>
                <w:sz w:val="20"/>
                <w:szCs w:val="20"/>
                <w:color w:val="auto"/>
              </w:rPr>
            </w:pPr>
            <w:r>
              <w:rPr>
                <w:rFonts w:ascii="Times New Roman" w:cs="Times New Roman" w:eastAsia="Times New Roman" w:hAnsi="Times New Roman"/>
                <w:sz w:val="14"/>
                <w:szCs w:val="14"/>
                <w:b w:val="1"/>
                <w:bCs w:val="1"/>
                <w:color w:val="auto"/>
              </w:rPr>
              <w:t>5</w:t>
            </w:r>
          </w:p>
        </w:tc>
        <w:tc>
          <w:tcPr>
            <w:tcW w:w="1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21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80" w:type="dxa"/>
            <w:vAlign w:val="bottom"/>
            <w:tcBorders>
              <w:bottom w:val="single" w:sz="8" w:color="auto"/>
            </w:tcBorders>
            <w:shd w:val="clear" w:color="auto" w:fill="CFF0FC"/>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48"/>
              <w:spacing w:after="0" w:line="153" w:lineRule="exact"/>
              <w:rPr>
                <w:sz w:val="20"/>
                <w:szCs w:val="20"/>
                <w:color w:val="auto"/>
              </w:rPr>
            </w:pPr>
            <w:r>
              <w:rPr>
                <w:rFonts w:ascii="Times New Roman" w:cs="Times New Roman" w:eastAsia="Times New Roman" w:hAnsi="Times New Roman"/>
                <w:sz w:val="14"/>
                <w:szCs w:val="14"/>
                <w:b w:val="1"/>
                <w:bCs w:val="1"/>
                <w:color w:val="auto"/>
                <w:w w:val="99"/>
              </w:rPr>
              <w:t>$ 117,346</w:t>
            </w:r>
          </w:p>
        </w:tc>
        <w:tc>
          <w:tcPr>
            <w:tcW w:w="12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bottom w:val="single" w:sz="8" w:color="auto"/>
            </w:tcBorders>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(60)</w:t>
            </w: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line="153"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bottom w:val="single" w:sz="8" w:color="auto"/>
            </w:tcBorders>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9)</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bottom w:val="single" w:sz="8" w:color="auto"/>
            </w:tcBorders>
            <w:shd w:val="clear" w:color="auto" w:fill="CFF0FC"/>
          </w:tcPr>
          <w:p>
            <w:pPr>
              <w:jc w:val="right"/>
              <w:ind w:right="48"/>
              <w:spacing w:after="0" w:line="153" w:lineRule="exact"/>
              <w:rPr>
                <w:sz w:val="20"/>
                <w:szCs w:val="20"/>
                <w:color w:val="auto"/>
              </w:rPr>
            </w:pPr>
            <w:r>
              <w:rPr>
                <w:rFonts w:ascii="Times New Roman" w:cs="Times New Roman" w:eastAsia="Times New Roman" w:hAnsi="Times New Roman"/>
                <w:sz w:val="14"/>
                <w:szCs w:val="14"/>
                <w:b w:val="1"/>
                <w:bCs w:val="1"/>
                <w:color w:val="auto"/>
              </w:rPr>
              <w:t>8,097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-25400</wp:posOffset>
            </wp:positionV>
            <wp:extent cx="768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-7620</wp:posOffset>
            </wp:positionV>
            <wp:extent cx="76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-25400</wp:posOffset>
            </wp:positionV>
            <wp:extent cx="768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-7620</wp:posOffset>
            </wp:positionV>
            <wp:extent cx="768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-25400</wp:posOffset>
            </wp:positionV>
            <wp:extent cx="774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-7620</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-25400</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-7620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-25400</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-7620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-25400</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-7620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-25400</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-7620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-25400</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-25400</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-7620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Accumu</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ind w:left="20"/>
              <w:spacing w:after="0" w:line="162" w:lineRule="exact"/>
              <w:rPr>
                <w:sz w:val="20"/>
                <w:szCs w:val="20"/>
                <w:color w:val="auto"/>
              </w:rPr>
            </w:pPr>
            <w:r>
              <w:rPr>
                <w:rFonts w:ascii="Times New Roman" w:cs="Times New Roman" w:eastAsia="Times New Roman" w:hAnsi="Times New Roman"/>
                <w:sz w:val="15"/>
                <w:szCs w:val="15"/>
                <w:b w:val="1"/>
                <w:bCs w:val="1"/>
                <w:color w:val="auto"/>
              </w:rPr>
              <w:t>lated</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20" w:type="dxa"/>
            <w:vAlign w:val="bottom"/>
          </w:tcPr>
          <w:p>
            <w:pPr>
              <w:spacing w:after="0"/>
              <w:rPr>
                <w:sz w:val="14"/>
                <w:szCs w:val="14"/>
                <w:color w:val="auto"/>
              </w:rPr>
            </w:pPr>
          </w:p>
        </w:tc>
        <w:tc>
          <w:tcPr>
            <w:tcW w:w="1440" w:type="dxa"/>
            <w:vAlign w:val="bottom"/>
            <w:gridSpan w:val="4"/>
            <w:vMerge w:val="restart"/>
          </w:tcPr>
          <w:p>
            <w:pPr>
              <w:ind w:left="40"/>
              <w:spacing w:after="0"/>
              <w:rPr>
                <w:sz w:val="20"/>
                <w:szCs w:val="20"/>
                <w:color w:val="auto"/>
              </w:rPr>
            </w:pPr>
            <w:r>
              <w:rPr>
                <w:rFonts w:ascii="Times New Roman" w:cs="Times New Roman" w:eastAsia="Times New Roman" w:hAnsi="Times New Roman"/>
                <w:sz w:val="15"/>
                <w:szCs w:val="15"/>
                <w:b w:val="1"/>
                <w:bCs w:val="1"/>
                <w:color w:val="auto"/>
              </w:rPr>
              <w:t>Series A Preferred</w:t>
            </w:r>
          </w:p>
        </w:tc>
        <w:tc>
          <w:tcPr>
            <w:tcW w:w="1560" w:type="dxa"/>
            <w:vAlign w:val="bottom"/>
            <w:gridSpan w:val="5"/>
            <w:vMerge w:val="restart"/>
          </w:tcPr>
          <w:p>
            <w:pPr>
              <w:ind w:left="120"/>
              <w:spacing w:after="0"/>
              <w:rPr>
                <w:sz w:val="20"/>
                <w:szCs w:val="20"/>
                <w:color w:val="auto"/>
              </w:rPr>
            </w:pPr>
            <w:r>
              <w:rPr>
                <w:rFonts w:ascii="Times New Roman" w:cs="Times New Roman" w:eastAsia="Times New Roman" w:hAnsi="Times New Roman"/>
                <w:sz w:val="15"/>
                <w:szCs w:val="15"/>
                <w:b w:val="1"/>
                <w:bCs w:val="1"/>
                <w:color w:val="auto"/>
              </w:rPr>
              <w:t>Series FE Preferred</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Addition</w:t>
            </w:r>
          </w:p>
        </w:tc>
        <w:tc>
          <w:tcPr>
            <w:tcW w:w="120" w:type="dxa"/>
            <w:vAlign w:val="bottom"/>
          </w:tcPr>
          <w:p>
            <w:pPr>
              <w:spacing w:after="0"/>
              <w:rPr>
                <w:sz w:val="14"/>
                <w:szCs w:val="14"/>
                <w:color w:val="auto"/>
              </w:rPr>
            </w:pPr>
          </w:p>
        </w:tc>
        <w:tc>
          <w:tcPr>
            <w:tcW w:w="680" w:type="dxa"/>
            <w:vAlign w:val="bottom"/>
            <w:gridSpan w:val="2"/>
          </w:tcPr>
          <w:p>
            <w:pPr>
              <w:ind w:left="60"/>
              <w:spacing w:after="0" w:line="162" w:lineRule="exact"/>
              <w:rPr>
                <w:sz w:val="20"/>
                <w:szCs w:val="20"/>
                <w:color w:val="auto"/>
              </w:rPr>
            </w:pPr>
            <w:r>
              <w:rPr>
                <w:rFonts w:ascii="Times New Roman" w:cs="Times New Roman" w:eastAsia="Times New Roman" w:hAnsi="Times New Roman"/>
                <w:sz w:val="15"/>
                <w:szCs w:val="15"/>
                <w:b w:val="1"/>
                <w:bCs w:val="1"/>
                <w:color w:val="auto"/>
              </w:rPr>
              <w:t>Other</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ind w:right="144"/>
              <w:spacing w:after="0" w:line="162" w:lineRule="exact"/>
              <w:rPr>
                <w:sz w:val="20"/>
                <w:szCs w:val="20"/>
                <w:color w:val="auto"/>
              </w:rPr>
            </w:pPr>
            <w:r>
              <w:rPr>
                <w:rFonts w:ascii="Times New Roman" w:cs="Times New Roman" w:eastAsia="Times New Roman" w:hAnsi="Times New Roman"/>
                <w:sz w:val="15"/>
                <w:szCs w:val="15"/>
                <w:b w:val="1"/>
                <w:bCs w:val="1"/>
                <w:color w:val="auto"/>
                <w:w w:val="99"/>
              </w:rPr>
              <w:t>Total</w:t>
            </w:r>
          </w:p>
        </w:tc>
        <w:tc>
          <w:tcPr>
            <w:tcW w:w="0" w:type="dxa"/>
            <w:vAlign w:val="bottom"/>
          </w:tcPr>
          <w:p>
            <w:pPr>
              <w:spacing w:after="0"/>
              <w:rPr>
                <w:sz w:val="1"/>
                <w:szCs w:val="1"/>
                <w:color w:val="auto"/>
              </w:rPr>
            </w:pPr>
          </w:p>
        </w:tc>
      </w:tr>
      <w:tr>
        <w:trPr>
          <w:trHeight w:val="156"/>
        </w:trPr>
        <w:tc>
          <w:tcPr>
            <w:tcW w:w="3420" w:type="dxa"/>
            <w:vAlign w:val="bottom"/>
          </w:tcPr>
          <w:p>
            <w:pPr>
              <w:spacing w:after="0"/>
              <w:rPr>
                <w:sz w:val="13"/>
                <w:szCs w:val="13"/>
                <w:color w:val="auto"/>
              </w:rPr>
            </w:pPr>
          </w:p>
        </w:tc>
        <w:tc>
          <w:tcPr>
            <w:tcW w:w="1440" w:type="dxa"/>
            <w:vAlign w:val="bottom"/>
            <w:gridSpan w:val="4"/>
            <w:vMerge w:val="continue"/>
          </w:tcPr>
          <w:p>
            <w:pPr>
              <w:spacing w:after="0"/>
              <w:rPr>
                <w:sz w:val="13"/>
                <w:szCs w:val="13"/>
                <w:color w:val="auto"/>
              </w:rPr>
            </w:pPr>
          </w:p>
        </w:tc>
        <w:tc>
          <w:tcPr>
            <w:tcW w:w="1560" w:type="dxa"/>
            <w:vAlign w:val="bottom"/>
            <w:gridSpan w:val="5"/>
            <w:vMerge w:val="continue"/>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ind w:right="264"/>
              <w:spacing w:after="0" w:line="156" w:lineRule="exact"/>
              <w:rPr>
                <w:sz w:val="20"/>
                <w:szCs w:val="20"/>
                <w:color w:val="auto"/>
              </w:rPr>
            </w:pPr>
            <w:r>
              <w:rPr>
                <w:rFonts w:ascii="Times New Roman" w:cs="Times New Roman" w:eastAsia="Times New Roman" w:hAnsi="Times New Roman"/>
                <w:sz w:val="15"/>
                <w:szCs w:val="15"/>
                <w:b w:val="1"/>
                <w:bCs w:val="1"/>
                <w:color w:val="auto"/>
              </w:rPr>
              <w:t>al</w:t>
            </w:r>
          </w:p>
        </w:tc>
        <w:tc>
          <w:tcPr>
            <w:tcW w:w="120" w:type="dxa"/>
            <w:vAlign w:val="bottom"/>
          </w:tcPr>
          <w:p>
            <w:pPr>
              <w:spacing w:after="0"/>
              <w:rPr>
                <w:sz w:val="13"/>
                <w:szCs w:val="13"/>
                <w:color w:val="auto"/>
              </w:rPr>
            </w:pPr>
          </w:p>
        </w:tc>
        <w:tc>
          <w:tcPr>
            <w:tcW w:w="680" w:type="dxa"/>
            <w:vAlign w:val="bottom"/>
            <w:gridSpan w:val="2"/>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Compre</w:t>
            </w:r>
          </w:p>
        </w:tc>
        <w:tc>
          <w:tcPr>
            <w:tcW w:w="100" w:type="dxa"/>
            <w:vAlign w:val="bottom"/>
          </w:tcPr>
          <w:p>
            <w:pPr>
              <w:spacing w:after="0"/>
              <w:rPr>
                <w:sz w:val="13"/>
                <w:szCs w:val="13"/>
                <w:color w:val="auto"/>
              </w:rPr>
            </w:pPr>
          </w:p>
        </w:tc>
        <w:tc>
          <w:tcPr>
            <w:tcW w:w="720" w:type="dxa"/>
            <w:vAlign w:val="bottom"/>
          </w:tcPr>
          <w:p>
            <w:pPr>
              <w:jc w:val="center"/>
              <w:ind w:right="24"/>
              <w:spacing w:after="0" w:line="156" w:lineRule="exact"/>
              <w:rPr>
                <w:sz w:val="20"/>
                <w:szCs w:val="20"/>
                <w:color w:val="auto"/>
              </w:rPr>
            </w:pPr>
            <w:r>
              <w:rPr>
                <w:rFonts w:ascii="Times New Roman" w:cs="Times New Roman" w:eastAsia="Times New Roman" w:hAnsi="Times New Roman"/>
                <w:sz w:val="15"/>
                <w:szCs w:val="15"/>
                <w:b w:val="1"/>
                <w:bCs w:val="1"/>
                <w:color w:val="auto"/>
              </w:rPr>
              <w:t>Accumul</w:t>
            </w:r>
          </w:p>
        </w:tc>
        <w:tc>
          <w:tcPr>
            <w:tcW w:w="120" w:type="dxa"/>
            <w:vAlign w:val="bottom"/>
          </w:tcPr>
          <w:p>
            <w:pPr>
              <w:spacing w:after="0"/>
              <w:rPr>
                <w:sz w:val="13"/>
                <w:szCs w:val="13"/>
                <w:color w:val="auto"/>
              </w:rPr>
            </w:pPr>
          </w:p>
        </w:tc>
        <w:tc>
          <w:tcPr>
            <w:tcW w:w="760" w:type="dxa"/>
            <w:vAlign w:val="bottom"/>
            <w:gridSpan w:val="2"/>
          </w:tcPr>
          <w:p>
            <w:pPr>
              <w:jc w:val="center"/>
              <w:ind w:right="44"/>
              <w:spacing w:after="0" w:line="156" w:lineRule="exact"/>
              <w:rPr>
                <w:sz w:val="20"/>
                <w:szCs w:val="20"/>
                <w:color w:val="auto"/>
              </w:rPr>
            </w:pPr>
            <w:r>
              <w:rPr>
                <w:rFonts w:ascii="Times New Roman" w:cs="Times New Roman" w:eastAsia="Times New Roman" w:hAnsi="Times New Roman"/>
                <w:sz w:val="15"/>
                <w:szCs w:val="15"/>
                <w:b w:val="1"/>
                <w:bCs w:val="1"/>
                <w:color w:val="auto"/>
              </w:rPr>
              <w:t>Stockhol</w:t>
            </w:r>
          </w:p>
        </w:tc>
        <w:tc>
          <w:tcPr>
            <w:tcW w:w="0" w:type="dxa"/>
            <w:vAlign w:val="bottom"/>
          </w:tcPr>
          <w:p>
            <w:pPr>
              <w:spacing w:after="0"/>
              <w:rPr>
                <w:sz w:val="1"/>
                <w:szCs w:val="1"/>
                <w:color w:val="auto"/>
              </w:rPr>
            </w:pPr>
          </w:p>
        </w:tc>
      </w:tr>
      <w:tr>
        <w:trPr>
          <w:trHeight w:val="175"/>
        </w:trPr>
        <w:tc>
          <w:tcPr>
            <w:tcW w:w="3420" w:type="dxa"/>
            <w:vAlign w:val="bottom"/>
          </w:tcPr>
          <w:p>
            <w:pPr>
              <w:spacing w:after="0"/>
              <w:rPr>
                <w:sz w:val="15"/>
                <w:szCs w:val="15"/>
                <w:color w:val="auto"/>
              </w:rPr>
            </w:pPr>
          </w:p>
        </w:tc>
        <w:tc>
          <w:tcPr>
            <w:tcW w:w="840" w:type="dxa"/>
            <w:vAlign w:val="bottom"/>
            <w:tcBorders>
              <w:bottom w:val="single" w:sz="8" w:color="auto"/>
            </w:tcBorders>
            <w:gridSpan w:val="2"/>
          </w:tcPr>
          <w:p>
            <w:pPr>
              <w:ind w:left="480"/>
              <w:spacing w:after="0"/>
              <w:rPr>
                <w:sz w:val="20"/>
                <w:szCs w:val="20"/>
                <w:color w:val="auto"/>
              </w:rPr>
            </w:pPr>
            <w:r>
              <w:rPr>
                <w:rFonts w:ascii="Times New Roman" w:cs="Times New Roman" w:eastAsia="Times New Roman" w:hAnsi="Times New Roman"/>
                <w:sz w:val="15"/>
                <w:szCs w:val="15"/>
                <w:b w:val="1"/>
                <w:bCs w:val="1"/>
                <w:color w:val="auto"/>
                <w:w w:val="94"/>
              </w:rPr>
              <w:t>Stock</w:t>
            </w: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ind w:left="480"/>
              <w:spacing w:after="0"/>
              <w:rPr>
                <w:sz w:val="20"/>
                <w:szCs w:val="20"/>
                <w:color w:val="auto"/>
              </w:rPr>
            </w:pPr>
            <w:r>
              <w:rPr>
                <w:rFonts w:ascii="Times New Roman" w:cs="Times New Roman" w:eastAsia="Times New Roman" w:hAnsi="Times New Roman"/>
                <w:sz w:val="15"/>
                <w:szCs w:val="15"/>
                <w:b w:val="1"/>
                <w:bCs w:val="1"/>
                <w:color w:val="auto"/>
                <w:w w:val="94"/>
              </w:rPr>
              <w:t>Stock</w:t>
            </w: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10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Paid-in-</w:t>
            </w:r>
          </w:p>
        </w:tc>
        <w:tc>
          <w:tcPr>
            <w:tcW w:w="12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hensive</w:t>
            </w:r>
          </w:p>
        </w:tc>
        <w:tc>
          <w:tcPr>
            <w:tcW w:w="100" w:type="dxa"/>
            <w:vAlign w:val="bottom"/>
          </w:tcPr>
          <w:p>
            <w:pPr>
              <w:spacing w:after="0"/>
              <w:rPr>
                <w:sz w:val="15"/>
                <w:szCs w:val="15"/>
                <w:color w:val="auto"/>
              </w:rPr>
            </w:pPr>
          </w:p>
        </w:tc>
        <w:tc>
          <w:tcPr>
            <w:tcW w:w="720" w:type="dxa"/>
            <w:vAlign w:val="bottom"/>
          </w:tcPr>
          <w:p>
            <w:pPr>
              <w:jc w:val="center"/>
              <w:ind w:right="44"/>
              <w:spacing w:after="0"/>
              <w:rPr>
                <w:sz w:val="20"/>
                <w:szCs w:val="20"/>
                <w:color w:val="auto"/>
              </w:rPr>
            </w:pPr>
            <w:r>
              <w:rPr>
                <w:rFonts w:ascii="Times New Roman" w:cs="Times New Roman" w:eastAsia="Times New Roman" w:hAnsi="Times New Roman"/>
                <w:sz w:val="15"/>
                <w:szCs w:val="15"/>
                <w:b w:val="1"/>
                <w:bCs w:val="1"/>
                <w:color w:val="auto"/>
              </w:rPr>
              <w:t>ated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center"/>
              <w:ind w:right="124"/>
              <w:spacing w:after="0"/>
              <w:rPr>
                <w:sz w:val="20"/>
                <w:szCs w:val="20"/>
                <w:color w:val="auto"/>
              </w:rPr>
            </w:pPr>
            <w:r>
              <w:rPr>
                <w:rFonts w:ascii="Times New Roman" w:cs="Times New Roman" w:eastAsia="Times New Roman" w:hAnsi="Times New Roman"/>
                <w:sz w:val="15"/>
                <w:szCs w:val="15"/>
                <w:b w:val="1"/>
                <w:bCs w:val="1"/>
                <w:color w:val="auto"/>
              </w:rPr>
              <w:t>ders'</w:t>
            </w:r>
          </w:p>
        </w:tc>
        <w:tc>
          <w:tcPr>
            <w:tcW w:w="0" w:type="dxa"/>
            <w:vAlign w:val="bottom"/>
          </w:tcPr>
          <w:p>
            <w:pPr>
              <w:spacing w:after="0"/>
              <w:rPr>
                <w:sz w:val="1"/>
                <w:szCs w:val="1"/>
                <w:color w:val="auto"/>
              </w:rPr>
            </w:pPr>
          </w:p>
        </w:tc>
      </w:tr>
      <w:tr>
        <w:trPr>
          <w:trHeight w:val="134"/>
        </w:trPr>
        <w:tc>
          <w:tcPr>
            <w:tcW w:w="3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ind w:left="40"/>
              <w:spacing w:after="0" w:line="134" w:lineRule="exact"/>
              <w:rPr>
                <w:sz w:val="20"/>
                <w:szCs w:val="20"/>
                <w:color w:val="auto"/>
              </w:rPr>
            </w:pPr>
            <w:r>
              <w:rPr>
                <w:rFonts w:ascii="Times New Roman" w:cs="Times New Roman" w:eastAsia="Times New Roman" w:hAnsi="Times New Roman"/>
                <w:sz w:val="15"/>
                <w:szCs w:val="15"/>
                <w:b w:val="1"/>
                <w:bCs w:val="1"/>
                <w:color w:val="auto"/>
              </w:rPr>
              <w:t>Amou</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ind w:left="40"/>
              <w:spacing w:after="0" w:line="134" w:lineRule="exact"/>
              <w:rPr>
                <w:sz w:val="20"/>
                <w:szCs w:val="20"/>
                <w:color w:val="auto"/>
              </w:rPr>
            </w:pPr>
            <w:r>
              <w:rPr>
                <w:rFonts w:ascii="Times New Roman" w:cs="Times New Roman" w:eastAsia="Times New Roman" w:hAnsi="Times New Roman"/>
                <w:sz w:val="15"/>
                <w:szCs w:val="15"/>
                <w:b w:val="1"/>
                <w:bCs w:val="1"/>
                <w:color w:val="auto"/>
              </w:rPr>
              <w:t>Amou</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Times New Roman" w:cs="Times New Roman" w:eastAsia="Times New Roman" w:hAnsi="Times New Roman"/>
                <w:sz w:val="15"/>
                <w:szCs w:val="15"/>
                <w:b w:val="1"/>
                <w:bCs w:val="1"/>
                <w:color w:val="auto"/>
              </w:rPr>
              <w:t>Amoun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Times New Roman" w:cs="Times New Roman" w:eastAsia="Times New Roman" w:hAnsi="Times New Roman"/>
                <w:sz w:val="15"/>
                <w:szCs w:val="15"/>
                <w:b w:val="1"/>
                <w:bCs w:val="1"/>
                <w:color w:val="auto"/>
              </w:rPr>
              <w:t>(loss)</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ind w:right="164"/>
              <w:spacing w:after="0" w:line="134" w:lineRule="exact"/>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183"/>
        </w:trPr>
        <w:tc>
          <w:tcPr>
            <w:tcW w:w="3420" w:type="dxa"/>
            <w:vAlign w:val="bottom"/>
          </w:tcPr>
          <w:p>
            <w:pPr>
              <w:spacing w:after="0"/>
              <w:rPr>
                <w:sz w:val="15"/>
                <w:szCs w:val="15"/>
                <w:color w:val="auto"/>
              </w:rPr>
            </w:pPr>
          </w:p>
        </w:tc>
        <w:tc>
          <w:tcPr>
            <w:tcW w:w="7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b w:val="1"/>
                <w:bCs w:val="1"/>
                <w:color w:val="auto"/>
              </w:rPr>
              <w:t>nt</w:t>
            </w: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5"/>
                <w:szCs w:val="15"/>
                <w:b w:val="1"/>
                <w:bCs w:val="1"/>
                <w:color w:val="auto"/>
              </w:rPr>
              <w:t>Share</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b w:val="1"/>
                <w:bCs w:val="1"/>
                <w:color w:val="auto"/>
              </w:rPr>
              <w:t>nt</w:t>
            </w:r>
          </w:p>
        </w:tc>
        <w:tc>
          <w:tcPr>
            <w:tcW w:w="100" w:type="dxa"/>
            <w:vAlign w:val="bottom"/>
          </w:tcPr>
          <w:p>
            <w:pPr>
              <w:spacing w:after="0"/>
              <w:rPr>
                <w:sz w:val="15"/>
                <w:szCs w:val="15"/>
                <w:color w:val="auto"/>
              </w:rPr>
            </w:pPr>
          </w:p>
        </w:tc>
        <w:tc>
          <w:tcPr>
            <w:tcW w:w="6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b w:val="1"/>
                <w:bCs w:val="1"/>
                <w:color w:val="auto"/>
              </w:rPr>
              <w:t>t</w:t>
            </w:r>
          </w:p>
        </w:tc>
        <w:tc>
          <w:tcPr>
            <w:tcW w:w="100" w:type="dxa"/>
            <w:vAlign w:val="bottom"/>
          </w:tcPr>
          <w:p>
            <w:pPr>
              <w:spacing w:after="0"/>
              <w:rPr>
                <w:sz w:val="15"/>
                <w:szCs w:val="15"/>
                <w:color w:val="auto"/>
              </w:rPr>
            </w:pPr>
          </w:p>
        </w:tc>
        <w:tc>
          <w:tcPr>
            <w:tcW w:w="700" w:type="dxa"/>
            <w:vAlign w:val="bottom"/>
            <w:tcBorders>
              <w:bottom w:val="single" w:sz="8" w:color="auto"/>
            </w:tcBorders>
            <w:gridSpan w:val="2"/>
          </w:tcPr>
          <w:p>
            <w:pPr>
              <w:jc w:val="right"/>
              <w:ind w:right="84"/>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20" w:type="dxa"/>
            <w:vAlign w:val="bottom"/>
          </w:tcPr>
          <w:p>
            <w:pPr>
              <w:spacing w:after="0"/>
              <w:rPr>
                <w:sz w:val="15"/>
                <w:szCs w:val="15"/>
                <w:color w:val="auto"/>
              </w:rPr>
            </w:pPr>
          </w:p>
        </w:tc>
        <w:tc>
          <w:tcPr>
            <w:tcW w:w="6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income</w:t>
            </w:r>
          </w:p>
        </w:tc>
        <w:tc>
          <w:tcPr>
            <w:tcW w:w="100" w:type="dxa"/>
            <w:vAlign w:val="bottom"/>
          </w:tcPr>
          <w:p>
            <w:pPr>
              <w:spacing w:after="0"/>
              <w:rPr>
                <w:sz w:val="15"/>
                <w:szCs w:val="15"/>
                <w:color w:val="auto"/>
              </w:rPr>
            </w:pPr>
          </w:p>
        </w:tc>
        <w:tc>
          <w:tcPr>
            <w:tcW w:w="72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120" w:type="dxa"/>
            <w:vAlign w:val="bottom"/>
          </w:tcPr>
          <w:p>
            <w:pPr>
              <w:spacing w:after="0"/>
              <w:rPr>
                <w:sz w:val="15"/>
                <w:szCs w:val="15"/>
                <w:color w:val="auto"/>
              </w:rPr>
            </w:pPr>
          </w:p>
        </w:tc>
        <w:tc>
          <w:tcPr>
            <w:tcW w:w="760" w:type="dxa"/>
            <w:vAlign w:val="bottom"/>
            <w:tcBorders>
              <w:bottom w:val="single" w:sz="8" w:color="auto"/>
            </w:tcBorders>
            <w:gridSpan w:val="2"/>
          </w:tcPr>
          <w:p>
            <w:pPr>
              <w:jc w:val="center"/>
              <w:ind w:right="64"/>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0" w:type="dxa"/>
            <w:vAlign w:val="bottom"/>
          </w:tcPr>
          <w:p>
            <w:pPr>
              <w:spacing w:after="0"/>
              <w:rPr>
                <w:sz w:val="1"/>
                <w:szCs w:val="1"/>
                <w:color w:val="auto"/>
              </w:rPr>
            </w:pPr>
          </w:p>
        </w:tc>
      </w:tr>
      <w:tr>
        <w:trPr>
          <w:trHeight w:val="155"/>
        </w:trPr>
        <w:tc>
          <w:tcPr>
            <w:tcW w:w="342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Balance December 31, 2024</w:t>
            </w:r>
          </w:p>
        </w:tc>
        <w:tc>
          <w:tcPr>
            <w:tcW w:w="840" w:type="dxa"/>
            <w:vAlign w:val="bottom"/>
            <w:gridSpan w:val="2"/>
            <w:shd w:val="clear" w:color="auto" w:fill="CFF0FC"/>
          </w:tcPr>
          <w:p>
            <w:pPr>
              <w:ind w:left="440"/>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480" w:type="dxa"/>
            <w:vAlign w:val="bottom"/>
            <w:shd w:val="clear" w:color="auto" w:fill="CFF0FC"/>
          </w:tcPr>
          <w:p>
            <w:pPr>
              <w:ind w:left="200"/>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ind w:left="440"/>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480" w:type="dxa"/>
            <w:vAlign w:val="bottom"/>
            <w:shd w:val="clear" w:color="auto" w:fill="CFF0FC"/>
          </w:tcPr>
          <w:p>
            <w:pPr>
              <w:ind w:left="200"/>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780" w:type="dxa"/>
            <w:vAlign w:val="bottom"/>
            <w:gridSpan w:val="2"/>
            <w:shd w:val="clear" w:color="auto" w:fill="CFF0FC"/>
          </w:tcPr>
          <w:p>
            <w:pPr>
              <w:jc w:val="right"/>
              <w:ind w:right="44"/>
              <w:spacing w:after="0" w:line="156" w:lineRule="exact"/>
              <w:rPr>
                <w:sz w:val="20"/>
                <w:szCs w:val="20"/>
                <w:color w:val="auto"/>
              </w:rPr>
            </w:pPr>
            <w:r>
              <w:rPr>
                <w:rFonts w:ascii="Times New Roman" w:cs="Times New Roman" w:eastAsia="Times New Roman" w:hAnsi="Times New Roman"/>
                <w:sz w:val="15"/>
                <w:szCs w:val="15"/>
                <w:b w:val="1"/>
                <w:bCs w:val="1"/>
                <w:color w:val="auto"/>
              </w:rPr>
              <w:t>40,976</w:t>
            </w:r>
          </w:p>
        </w:tc>
        <w:tc>
          <w:tcPr>
            <w:tcW w:w="260" w:type="dxa"/>
            <w:vAlign w:val="bottom"/>
            <w:gridSpan w:val="2"/>
            <w:shd w:val="clear" w:color="auto" w:fill="CFF0FC"/>
          </w:tcPr>
          <w:p>
            <w:pPr>
              <w:ind w:left="120"/>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480" w:type="dxa"/>
            <w:vAlign w:val="bottom"/>
            <w:shd w:val="clear" w:color="auto" w:fill="CFF0FC"/>
          </w:tcPr>
          <w:p>
            <w:pPr>
              <w:ind w:left="200"/>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220" w:type="dxa"/>
            <w:vAlign w:val="bottom"/>
            <w:gridSpan w:val="2"/>
            <w:shd w:val="clear" w:color="auto" w:fill="CFF0FC"/>
          </w:tcPr>
          <w:p>
            <w:pPr>
              <w:ind w:left="100"/>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580" w:type="dxa"/>
            <w:vAlign w:val="bottom"/>
            <w:shd w:val="clear" w:color="auto" w:fill="CFF0FC"/>
          </w:tcPr>
          <w:p>
            <w:pPr>
              <w:jc w:val="right"/>
              <w:ind w:right="44"/>
              <w:spacing w:after="0" w:line="156" w:lineRule="exact"/>
              <w:rPr>
                <w:sz w:val="20"/>
                <w:szCs w:val="20"/>
                <w:color w:val="auto"/>
              </w:rPr>
            </w:pPr>
            <w:r>
              <w:rPr>
                <w:rFonts w:ascii="Times New Roman" w:cs="Times New Roman" w:eastAsia="Times New Roman" w:hAnsi="Times New Roman"/>
                <w:sz w:val="15"/>
                <w:szCs w:val="15"/>
                <w:b w:val="1"/>
                <w:bCs w:val="1"/>
                <w:color w:val="auto"/>
              </w:rPr>
              <w:t>75,516</w:t>
            </w:r>
          </w:p>
        </w:tc>
        <w:tc>
          <w:tcPr>
            <w:tcW w:w="200" w:type="dxa"/>
            <w:vAlign w:val="bottom"/>
            <w:gridSpan w:val="2"/>
            <w:shd w:val="clear" w:color="auto" w:fill="CFF0FC"/>
          </w:tcPr>
          <w:p>
            <w:pPr>
              <w:ind w:left="120"/>
              <w:spacing w:after="0" w:line="15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600" w:type="dxa"/>
            <w:vAlign w:val="bottom"/>
            <w:shd w:val="clear" w:color="auto" w:fill="CFF0FC"/>
          </w:tcPr>
          <w:p>
            <w:pPr>
              <w:ind w:left="320"/>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82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 (78,280)</w:t>
            </w:r>
          </w:p>
        </w:tc>
        <w:tc>
          <w:tcPr>
            <w:tcW w:w="20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(2,764)</w:t>
            </w:r>
          </w:p>
        </w:tc>
        <w:tc>
          <w:tcPr>
            <w:tcW w:w="0" w:type="dxa"/>
            <w:vAlign w:val="bottom"/>
          </w:tcPr>
          <w:p>
            <w:pPr>
              <w:spacing w:after="0"/>
              <w:rPr>
                <w:sz w:val="1"/>
                <w:szCs w:val="1"/>
                <w:color w:val="auto"/>
              </w:rPr>
            </w:pPr>
          </w:p>
        </w:tc>
      </w:tr>
      <w:tr>
        <w:trPr>
          <w:trHeight w:val="145"/>
        </w:trPr>
        <w:tc>
          <w:tcPr>
            <w:tcW w:w="342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Issuance of shares to Yorkville under the SEPA</w:t>
            </w:r>
          </w:p>
        </w:tc>
        <w:tc>
          <w:tcPr>
            <w:tcW w:w="8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420" w:type="dxa"/>
            <w:vAlign w:val="bottom"/>
          </w:tcPr>
          <w:p>
            <w:pPr>
              <w:spacing w:after="0"/>
              <w:rPr>
                <w:sz w:val="20"/>
                <w:szCs w:val="20"/>
                <w:color w:val="auto"/>
              </w:rPr>
            </w:pPr>
            <w:r>
              <w:rPr>
                <w:rFonts w:ascii="Times New Roman" w:cs="Times New Roman" w:eastAsia="Times New Roman" w:hAnsi="Times New Roman"/>
                <w:sz w:val="15"/>
                <w:szCs w:val="15"/>
                <w:color w:val="auto"/>
              </w:rPr>
              <w:t>agreement</w:t>
            </w:r>
          </w:p>
        </w:tc>
        <w:tc>
          <w:tcPr>
            <w:tcW w:w="8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24,378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7,071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7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7,071</w:t>
            </w:r>
          </w:p>
        </w:tc>
        <w:tc>
          <w:tcPr>
            <w:tcW w:w="0" w:type="dxa"/>
            <w:vAlign w:val="bottom"/>
          </w:tcPr>
          <w:p>
            <w:pPr>
              <w:spacing w:after="0"/>
              <w:rPr>
                <w:sz w:val="1"/>
                <w:szCs w:val="1"/>
                <w:color w:val="auto"/>
              </w:rPr>
            </w:pPr>
          </w:p>
        </w:tc>
      </w:tr>
      <w:tr>
        <w:trPr>
          <w:trHeight w:val="162"/>
        </w:trPr>
        <w:tc>
          <w:tcPr>
            <w:tcW w:w="342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Shares issued to Hudson for consulting fee</w:t>
            </w:r>
          </w:p>
        </w:tc>
        <w:tc>
          <w:tcPr>
            <w:tcW w:w="840" w:type="dxa"/>
            <w:vAlign w:val="bottom"/>
            <w:gridSpan w:val="2"/>
            <w:shd w:val="clear" w:color="auto" w:fill="CFF0FC"/>
          </w:tcPr>
          <w:p>
            <w:pPr>
              <w:ind w:left="4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ind w:left="4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750</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8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232</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ind w:left="3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232</w:t>
            </w:r>
          </w:p>
        </w:tc>
        <w:tc>
          <w:tcPr>
            <w:tcW w:w="0" w:type="dxa"/>
            <w:vAlign w:val="bottom"/>
          </w:tcPr>
          <w:p>
            <w:pPr>
              <w:spacing w:after="0"/>
              <w:rPr>
                <w:sz w:val="1"/>
                <w:szCs w:val="1"/>
                <w:color w:val="auto"/>
              </w:rPr>
            </w:pPr>
          </w:p>
        </w:tc>
      </w:tr>
      <w:tr>
        <w:trPr>
          <w:trHeight w:val="162"/>
        </w:trPr>
        <w:tc>
          <w:tcPr>
            <w:tcW w:w="34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Shares issued for payment to Verista</w:t>
            </w:r>
          </w:p>
        </w:tc>
        <w:tc>
          <w:tcPr>
            <w:tcW w:w="840" w:type="dxa"/>
            <w:vAlign w:val="bottom"/>
            <w:gridSpan w:val="2"/>
          </w:tcPr>
          <w:p>
            <w:pPr>
              <w:ind w:left="440"/>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spacing w:after="0"/>
              <w:rPr>
                <w:sz w:val="14"/>
                <w:szCs w:val="14"/>
                <w:color w:val="auto"/>
              </w:rPr>
            </w:pPr>
          </w:p>
        </w:tc>
        <w:tc>
          <w:tcPr>
            <w:tcW w:w="48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840" w:type="dxa"/>
            <w:vAlign w:val="bottom"/>
            <w:gridSpan w:val="2"/>
          </w:tcPr>
          <w:p>
            <w:pPr>
              <w:ind w:left="440"/>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spacing w:after="0"/>
              <w:rPr>
                <w:sz w:val="14"/>
                <w:szCs w:val="14"/>
                <w:color w:val="auto"/>
              </w:rPr>
            </w:pPr>
          </w:p>
        </w:tc>
        <w:tc>
          <w:tcPr>
            <w:tcW w:w="48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150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50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ind w:left="3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72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50</w:t>
            </w:r>
          </w:p>
        </w:tc>
        <w:tc>
          <w:tcPr>
            <w:tcW w:w="0" w:type="dxa"/>
            <w:vAlign w:val="bottom"/>
          </w:tcPr>
          <w:p>
            <w:pPr>
              <w:spacing w:after="0"/>
              <w:rPr>
                <w:sz w:val="1"/>
                <w:szCs w:val="1"/>
                <w:color w:val="auto"/>
              </w:rPr>
            </w:pPr>
          </w:p>
        </w:tc>
      </w:tr>
      <w:tr>
        <w:trPr>
          <w:trHeight w:val="162"/>
        </w:trPr>
        <w:tc>
          <w:tcPr>
            <w:tcW w:w="342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Vesting of RSUs</w:t>
            </w:r>
          </w:p>
        </w:tc>
        <w:tc>
          <w:tcPr>
            <w:tcW w:w="840" w:type="dxa"/>
            <w:vAlign w:val="bottom"/>
            <w:gridSpan w:val="2"/>
            <w:shd w:val="clear" w:color="auto" w:fill="CFF0FC"/>
          </w:tcPr>
          <w:p>
            <w:pPr>
              <w:ind w:left="440"/>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ind w:left="440"/>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1,689</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8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ind w:left="3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34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Shares issued for Vidello acquisition</w:t>
            </w:r>
          </w:p>
        </w:tc>
        <w:tc>
          <w:tcPr>
            <w:tcW w:w="840" w:type="dxa"/>
            <w:vAlign w:val="bottom"/>
            <w:gridSpan w:val="2"/>
          </w:tcPr>
          <w:p>
            <w:pPr>
              <w:ind w:left="4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48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840" w:type="dxa"/>
            <w:vAlign w:val="bottom"/>
            <w:gridSpan w:val="2"/>
          </w:tcPr>
          <w:p>
            <w:pPr>
              <w:ind w:left="4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48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4,491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1,662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ind w:left="3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72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1,662</w:t>
            </w:r>
          </w:p>
        </w:tc>
        <w:tc>
          <w:tcPr>
            <w:tcW w:w="0" w:type="dxa"/>
            <w:vAlign w:val="bottom"/>
          </w:tcPr>
          <w:p>
            <w:pPr>
              <w:spacing w:after="0"/>
              <w:rPr>
                <w:sz w:val="1"/>
                <w:szCs w:val="1"/>
                <w:color w:val="auto"/>
              </w:rPr>
            </w:pPr>
          </w:p>
        </w:tc>
      </w:tr>
      <w:tr>
        <w:trPr>
          <w:trHeight w:val="162"/>
        </w:trPr>
        <w:tc>
          <w:tcPr>
            <w:tcW w:w="342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Stock-based compensation</w:t>
            </w:r>
          </w:p>
        </w:tc>
        <w:tc>
          <w:tcPr>
            <w:tcW w:w="840" w:type="dxa"/>
            <w:vAlign w:val="bottom"/>
            <w:gridSpan w:val="2"/>
            <w:shd w:val="clear" w:color="auto" w:fill="CFF0FC"/>
          </w:tcPr>
          <w:p>
            <w:pPr>
              <w:ind w:left="4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ind w:left="4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8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337</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ind w:left="3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337</w:t>
            </w:r>
          </w:p>
        </w:tc>
        <w:tc>
          <w:tcPr>
            <w:tcW w:w="0" w:type="dxa"/>
            <w:vAlign w:val="bottom"/>
          </w:tcPr>
          <w:p>
            <w:pPr>
              <w:spacing w:after="0"/>
              <w:rPr>
                <w:sz w:val="1"/>
                <w:szCs w:val="1"/>
                <w:color w:val="auto"/>
              </w:rPr>
            </w:pPr>
          </w:p>
        </w:tc>
      </w:tr>
      <w:tr>
        <w:trPr>
          <w:trHeight w:val="162"/>
        </w:trPr>
        <w:tc>
          <w:tcPr>
            <w:tcW w:w="34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Net loss</w:t>
            </w:r>
          </w:p>
        </w:tc>
        <w:tc>
          <w:tcPr>
            <w:tcW w:w="720" w:type="dxa"/>
            <w:vAlign w:val="bottom"/>
            <w:tcBorders>
              <w:bottom w:val="single" w:sz="8" w:color="auto"/>
            </w:tcBorders>
          </w:tcPr>
          <w:p>
            <w:pPr>
              <w:ind w:left="440"/>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ind w:left="2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720" w:type="dxa"/>
            <w:vAlign w:val="bottom"/>
            <w:tcBorders>
              <w:bottom w:val="single" w:sz="8" w:color="auto"/>
            </w:tcBorders>
          </w:tcPr>
          <w:p>
            <w:pPr>
              <w:ind w:left="440"/>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ind w:left="2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680" w:type="dxa"/>
            <w:vAlign w:val="bottom"/>
            <w:tcBorders>
              <w:bottom w:val="single" w:sz="8" w:color="auto"/>
            </w:tcBorders>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ind w:left="2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3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7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(3,644)</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(3,644)</w:t>
            </w:r>
          </w:p>
        </w:tc>
        <w:tc>
          <w:tcPr>
            <w:tcW w:w="0" w:type="dxa"/>
            <w:vAlign w:val="bottom"/>
          </w:tcPr>
          <w:p>
            <w:pPr>
              <w:spacing w:after="0"/>
              <w:rPr>
                <w:sz w:val="1"/>
                <w:szCs w:val="1"/>
                <w:color w:val="auto"/>
              </w:rPr>
            </w:pPr>
          </w:p>
        </w:tc>
      </w:tr>
      <w:tr>
        <w:trPr>
          <w:trHeight w:val="175"/>
        </w:trPr>
        <w:tc>
          <w:tcPr>
            <w:tcW w:w="342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Balance March 31, 2025</w:t>
            </w:r>
          </w:p>
        </w:tc>
        <w:tc>
          <w:tcPr>
            <w:tcW w:w="720" w:type="dxa"/>
            <w:vAlign w:val="bottom"/>
            <w:shd w:val="clear" w:color="auto" w:fill="CFF0FC"/>
          </w:tcPr>
          <w:p>
            <w:pPr>
              <w:ind w:left="440"/>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480" w:type="dxa"/>
            <w:vAlign w:val="bottom"/>
            <w:shd w:val="clear" w:color="auto" w:fill="CFF0FC"/>
          </w:tcPr>
          <w:p>
            <w:pPr>
              <w:ind w:left="200"/>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ind w:left="440"/>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480" w:type="dxa"/>
            <w:vAlign w:val="bottom"/>
            <w:shd w:val="clear" w:color="auto" w:fill="CFF0FC"/>
          </w:tcPr>
          <w:p>
            <w:pPr>
              <w:ind w:left="200"/>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44"/>
              <w:spacing w:after="0" w:line="156" w:lineRule="exact"/>
              <w:rPr>
                <w:sz w:val="20"/>
                <w:szCs w:val="20"/>
                <w:color w:val="auto"/>
              </w:rPr>
            </w:pPr>
            <w:r>
              <w:rPr>
                <w:rFonts w:ascii="Times New Roman" w:cs="Times New Roman" w:eastAsia="Times New Roman" w:hAnsi="Times New Roman"/>
                <w:sz w:val="15"/>
                <w:szCs w:val="15"/>
                <w:b w:val="1"/>
                <w:bCs w:val="1"/>
                <w:color w:val="auto"/>
              </w:rPr>
              <w:t>72,434</w:t>
            </w:r>
          </w:p>
        </w:tc>
        <w:tc>
          <w:tcPr>
            <w:tcW w:w="260" w:type="dxa"/>
            <w:vAlign w:val="bottom"/>
            <w:gridSpan w:val="2"/>
            <w:shd w:val="clear" w:color="auto" w:fill="CFF0FC"/>
          </w:tcPr>
          <w:p>
            <w:pPr>
              <w:ind w:left="120"/>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480" w:type="dxa"/>
            <w:vAlign w:val="bottom"/>
            <w:shd w:val="clear" w:color="auto" w:fill="CFF0FC"/>
          </w:tcPr>
          <w:p>
            <w:pPr>
              <w:ind w:left="200"/>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220" w:type="dxa"/>
            <w:vAlign w:val="bottom"/>
            <w:gridSpan w:val="2"/>
            <w:shd w:val="clear" w:color="auto" w:fill="CFF0FC"/>
          </w:tcPr>
          <w:p>
            <w:pPr>
              <w:ind w:left="100"/>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580" w:type="dxa"/>
            <w:vAlign w:val="bottom"/>
            <w:shd w:val="clear" w:color="auto" w:fill="CFF0FC"/>
          </w:tcPr>
          <w:p>
            <w:pPr>
              <w:jc w:val="right"/>
              <w:ind w:right="44"/>
              <w:spacing w:after="0" w:line="156" w:lineRule="exact"/>
              <w:rPr>
                <w:sz w:val="20"/>
                <w:szCs w:val="20"/>
                <w:color w:val="auto"/>
              </w:rPr>
            </w:pPr>
            <w:r>
              <w:rPr>
                <w:rFonts w:ascii="Times New Roman" w:cs="Times New Roman" w:eastAsia="Times New Roman" w:hAnsi="Times New Roman"/>
                <w:sz w:val="15"/>
                <w:szCs w:val="15"/>
                <w:b w:val="1"/>
                <w:bCs w:val="1"/>
                <w:color w:val="auto"/>
              </w:rPr>
              <w:t>84,868</w:t>
            </w:r>
          </w:p>
        </w:tc>
        <w:tc>
          <w:tcPr>
            <w:tcW w:w="200" w:type="dxa"/>
            <w:vAlign w:val="bottom"/>
            <w:gridSpan w:val="2"/>
            <w:shd w:val="clear" w:color="auto" w:fill="CFF0FC"/>
          </w:tcPr>
          <w:p>
            <w:pPr>
              <w:ind w:left="120"/>
              <w:spacing w:after="0" w:line="15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600" w:type="dxa"/>
            <w:vAlign w:val="bottom"/>
            <w:shd w:val="clear" w:color="auto" w:fill="CFF0FC"/>
          </w:tcPr>
          <w:p>
            <w:pPr>
              <w:ind w:left="320"/>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82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 (81,924)</w:t>
            </w:r>
          </w:p>
        </w:tc>
        <w:tc>
          <w:tcPr>
            <w:tcW w:w="20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shd w:val="clear" w:color="auto" w:fill="CFF0FC"/>
          </w:tcPr>
          <w:p>
            <w:pPr>
              <w:jc w:val="right"/>
              <w:ind w:right="44"/>
              <w:spacing w:after="0" w:line="156" w:lineRule="exact"/>
              <w:rPr>
                <w:sz w:val="20"/>
                <w:szCs w:val="20"/>
                <w:color w:val="auto"/>
              </w:rPr>
            </w:pPr>
            <w:r>
              <w:rPr>
                <w:rFonts w:ascii="Times New Roman" w:cs="Times New Roman" w:eastAsia="Times New Roman" w:hAnsi="Times New Roman"/>
                <w:sz w:val="15"/>
                <w:szCs w:val="15"/>
                <w:b w:val="1"/>
                <w:bCs w:val="1"/>
                <w:color w:val="auto"/>
              </w:rPr>
              <w:t>2,944</w:t>
            </w:r>
          </w:p>
        </w:tc>
        <w:tc>
          <w:tcPr>
            <w:tcW w:w="0" w:type="dxa"/>
            <w:vAlign w:val="bottom"/>
          </w:tcPr>
          <w:p>
            <w:pPr>
              <w:spacing w:after="0"/>
              <w:rPr>
                <w:sz w:val="1"/>
                <w:szCs w:val="1"/>
                <w:color w:val="auto"/>
              </w:rPr>
            </w:pPr>
          </w:p>
        </w:tc>
      </w:tr>
      <w:tr>
        <w:trPr>
          <w:trHeight w:val="20"/>
        </w:trPr>
        <w:tc>
          <w:tcPr>
            <w:tcW w:w="342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-24765</wp:posOffset>
            </wp:positionV>
            <wp:extent cx="768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-7620</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-24765</wp:posOffset>
            </wp:positionV>
            <wp:extent cx="774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-7620</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-24765</wp:posOffset>
            </wp:positionV>
            <wp:extent cx="768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-7620</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-24765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-7620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-24765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-7620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-24765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-7620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-24765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-7620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-24765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-7620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360" w:type="dxa"/>
            <w:vAlign w:val="bottom"/>
          </w:tcPr>
          <w:p>
            <w:pPr>
              <w:spacing w:after="0"/>
              <w:rPr>
                <w:sz w:val="13"/>
                <w:szCs w:val="13"/>
                <w:color w:val="auto"/>
              </w:rPr>
            </w:pPr>
          </w:p>
        </w:tc>
        <w:tc>
          <w:tcPr>
            <w:tcW w:w="3220" w:type="dxa"/>
            <w:vAlign w:val="bottom"/>
            <w:tcBorders>
              <w:bottom w:val="single" w:sz="8" w:color="auto"/>
            </w:tcBorders>
            <w:gridSpan w:val="4"/>
          </w:tcPr>
          <w:p>
            <w:pPr>
              <w:jc w:val="right"/>
              <w:ind w:right="208"/>
              <w:spacing w:after="0"/>
              <w:rPr>
                <w:sz w:val="20"/>
                <w:szCs w:val="20"/>
                <w:color w:val="auto"/>
              </w:rPr>
            </w:pPr>
            <w:r>
              <w:rPr>
                <w:rFonts w:ascii="Times New Roman" w:cs="Times New Roman" w:eastAsia="Times New Roman" w:hAnsi="Times New Roman"/>
                <w:sz w:val="13"/>
                <w:szCs w:val="13"/>
                <w:b w:val="1"/>
                <w:bCs w:val="1"/>
                <w:color w:val="auto"/>
              </w:rPr>
              <w:t>For the Three Months Ended March 31,</w:t>
            </w:r>
          </w:p>
        </w:tc>
        <w:tc>
          <w:tcPr>
            <w:tcW w:w="660" w:type="dxa"/>
            <w:vAlign w:val="bottom"/>
            <w:tcBorders>
              <w:bottom w:val="single" w:sz="8" w:color="auto"/>
            </w:tcBorders>
          </w:tcPr>
          <w:p>
            <w:pPr>
              <w:spacing w:after="0"/>
              <w:rPr>
                <w:sz w:val="13"/>
                <w:szCs w:val="13"/>
                <w:color w:val="auto"/>
              </w:rPr>
            </w:pPr>
          </w:p>
        </w:tc>
      </w:tr>
      <w:tr>
        <w:trPr>
          <w:trHeight w:val="128"/>
        </w:trPr>
        <w:tc>
          <w:tcPr>
            <w:tcW w:w="7360" w:type="dxa"/>
            <w:vAlign w:val="bottom"/>
          </w:tcPr>
          <w:p>
            <w:pPr>
              <w:spacing w:after="0"/>
              <w:rPr>
                <w:sz w:val="11"/>
                <w:szCs w:val="11"/>
                <w:color w:val="auto"/>
              </w:rPr>
            </w:pPr>
          </w:p>
        </w:tc>
        <w:tc>
          <w:tcPr>
            <w:tcW w:w="1200" w:type="dxa"/>
            <w:vAlign w:val="bottom"/>
          </w:tcPr>
          <w:p>
            <w:pPr>
              <w:jc w:val="right"/>
              <w:ind w:right="142"/>
              <w:spacing w:after="0" w:line="129" w:lineRule="exact"/>
              <w:rPr>
                <w:sz w:val="20"/>
                <w:szCs w:val="20"/>
                <w:color w:val="auto"/>
              </w:rPr>
            </w:pPr>
            <w:r>
              <w:rPr>
                <w:rFonts w:ascii="Times New Roman" w:cs="Times New Roman" w:eastAsia="Times New Roman" w:hAnsi="Times New Roman"/>
                <w:sz w:val="13"/>
                <w:szCs w:val="13"/>
                <w:b w:val="1"/>
                <w:bCs w:val="1"/>
                <w:color w:val="auto"/>
              </w:rPr>
              <w:t>2026</w:t>
            </w:r>
          </w:p>
        </w:tc>
        <w:tc>
          <w:tcPr>
            <w:tcW w:w="660" w:type="dxa"/>
            <w:vAlign w:val="bottom"/>
          </w:tcPr>
          <w:p>
            <w:pPr>
              <w:spacing w:after="0"/>
              <w:rPr>
                <w:sz w:val="11"/>
                <w:szCs w:val="11"/>
                <w:color w:val="auto"/>
              </w:rPr>
            </w:pPr>
          </w:p>
        </w:tc>
        <w:tc>
          <w:tcPr>
            <w:tcW w:w="1360" w:type="dxa"/>
            <w:vAlign w:val="bottom"/>
            <w:gridSpan w:val="2"/>
          </w:tcPr>
          <w:p>
            <w:pPr>
              <w:jc w:val="right"/>
              <w:ind w:right="148"/>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660" w:type="dxa"/>
            <w:vAlign w:val="bottom"/>
          </w:tcPr>
          <w:p>
            <w:pPr>
              <w:spacing w:after="0"/>
              <w:rPr>
                <w:sz w:val="11"/>
                <w:szCs w:val="11"/>
                <w:color w:val="auto"/>
              </w:rPr>
            </w:pPr>
          </w:p>
        </w:tc>
      </w:tr>
      <w:tr>
        <w:trPr>
          <w:trHeight w:val="128"/>
        </w:trPr>
        <w:tc>
          <w:tcPr>
            <w:tcW w:w="73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Cash flows from operating activities:</w:t>
            </w:r>
          </w:p>
        </w:tc>
        <w:tc>
          <w:tcPr>
            <w:tcW w:w="120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r>
      <w:tr>
        <w:trPr>
          <w:trHeight w:val="135"/>
        </w:trPr>
        <w:tc>
          <w:tcPr>
            <w:tcW w:w="7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1200" w:type="dxa"/>
            <w:vAlign w:val="bottom"/>
          </w:tcPr>
          <w:p>
            <w:pPr>
              <w:jc w:val="right"/>
              <w:ind w:right="1082"/>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(8,417)</w:t>
            </w:r>
          </w:p>
        </w:tc>
        <w:tc>
          <w:tcPr>
            <w:tcW w:w="1360" w:type="dxa"/>
            <w:vAlign w:val="bottom"/>
            <w:gridSpan w:val="2"/>
          </w:tcPr>
          <w:p>
            <w:pPr>
              <w:jc w:val="right"/>
              <w:ind w:right="1088"/>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(3,644)</w:t>
            </w:r>
          </w:p>
        </w:tc>
      </w:tr>
      <w:tr>
        <w:trPr>
          <w:trHeight w:val="135"/>
        </w:trPr>
        <w:tc>
          <w:tcPr>
            <w:tcW w:w="73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Adjustments to reconcile net loss to net cash used in operating activities:</w:t>
            </w:r>
          </w:p>
        </w:tc>
        <w:tc>
          <w:tcPr>
            <w:tcW w:w="12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r>
      <w:tr>
        <w:trPr>
          <w:trHeight w:val="135"/>
        </w:trPr>
        <w:tc>
          <w:tcPr>
            <w:tcW w:w="73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Depreciation and amortization expense</w:t>
            </w:r>
          </w:p>
        </w:tc>
        <w:tc>
          <w:tcPr>
            <w:tcW w:w="1200" w:type="dxa"/>
            <w:vAlign w:val="bottom"/>
          </w:tcPr>
          <w:p>
            <w:pPr>
              <w:spacing w:after="0"/>
              <w:rPr>
                <w:sz w:val="11"/>
                <w:szCs w:val="11"/>
                <w:color w:val="auto"/>
              </w:rPr>
            </w:pPr>
          </w:p>
        </w:tc>
        <w:tc>
          <w:tcPr>
            <w:tcW w:w="6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305</w:t>
            </w: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247</w:t>
            </w:r>
          </w:p>
        </w:tc>
      </w:tr>
      <w:tr>
        <w:trPr>
          <w:trHeight w:val="135"/>
        </w:trPr>
        <w:tc>
          <w:tcPr>
            <w:tcW w:w="73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Provision for credit losses on accounts receivable</w:t>
            </w:r>
          </w:p>
        </w:tc>
        <w:tc>
          <w:tcPr>
            <w:tcW w:w="12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16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r>
      <w:tr>
        <w:trPr>
          <w:trHeight w:val="135"/>
        </w:trPr>
        <w:tc>
          <w:tcPr>
            <w:tcW w:w="73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Non-cash shares issued for consulting expenses</w:t>
            </w:r>
          </w:p>
        </w:tc>
        <w:tc>
          <w:tcPr>
            <w:tcW w:w="1200" w:type="dxa"/>
            <w:vAlign w:val="bottom"/>
          </w:tcPr>
          <w:p>
            <w:pPr>
              <w:spacing w:after="0"/>
              <w:rPr>
                <w:sz w:val="11"/>
                <w:szCs w:val="11"/>
                <w:color w:val="auto"/>
              </w:rPr>
            </w:pPr>
          </w:p>
        </w:tc>
        <w:tc>
          <w:tcPr>
            <w:tcW w:w="6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233</w:t>
            </w:r>
          </w:p>
        </w:tc>
      </w:tr>
      <w:tr>
        <w:trPr>
          <w:trHeight w:val="135"/>
        </w:trPr>
        <w:tc>
          <w:tcPr>
            <w:tcW w:w="73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Discount at issuance on notes carried at fair value</w:t>
            </w:r>
          </w:p>
        </w:tc>
        <w:tc>
          <w:tcPr>
            <w:tcW w:w="12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16</w:t>
            </w:r>
          </w:p>
        </w:tc>
      </w:tr>
      <w:tr>
        <w:trPr>
          <w:trHeight w:val="135"/>
        </w:trPr>
        <w:tc>
          <w:tcPr>
            <w:tcW w:w="73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Non-cash interest expense - related party</w:t>
            </w:r>
          </w:p>
        </w:tc>
        <w:tc>
          <w:tcPr>
            <w:tcW w:w="1200" w:type="dxa"/>
            <w:vAlign w:val="bottom"/>
          </w:tcPr>
          <w:p>
            <w:pPr>
              <w:spacing w:after="0"/>
              <w:rPr>
                <w:sz w:val="11"/>
                <w:szCs w:val="11"/>
                <w:color w:val="auto"/>
              </w:rPr>
            </w:pPr>
          </w:p>
        </w:tc>
        <w:tc>
          <w:tcPr>
            <w:tcW w:w="6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194</w:t>
            </w: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336</w:t>
            </w:r>
          </w:p>
        </w:tc>
      </w:tr>
      <w:tr>
        <w:trPr>
          <w:trHeight w:val="135"/>
        </w:trPr>
        <w:tc>
          <w:tcPr>
            <w:tcW w:w="73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Amortization of operating lease right-of-use assets</w:t>
            </w:r>
          </w:p>
        </w:tc>
        <w:tc>
          <w:tcPr>
            <w:tcW w:w="12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7</w:t>
            </w:r>
          </w:p>
        </w:tc>
        <w:tc>
          <w:tcPr>
            <w:tcW w:w="16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6</w:t>
            </w:r>
          </w:p>
        </w:tc>
      </w:tr>
      <w:tr>
        <w:trPr>
          <w:trHeight w:val="135"/>
        </w:trPr>
        <w:tc>
          <w:tcPr>
            <w:tcW w:w="73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Stock based compensation expense</w:t>
            </w:r>
          </w:p>
        </w:tc>
        <w:tc>
          <w:tcPr>
            <w:tcW w:w="1200" w:type="dxa"/>
            <w:vAlign w:val="bottom"/>
          </w:tcPr>
          <w:p>
            <w:pPr>
              <w:spacing w:after="0"/>
              <w:rPr>
                <w:sz w:val="11"/>
                <w:szCs w:val="11"/>
                <w:color w:val="auto"/>
              </w:rPr>
            </w:pPr>
          </w:p>
        </w:tc>
        <w:tc>
          <w:tcPr>
            <w:tcW w:w="6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1,308</w:t>
            </w: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337</w:t>
            </w:r>
          </w:p>
        </w:tc>
      </w:tr>
      <w:tr>
        <w:trPr>
          <w:trHeight w:val="135"/>
        </w:trPr>
        <w:tc>
          <w:tcPr>
            <w:tcW w:w="73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Gain on extinguishment of liability</w:t>
            </w:r>
          </w:p>
        </w:tc>
        <w:tc>
          <w:tcPr>
            <w:tcW w:w="12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(4,343)</w:t>
            </w:r>
          </w:p>
        </w:tc>
      </w:tr>
      <w:tr>
        <w:trPr>
          <w:trHeight w:val="135"/>
        </w:trPr>
        <w:tc>
          <w:tcPr>
            <w:tcW w:w="73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Loss on debt issuance</w:t>
            </w:r>
          </w:p>
        </w:tc>
        <w:tc>
          <w:tcPr>
            <w:tcW w:w="1200" w:type="dxa"/>
            <w:vAlign w:val="bottom"/>
          </w:tcPr>
          <w:p>
            <w:pPr>
              <w:spacing w:after="0"/>
              <w:rPr>
                <w:sz w:val="11"/>
                <w:szCs w:val="11"/>
                <w:color w:val="auto"/>
              </w:rPr>
            </w:pPr>
          </w:p>
        </w:tc>
        <w:tc>
          <w:tcPr>
            <w:tcW w:w="6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49</w:t>
            </w: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274</w:t>
            </w:r>
          </w:p>
        </w:tc>
      </w:tr>
      <w:tr>
        <w:trPr>
          <w:trHeight w:val="135"/>
        </w:trPr>
        <w:tc>
          <w:tcPr>
            <w:tcW w:w="73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Loss on Private Placement Issuance</w:t>
            </w:r>
          </w:p>
        </w:tc>
        <w:tc>
          <w:tcPr>
            <w:tcW w:w="12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1,598</w:t>
            </w:r>
          </w:p>
        </w:tc>
        <w:tc>
          <w:tcPr>
            <w:tcW w:w="16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73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Loss on extinguishment of debt, net</w:t>
            </w:r>
          </w:p>
        </w:tc>
        <w:tc>
          <w:tcPr>
            <w:tcW w:w="1200" w:type="dxa"/>
            <w:vAlign w:val="bottom"/>
          </w:tcPr>
          <w:p>
            <w:pPr>
              <w:spacing w:after="0"/>
              <w:rPr>
                <w:sz w:val="11"/>
                <w:szCs w:val="11"/>
                <w:color w:val="auto"/>
              </w:rPr>
            </w:pPr>
          </w:p>
        </w:tc>
        <w:tc>
          <w:tcPr>
            <w:tcW w:w="6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6</w:t>
            </w: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1,770</w:t>
            </w:r>
          </w:p>
        </w:tc>
      </w:tr>
      <w:tr>
        <w:trPr>
          <w:trHeight w:val="135"/>
        </w:trPr>
        <w:tc>
          <w:tcPr>
            <w:tcW w:w="73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(gains) losses</w:t>
            </w:r>
          </w:p>
        </w:tc>
        <w:tc>
          <w:tcPr>
            <w:tcW w:w="12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16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73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Loss on SEPA issuance</w:t>
            </w:r>
          </w:p>
        </w:tc>
        <w:tc>
          <w:tcPr>
            <w:tcW w:w="1200" w:type="dxa"/>
            <w:vAlign w:val="bottom"/>
          </w:tcPr>
          <w:p>
            <w:pPr>
              <w:spacing w:after="0"/>
              <w:rPr>
                <w:sz w:val="11"/>
                <w:szCs w:val="11"/>
                <w:color w:val="auto"/>
              </w:rPr>
            </w:pPr>
          </w:p>
        </w:tc>
        <w:tc>
          <w:tcPr>
            <w:tcW w:w="6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385</w:t>
            </w:r>
          </w:p>
        </w:tc>
      </w:tr>
      <w:tr>
        <w:trPr>
          <w:trHeight w:val="135"/>
        </w:trPr>
        <w:tc>
          <w:tcPr>
            <w:tcW w:w="73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Change in fair value of financial instruments</w:t>
            </w:r>
          </w:p>
        </w:tc>
        <w:tc>
          <w:tcPr>
            <w:tcW w:w="12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608</w:t>
            </w:r>
          </w:p>
        </w:tc>
        <w:tc>
          <w:tcPr>
            <w:tcW w:w="16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140</w:t>
            </w:r>
          </w:p>
        </w:tc>
      </w:tr>
      <w:tr>
        <w:trPr>
          <w:trHeight w:val="135"/>
        </w:trPr>
        <w:tc>
          <w:tcPr>
            <w:tcW w:w="73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Change in fair value of financial instruments – related party</w:t>
            </w:r>
          </w:p>
        </w:tc>
        <w:tc>
          <w:tcPr>
            <w:tcW w:w="1200" w:type="dxa"/>
            <w:vAlign w:val="bottom"/>
          </w:tcPr>
          <w:p>
            <w:pPr>
              <w:spacing w:after="0"/>
              <w:rPr>
                <w:sz w:val="11"/>
                <w:szCs w:val="11"/>
                <w:color w:val="auto"/>
              </w:rPr>
            </w:pPr>
          </w:p>
        </w:tc>
        <w:tc>
          <w:tcPr>
            <w:tcW w:w="6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22</w:t>
            </w: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45</w:t>
            </w:r>
          </w:p>
        </w:tc>
      </w:tr>
      <w:tr>
        <w:trPr>
          <w:trHeight w:val="135"/>
        </w:trPr>
        <w:tc>
          <w:tcPr>
            <w:tcW w:w="73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Change in fair value of convertible notes, carried at fair value</w:t>
            </w:r>
          </w:p>
        </w:tc>
        <w:tc>
          <w:tcPr>
            <w:tcW w:w="12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(373)</w:t>
            </w:r>
          </w:p>
        </w:tc>
        <w:tc>
          <w:tcPr>
            <w:tcW w:w="16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159</w:t>
            </w:r>
          </w:p>
        </w:tc>
      </w:tr>
      <w:tr>
        <w:trPr>
          <w:trHeight w:val="135"/>
        </w:trPr>
        <w:tc>
          <w:tcPr>
            <w:tcW w:w="7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1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35"/>
        </w:trPr>
        <w:tc>
          <w:tcPr>
            <w:tcW w:w="73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Accounts receivable</w:t>
            </w:r>
          </w:p>
        </w:tc>
        <w:tc>
          <w:tcPr>
            <w:tcW w:w="12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56</w:t>
            </w:r>
          </w:p>
        </w:tc>
        <w:tc>
          <w:tcPr>
            <w:tcW w:w="16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(82)</w:t>
            </w:r>
          </w:p>
        </w:tc>
      </w:tr>
      <w:tr>
        <w:trPr>
          <w:trHeight w:val="135"/>
        </w:trPr>
        <w:tc>
          <w:tcPr>
            <w:tcW w:w="73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Prepaid expenses and other current assets</w:t>
            </w:r>
          </w:p>
        </w:tc>
        <w:tc>
          <w:tcPr>
            <w:tcW w:w="12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(410)</w:t>
            </w: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(188)</w:t>
            </w:r>
          </w:p>
        </w:tc>
      </w:tr>
      <w:tr>
        <w:trPr>
          <w:trHeight w:val="135"/>
        </w:trPr>
        <w:tc>
          <w:tcPr>
            <w:tcW w:w="73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assets</w:t>
            </w:r>
          </w:p>
        </w:tc>
        <w:tc>
          <w:tcPr>
            <w:tcW w:w="12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r>
      <w:tr>
        <w:trPr>
          <w:trHeight w:val="135"/>
        </w:trPr>
        <w:tc>
          <w:tcPr>
            <w:tcW w:w="73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Accounts payable</w:t>
            </w:r>
          </w:p>
        </w:tc>
        <w:tc>
          <w:tcPr>
            <w:tcW w:w="1200" w:type="dxa"/>
            <w:vAlign w:val="bottom"/>
          </w:tcPr>
          <w:p>
            <w:pPr>
              <w:spacing w:after="0"/>
              <w:rPr>
                <w:sz w:val="11"/>
                <w:szCs w:val="11"/>
                <w:color w:val="auto"/>
              </w:rPr>
            </w:pPr>
          </w:p>
        </w:tc>
        <w:tc>
          <w:tcPr>
            <w:tcW w:w="6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477</w:t>
            </w: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(610)</w:t>
            </w:r>
          </w:p>
        </w:tc>
      </w:tr>
      <w:tr>
        <w:trPr>
          <w:trHeight w:val="135"/>
        </w:trPr>
        <w:tc>
          <w:tcPr>
            <w:tcW w:w="73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Deferred revenue</w:t>
            </w:r>
          </w:p>
        </w:tc>
        <w:tc>
          <w:tcPr>
            <w:tcW w:w="12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(95)</w:t>
            </w:r>
          </w:p>
        </w:tc>
        <w:tc>
          <w:tcPr>
            <w:tcW w:w="16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37</w:t>
            </w:r>
          </w:p>
        </w:tc>
      </w:tr>
      <w:tr>
        <w:trPr>
          <w:trHeight w:val="135"/>
        </w:trPr>
        <w:tc>
          <w:tcPr>
            <w:tcW w:w="73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Accrued expenses</w:t>
            </w:r>
          </w:p>
        </w:tc>
        <w:tc>
          <w:tcPr>
            <w:tcW w:w="12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(286)</w:t>
            </w: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(213)</w:t>
            </w:r>
          </w:p>
        </w:tc>
      </w:tr>
      <w:tr>
        <w:trPr>
          <w:trHeight w:val="135"/>
        </w:trPr>
        <w:tc>
          <w:tcPr>
            <w:tcW w:w="73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Operating lease liabilities</w:t>
            </w:r>
          </w:p>
        </w:tc>
        <w:tc>
          <w:tcPr>
            <w:tcW w:w="12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w:t>
            </w:r>
          </w:p>
        </w:tc>
        <w:tc>
          <w:tcPr>
            <w:tcW w:w="16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r>
      <w:tr>
        <w:trPr>
          <w:trHeight w:val="135"/>
        </w:trPr>
        <w:tc>
          <w:tcPr>
            <w:tcW w:w="73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Earnout liability</w:t>
            </w:r>
          </w:p>
        </w:tc>
        <w:tc>
          <w:tcPr>
            <w:tcW w:w="12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(491)</w:t>
            </w: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170</w:t>
            </w:r>
          </w:p>
        </w:tc>
      </w:tr>
      <w:tr>
        <w:trPr>
          <w:trHeight w:val="135"/>
        </w:trPr>
        <w:tc>
          <w:tcPr>
            <w:tcW w:w="73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Deferred revenue – long-term</w:t>
            </w:r>
          </w:p>
        </w:tc>
        <w:tc>
          <w:tcPr>
            <w:tcW w:w="12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23</w:t>
            </w:r>
          </w:p>
        </w:tc>
        <w:tc>
          <w:tcPr>
            <w:tcW w:w="16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w:t>
            </w:r>
          </w:p>
        </w:tc>
      </w:tr>
      <w:tr>
        <w:trPr>
          <w:trHeight w:val="135"/>
        </w:trPr>
        <w:tc>
          <w:tcPr>
            <w:tcW w:w="7360" w:type="dxa"/>
            <w:vAlign w:val="bottom"/>
            <w:tcBorders>
              <w:bottom w:val="single" w:sz="8" w:color="CFF0FC"/>
            </w:tcBorders>
          </w:tcPr>
          <w:p>
            <w:pPr>
              <w:ind w:left="120"/>
              <w:spacing w:after="0" w:line="135" w:lineRule="exact"/>
              <w:rPr>
                <w:sz w:val="20"/>
                <w:szCs w:val="20"/>
                <w:color w:val="auto"/>
              </w:rPr>
            </w:pPr>
            <w:r>
              <w:rPr>
                <w:rFonts w:ascii="Times New Roman" w:cs="Times New Roman" w:eastAsia="Times New Roman" w:hAnsi="Times New Roman"/>
                <w:sz w:val="13"/>
                <w:szCs w:val="13"/>
                <w:color w:val="auto"/>
              </w:rPr>
              <w:t>Deferred tax liability</w:t>
            </w:r>
          </w:p>
        </w:tc>
        <w:tc>
          <w:tcPr>
            <w:tcW w:w="1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(52)</w:t>
            </w:r>
          </w:p>
        </w:tc>
        <w:tc>
          <w:tcPr>
            <w:tcW w:w="160" w:type="dxa"/>
            <w:vAlign w:val="bottom"/>
            <w:tcBorders>
              <w:bottom w:val="single" w:sz="8" w:color="CFF0FC"/>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(25)</w:t>
            </w:r>
          </w:p>
        </w:tc>
      </w:tr>
      <w:tr>
        <w:trPr>
          <w:trHeight w:val="128"/>
        </w:trPr>
        <w:tc>
          <w:tcPr>
            <w:tcW w:w="7360" w:type="dxa"/>
            <w:vAlign w:val="bottom"/>
            <w:tcBorders>
              <w:bottom w:val="single" w:sz="8" w:color="CFF0FC"/>
            </w:tcBorders>
            <w:shd w:val="clear" w:color="auto" w:fill="CFF0FC"/>
          </w:tcPr>
          <w:p>
            <w:pPr>
              <w:ind w:left="120"/>
              <w:spacing w:after="0" w:line="129" w:lineRule="exact"/>
              <w:rPr>
                <w:sz w:val="20"/>
                <w:szCs w:val="20"/>
                <w:color w:val="auto"/>
              </w:rPr>
            </w:pPr>
            <w:r>
              <w:rPr>
                <w:rFonts w:ascii="Times New Roman" w:cs="Times New Roman" w:eastAsia="Times New Roman" w:hAnsi="Times New Roman"/>
                <w:sz w:val="13"/>
                <w:szCs w:val="13"/>
                <w:color w:val="auto"/>
              </w:rPr>
              <w:t>Net cash used in operating activities</w:t>
            </w:r>
          </w:p>
        </w:tc>
        <w:tc>
          <w:tcPr>
            <w:tcW w:w="120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(5,501)</w:t>
            </w:r>
          </w:p>
        </w:tc>
        <w:tc>
          <w:tcPr>
            <w:tcW w:w="160" w:type="dxa"/>
            <w:vAlign w:val="bottom"/>
            <w:tcBorders>
              <w:bottom w:val="single" w:sz="8" w:color="CFF0FC"/>
            </w:tcBorders>
            <w:shd w:val="clear" w:color="auto" w:fill="CFF0FC"/>
          </w:tcPr>
          <w:p>
            <w:pPr>
              <w:spacing w:after="0"/>
              <w:rPr>
                <w:sz w:val="11"/>
                <w:szCs w:val="11"/>
                <w:color w:val="auto"/>
              </w:rPr>
            </w:pPr>
          </w:p>
        </w:tc>
        <w:tc>
          <w:tcPr>
            <w:tcW w:w="120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(4,974)</w:t>
            </w:r>
          </w:p>
        </w:tc>
      </w:tr>
      <w:tr>
        <w:trPr>
          <w:trHeight w:val="128"/>
        </w:trPr>
        <w:tc>
          <w:tcPr>
            <w:tcW w:w="736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Cash flows from investing activities:</w:t>
            </w:r>
          </w:p>
        </w:tc>
        <w:tc>
          <w:tcPr>
            <w:tcW w:w="1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35"/>
        </w:trPr>
        <w:tc>
          <w:tcPr>
            <w:tcW w:w="73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Cash paid for acquisition of Vidello, net of cash acquired</w:t>
            </w:r>
          </w:p>
        </w:tc>
        <w:tc>
          <w:tcPr>
            <w:tcW w:w="120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120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(2,677)</w:t>
            </w:r>
          </w:p>
        </w:tc>
      </w:tr>
      <w:tr>
        <w:trPr>
          <w:trHeight w:val="129"/>
        </w:trPr>
        <w:tc>
          <w:tcPr>
            <w:tcW w:w="7360" w:type="dxa"/>
            <w:vAlign w:val="bottom"/>
          </w:tcPr>
          <w:p>
            <w:pPr>
              <w:ind w:left="120"/>
              <w:spacing w:after="0" w:line="129" w:lineRule="exact"/>
              <w:rPr>
                <w:sz w:val="20"/>
                <w:szCs w:val="20"/>
                <w:color w:val="auto"/>
              </w:rPr>
            </w:pPr>
            <w:r>
              <w:rPr>
                <w:rFonts w:ascii="Times New Roman" w:cs="Times New Roman" w:eastAsia="Times New Roman" w:hAnsi="Times New Roman"/>
                <w:sz w:val="13"/>
                <w:szCs w:val="13"/>
                <w:color w:val="auto"/>
              </w:rPr>
              <w:t>Net cash used in investing activities</w:t>
            </w:r>
          </w:p>
        </w:tc>
        <w:tc>
          <w:tcPr>
            <w:tcW w:w="1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(2,677)</w:t>
            </w:r>
          </w:p>
        </w:tc>
      </w:tr>
      <w:tr>
        <w:trPr>
          <w:trHeight w:val="128"/>
        </w:trPr>
        <w:tc>
          <w:tcPr>
            <w:tcW w:w="73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Cash flows from financing activities:</w:t>
            </w:r>
          </w:p>
        </w:tc>
        <w:tc>
          <w:tcPr>
            <w:tcW w:w="12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r>
      <w:tr>
        <w:trPr>
          <w:trHeight w:val="135"/>
        </w:trPr>
        <w:tc>
          <w:tcPr>
            <w:tcW w:w="73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Payment of GEM commitment fee promissory note</w:t>
            </w:r>
          </w:p>
        </w:tc>
        <w:tc>
          <w:tcPr>
            <w:tcW w:w="1200" w:type="dxa"/>
            <w:vAlign w:val="bottom"/>
          </w:tcPr>
          <w:p>
            <w:pPr>
              <w:spacing w:after="0"/>
              <w:rPr>
                <w:sz w:val="11"/>
                <w:szCs w:val="11"/>
                <w:color w:val="auto"/>
              </w:rPr>
            </w:pPr>
          </w:p>
        </w:tc>
        <w:tc>
          <w:tcPr>
            <w:tcW w:w="6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(215)</w:t>
            </w:r>
          </w:p>
        </w:tc>
      </w:tr>
      <w:tr>
        <w:trPr>
          <w:trHeight w:val="135"/>
        </w:trPr>
        <w:tc>
          <w:tcPr>
            <w:tcW w:w="73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Repayment of convertible notes (Yorkville)</w:t>
            </w:r>
          </w:p>
        </w:tc>
        <w:tc>
          <w:tcPr>
            <w:tcW w:w="12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(647)</w:t>
            </w:r>
          </w:p>
        </w:tc>
        <w:tc>
          <w:tcPr>
            <w:tcW w:w="16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(1,877)</w:t>
            </w:r>
          </w:p>
        </w:tc>
      </w:tr>
      <w:tr>
        <w:trPr>
          <w:trHeight w:val="135"/>
        </w:trPr>
        <w:tc>
          <w:tcPr>
            <w:tcW w:w="73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Proceeds from term notes, net of issuance costs</w:t>
            </w:r>
          </w:p>
        </w:tc>
        <w:tc>
          <w:tcPr>
            <w:tcW w:w="1200" w:type="dxa"/>
            <w:vAlign w:val="bottom"/>
          </w:tcPr>
          <w:p>
            <w:pPr>
              <w:spacing w:after="0"/>
              <w:rPr>
                <w:sz w:val="11"/>
                <w:szCs w:val="11"/>
                <w:color w:val="auto"/>
              </w:rPr>
            </w:pPr>
          </w:p>
        </w:tc>
        <w:tc>
          <w:tcPr>
            <w:tcW w:w="6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504</w:t>
            </w: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4,000</w:t>
            </w:r>
          </w:p>
        </w:tc>
      </w:tr>
      <w:tr>
        <w:trPr>
          <w:trHeight w:val="135"/>
        </w:trPr>
        <w:tc>
          <w:tcPr>
            <w:tcW w:w="73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Repayment of term notes</w:t>
            </w:r>
          </w:p>
        </w:tc>
        <w:tc>
          <w:tcPr>
            <w:tcW w:w="12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(54)</w:t>
            </w:r>
          </w:p>
        </w:tc>
        <w:tc>
          <w:tcPr>
            <w:tcW w:w="16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(3,686)</w:t>
            </w:r>
          </w:p>
        </w:tc>
      </w:tr>
      <w:tr>
        <w:trPr>
          <w:trHeight w:val="135"/>
        </w:trPr>
        <w:tc>
          <w:tcPr>
            <w:tcW w:w="73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Partial repayment of convertible notes - related party</w:t>
            </w:r>
          </w:p>
        </w:tc>
        <w:tc>
          <w:tcPr>
            <w:tcW w:w="1200" w:type="dxa"/>
            <w:vAlign w:val="bottom"/>
          </w:tcPr>
          <w:p>
            <w:pPr>
              <w:spacing w:after="0"/>
              <w:rPr>
                <w:sz w:val="11"/>
                <w:szCs w:val="11"/>
                <w:color w:val="auto"/>
              </w:rPr>
            </w:pPr>
          </w:p>
        </w:tc>
        <w:tc>
          <w:tcPr>
            <w:tcW w:w="6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(870)</w:t>
            </w:r>
          </w:p>
        </w:tc>
      </w:tr>
      <w:tr>
        <w:trPr>
          <w:trHeight w:val="135"/>
        </w:trPr>
        <w:tc>
          <w:tcPr>
            <w:tcW w:w="73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Proceeds from issuance of convertible notes, net of issuance costs</w:t>
            </w:r>
          </w:p>
        </w:tc>
        <w:tc>
          <w:tcPr>
            <w:tcW w:w="12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2,121</w:t>
            </w:r>
          </w:p>
        </w:tc>
        <w:tc>
          <w:tcPr>
            <w:tcW w:w="16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3,258</w:t>
            </w:r>
          </w:p>
        </w:tc>
      </w:tr>
      <w:tr>
        <w:trPr>
          <w:trHeight w:val="135"/>
        </w:trPr>
        <w:tc>
          <w:tcPr>
            <w:tcW w:w="73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Proceeds from issuance of shares to Yorkville under the SEPA</w:t>
            </w:r>
          </w:p>
        </w:tc>
        <w:tc>
          <w:tcPr>
            <w:tcW w:w="1200" w:type="dxa"/>
            <w:vAlign w:val="bottom"/>
          </w:tcPr>
          <w:p>
            <w:pPr>
              <w:spacing w:after="0"/>
              <w:rPr>
                <w:sz w:val="11"/>
                <w:szCs w:val="11"/>
                <w:color w:val="auto"/>
              </w:rPr>
            </w:pPr>
          </w:p>
        </w:tc>
        <w:tc>
          <w:tcPr>
            <w:tcW w:w="6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697</w:t>
            </w: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6,687</w:t>
            </w:r>
          </w:p>
        </w:tc>
      </w:tr>
      <w:tr>
        <w:trPr>
          <w:trHeight w:val="135"/>
        </w:trPr>
        <w:tc>
          <w:tcPr>
            <w:tcW w:w="73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Proceeds from shares issued to Verista</w:t>
            </w:r>
          </w:p>
        </w:tc>
        <w:tc>
          <w:tcPr>
            <w:tcW w:w="12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50</w:t>
            </w:r>
          </w:p>
        </w:tc>
      </w:tr>
      <w:tr>
        <w:trPr>
          <w:trHeight w:val="135"/>
        </w:trPr>
        <w:tc>
          <w:tcPr>
            <w:tcW w:w="73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Proceeds from issuance of common stock and warrants</w:t>
            </w:r>
          </w:p>
        </w:tc>
        <w:tc>
          <w:tcPr>
            <w:tcW w:w="1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2,726</w:t>
            </w:r>
          </w:p>
        </w:tc>
        <w:tc>
          <w:tcPr>
            <w:tcW w:w="16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28"/>
        </w:trPr>
        <w:tc>
          <w:tcPr>
            <w:tcW w:w="736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Net cash provided by financing activities</w:t>
            </w:r>
          </w:p>
        </w:tc>
        <w:tc>
          <w:tcPr>
            <w:tcW w:w="120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5,347</w:t>
            </w:r>
          </w:p>
        </w:tc>
        <w:tc>
          <w:tcPr>
            <w:tcW w:w="160" w:type="dxa"/>
            <w:vAlign w:val="bottom"/>
            <w:tcBorders>
              <w:bottom w:val="single" w:sz="8" w:color="CFF0FC"/>
            </w:tcBorders>
            <w:shd w:val="clear" w:color="auto" w:fill="CFF0FC"/>
          </w:tcPr>
          <w:p>
            <w:pPr>
              <w:spacing w:after="0"/>
              <w:rPr>
                <w:sz w:val="11"/>
                <w:szCs w:val="11"/>
                <w:color w:val="auto"/>
              </w:rPr>
            </w:pPr>
          </w:p>
        </w:tc>
        <w:tc>
          <w:tcPr>
            <w:tcW w:w="120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7,347</w:t>
            </w:r>
          </w:p>
        </w:tc>
      </w:tr>
      <w:tr>
        <w:trPr>
          <w:trHeight w:val="128"/>
        </w:trPr>
        <w:tc>
          <w:tcPr>
            <w:tcW w:w="736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Effect of exchange rate changes on cash and cash equivalents</w:t>
            </w:r>
          </w:p>
        </w:tc>
        <w:tc>
          <w:tcPr>
            <w:tcW w:w="1200" w:type="dxa"/>
            <w:vAlign w:val="bottom"/>
          </w:tcPr>
          <w:p>
            <w:pPr>
              <w:spacing w:after="0"/>
              <w:rPr>
                <w:sz w:val="11"/>
                <w:szCs w:val="11"/>
                <w:color w:val="auto"/>
              </w:rPr>
            </w:pPr>
          </w:p>
        </w:tc>
        <w:tc>
          <w:tcPr>
            <w:tcW w:w="66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32</w:t>
            </w: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6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73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Net decrease in cash</w:t>
            </w:r>
          </w:p>
        </w:tc>
        <w:tc>
          <w:tcPr>
            <w:tcW w:w="12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(122)</w:t>
            </w:r>
          </w:p>
        </w:tc>
        <w:tc>
          <w:tcPr>
            <w:tcW w:w="16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(304)</w:t>
            </w:r>
          </w:p>
        </w:tc>
      </w:tr>
      <w:tr>
        <w:trPr>
          <w:trHeight w:val="135"/>
        </w:trPr>
        <w:tc>
          <w:tcPr>
            <w:tcW w:w="7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Cash at beginning of period</w:t>
            </w:r>
          </w:p>
        </w:tc>
        <w:tc>
          <w:tcPr>
            <w:tcW w:w="1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259</w:t>
            </w:r>
          </w:p>
        </w:tc>
        <w:tc>
          <w:tcPr>
            <w:tcW w:w="16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1,087</w:t>
            </w:r>
          </w:p>
        </w:tc>
      </w:tr>
      <w:tr>
        <w:trPr>
          <w:trHeight w:val="169"/>
        </w:trPr>
        <w:tc>
          <w:tcPr>
            <w:tcW w:w="736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Cash at end of period</w:t>
            </w:r>
          </w:p>
        </w:tc>
        <w:tc>
          <w:tcPr>
            <w:tcW w:w="1200" w:type="dxa"/>
            <w:vAlign w:val="bottom"/>
            <w:tcBorders>
              <w:bottom w:val="single" w:sz="8" w:color="auto"/>
            </w:tcBorders>
            <w:shd w:val="clear" w:color="auto" w:fill="CFF0FC"/>
          </w:tcPr>
          <w:p>
            <w:pPr>
              <w:jc w:val="right"/>
              <w:ind w:right="1082"/>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bottom w:val="single" w:sz="8" w:color="auto"/>
            </w:tcBorders>
            <w:shd w:val="clear" w:color="auto" w:fill="CFF0FC"/>
          </w:tcPr>
          <w:p>
            <w:pPr>
              <w:jc w:val="right"/>
              <w:ind w:right="57"/>
              <w:spacing w:after="0" w:line="115" w:lineRule="exact"/>
              <w:rPr>
                <w:sz w:val="20"/>
                <w:szCs w:val="20"/>
                <w:color w:val="auto"/>
              </w:rPr>
            </w:pPr>
            <w:r>
              <w:rPr>
                <w:rFonts w:ascii="Times New Roman" w:cs="Times New Roman" w:eastAsia="Times New Roman" w:hAnsi="Times New Roman"/>
                <w:sz w:val="13"/>
                <w:szCs w:val="13"/>
                <w:color w:val="auto"/>
              </w:rPr>
              <w:t>137</w:t>
            </w:r>
          </w:p>
        </w:tc>
        <w:tc>
          <w:tcPr>
            <w:tcW w:w="160" w:type="dxa"/>
            <w:vAlign w:val="bottom"/>
            <w:tcBorders>
              <w:bottom w:val="single" w:sz="8" w:color="CFF0FC"/>
            </w:tcBorders>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jc w:val="right"/>
              <w:ind w:right="1088"/>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bottom w:val="single" w:sz="8" w:color="auto"/>
            </w:tcBorders>
            <w:shd w:val="clear" w:color="auto" w:fill="CFF0FC"/>
          </w:tcPr>
          <w:p>
            <w:pPr>
              <w:jc w:val="right"/>
              <w:ind w:right="57"/>
              <w:spacing w:after="0" w:line="115" w:lineRule="exact"/>
              <w:rPr>
                <w:sz w:val="20"/>
                <w:szCs w:val="20"/>
                <w:color w:val="auto"/>
              </w:rPr>
            </w:pPr>
            <w:r>
              <w:rPr>
                <w:rFonts w:ascii="Times New Roman" w:cs="Times New Roman" w:eastAsia="Times New Roman" w:hAnsi="Times New Roman"/>
                <w:sz w:val="13"/>
                <w:szCs w:val="13"/>
                <w:color w:val="auto"/>
              </w:rPr>
              <w:t>783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5847080</wp:posOffset>
            </wp:positionH>
            <wp:positionV relativeFrom="paragraph">
              <wp:posOffset>-1726565</wp:posOffset>
            </wp:positionV>
            <wp:extent cx="119380" cy="1282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19380" cy="128270"/>
                    </a:xfrm>
                    <a:prstGeom prst="rect">
                      <a:avLst/>
                    </a:prstGeom>
                    <a:noFill/>
                  </pic:spPr>
                </pic:pic>
              </a:graphicData>
            </a:graphic>
          </wp:anchor>
        </w:drawing>
        <w:drawing>
          <wp:anchor simplePos="0" relativeHeight="251657728" behindDoc="1" locked="0" layoutInCell="0" allowOverlap="1">
            <wp:simplePos x="0" y="0"/>
            <wp:positionH relativeFrom="column">
              <wp:posOffset>5847080</wp:posOffset>
            </wp:positionH>
            <wp:positionV relativeFrom="paragraph">
              <wp:posOffset>-1452245</wp:posOffset>
            </wp:positionV>
            <wp:extent cx="119380" cy="1282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19380" cy="12827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-385445</wp:posOffset>
            </wp:positionV>
            <wp:extent cx="939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-24765</wp:posOffset>
            </wp:positionV>
            <wp:extent cx="939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-7620</wp:posOffset>
            </wp:positionV>
            <wp:extent cx="939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3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Supplemental disclosure of cash flow information:</w:t>
            </w:r>
          </w:p>
        </w:tc>
        <w:tc>
          <w:tcPr>
            <w:tcW w:w="37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35"/>
        </w:trPr>
        <w:tc>
          <w:tcPr>
            <w:tcW w:w="63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Cash paid for interest</w:t>
            </w:r>
          </w:p>
        </w:tc>
        <w:tc>
          <w:tcPr>
            <w:tcW w:w="3700" w:type="dxa"/>
            <w:vAlign w:val="bottom"/>
            <w:shd w:val="clear" w:color="auto" w:fill="CFF0FC"/>
          </w:tcPr>
          <w:p>
            <w:pPr>
              <w:jc w:val="right"/>
              <w:ind w:right="7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1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6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Cash paid for taxes</w:t>
            </w:r>
          </w:p>
        </w:tc>
        <w:tc>
          <w:tcPr>
            <w:tcW w:w="3700" w:type="dxa"/>
            <w:vAlign w:val="bottom"/>
          </w:tcPr>
          <w:p>
            <w:pPr>
              <w:jc w:val="right"/>
              <w:ind w:right="7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1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63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i w:val="1"/>
                <w:iCs w:val="1"/>
                <w:color w:val="auto"/>
              </w:rPr>
              <w:t>Non-cash investing and financing activities</w:t>
            </w:r>
          </w:p>
        </w:tc>
        <w:tc>
          <w:tcPr>
            <w:tcW w:w="370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r>
      <w:tr>
        <w:trPr>
          <w:trHeight w:val="135"/>
        </w:trPr>
        <w:tc>
          <w:tcPr>
            <w:tcW w:w="63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Shares issued for Hudson consulting fee</w:t>
            </w:r>
          </w:p>
        </w:tc>
        <w:tc>
          <w:tcPr>
            <w:tcW w:w="3700" w:type="dxa"/>
            <w:vAlign w:val="bottom"/>
          </w:tcPr>
          <w:p>
            <w:pPr>
              <w:jc w:val="right"/>
              <w:ind w:right="7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1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233</w:t>
            </w:r>
          </w:p>
        </w:tc>
      </w:tr>
      <w:tr>
        <w:trPr>
          <w:trHeight w:val="135"/>
        </w:trPr>
        <w:tc>
          <w:tcPr>
            <w:tcW w:w="63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Consideration transferred for acquisition of Vidello</w:t>
            </w:r>
          </w:p>
        </w:tc>
        <w:tc>
          <w:tcPr>
            <w:tcW w:w="3700" w:type="dxa"/>
            <w:vAlign w:val="bottom"/>
            <w:shd w:val="clear" w:color="auto" w:fill="CFF0FC"/>
          </w:tcPr>
          <w:p>
            <w:pPr>
              <w:jc w:val="right"/>
              <w:ind w:right="7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1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1,662</w:t>
            </w:r>
          </w:p>
        </w:tc>
      </w:tr>
      <w:tr>
        <w:trPr>
          <w:trHeight w:val="135"/>
        </w:trPr>
        <w:tc>
          <w:tcPr>
            <w:tcW w:w="63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Assets acquired in acquisition of Vidello</w:t>
            </w:r>
          </w:p>
        </w:tc>
        <w:tc>
          <w:tcPr>
            <w:tcW w:w="3700" w:type="dxa"/>
            <w:vAlign w:val="bottom"/>
          </w:tcPr>
          <w:p>
            <w:pPr>
              <w:jc w:val="right"/>
              <w:ind w:right="7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1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8,393</w:t>
            </w:r>
          </w:p>
        </w:tc>
      </w:tr>
      <w:tr>
        <w:trPr>
          <w:trHeight w:val="135"/>
        </w:trPr>
        <w:tc>
          <w:tcPr>
            <w:tcW w:w="63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Liabilities assumed in acquisition of Vidello</w:t>
            </w:r>
          </w:p>
        </w:tc>
        <w:tc>
          <w:tcPr>
            <w:tcW w:w="3700" w:type="dxa"/>
            <w:vAlign w:val="bottom"/>
            <w:shd w:val="clear" w:color="auto" w:fill="CFF0FC"/>
          </w:tcPr>
          <w:p>
            <w:pPr>
              <w:jc w:val="right"/>
              <w:ind w:right="7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1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3,986</w:t>
            </w:r>
          </w:p>
        </w:tc>
      </w:tr>
      <w:tr>
        <w:trPr>
          <w:trHeight w:val="135"/>
        </w:trPr>
        <w:tc>
          <w:tcPr>
            <w:tcW w:w="63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Conversion of private placement convertible notes, carried at fair value</w:t>
            </w:r>
          </w:p>
        </w:tc>
        <w:tc>
          <w:tcPr>
            <w:tcW w:w="3700" w:type="dxa"/>
            <w:vAlign w:val="bottom"/>
          </w:tcPr>
          <w:p>
            <w:pPr>
              <w:jc w:val="right"/>
              <w:ind w:right="717"/>
              <w:spacing w:after="0" w:line="135" w:lineRule="exact"/>
              <w:rPr>
                <w:sz w:val="20"/>
                <w:szCs w:val="20"/>
                <w:color w:val="auto"/>
              </w:rPr>
            </w:pPr>
            <w:r>
              <w:rPr>
                <w:rFonts w:ascii="Times New Roman" w:cs="Times New Roman" w:eastAsia="Times New Roman" w:hAnsi="Times New Roman"/>
                <w:sz w:val="13"/>
                <w:szCs w:val="13"/>
                <w:color w:val="auto"/>
              </w:rPr>
              <w:t>2,735</w:t>
            </w:r>
          </w:p>
        </w:tc>
        <w:tc>
          <w:tcPr>
            <w:tcW w:w="11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63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Shares issued for payment of outstanding debt</w:t>
            </w:r>
          </w:p>
        </w:tc>
        <w:tc>
          <w:tcPr>
            <w:tcW w:w="3700" w:type="dxa"/>
            <w:vAlign w:val="bottom"/>
            <w:shd w:val="clear" w:color="auto" w:fill="CFF0FC"/>
          </w:tcPr>
          <w:p>
            <w:pPr>
              <w:jc w:val="right"/>
              <w:ind w:right="717"/>
              <w:spacing w:after="0" w:line="135" w:lineRule="exact"/>
              <w:rPr>
                <w:sz w:val="20"/>
                <w:szCs w:val="20"/>
                <w:color w:val="auto"/>
              </w:rPr>
            </w:pPr>
            <w:r>
              <w:rPr>
                <w:rFonts w:ascii="Times New Roman" w:cs="Times New Roman" w:eastAsia="Times New Roman" w:hAnsi="Times New Roman"/>
                <w:sz w:val="13"/>
                <w:szCs w:val="13"/>
                <w:color w:val="auto"/>
              </w:rPr>
              <w:t>666</w:t>
            </w:r>
          </w:p>
        </w:tc>
        <w:tc>
          <w:tcPr>
            <w:tcW w:w="11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64"/>
        </w:trPr>
        <w:tc>
          <w:tcPr>
            <w:tcW w:w="63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Shares issued for 1800 Diagonal Note conversions of debt</w:t>
            </w:r>
          </w:p>
        </w:tc>
        <w:tc>
          <w:tcPr>
            <w:tcW w:w="3700" w:type="dxa"/>
            <w:vAlign w:val="bottom"/>
          </w:tcPr>
          <w:p>
            <w:pPr>
              <w:jc w:val="right"/>
              <w:ind w:right="717"/>
              <w:spacing w:after="0"/>
              <w:rPr>
                <w:sz w:val="20"/>
                <w:szCs w:val="20"/>
                <w:color w:val="auto"/>
              </w:rPr>
            </w:pPr>
            <w:r>
              <w:rPr>
                <w:rFonts w:ascii="Times New Roman" w:cs="Times New Roman" w:eastAsia="Times New Roman" w:hAnsi="Times New Roman"/>
                <w:sz w:val="13"/>
                <w:szCs w:val="13"/>
                <w:color w:val="auto"/>
              </w:rPr>
              <w:t>392</w:t>
            </w:r>
          </w:p>
        </w:tc>
        <w:tc>
          <w:tcPr>
            <w:tcW w:w="11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bl>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Business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Banzai International, Inc. (the “Company” or “Banzai”) was incorporated in Delaware on September 30, 2015. Banzai is a leading enterprise SaaS Video Engagement platform used by marketers to power webinars, trainings, virtual events, and on-demand video content.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Going Concern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2026 the Company had cash of approximately $0.1 million. For the three months ended March 31, 2026, the Company used approximately $5.5 million in cash for operating activities. The Company has incurred recurring net losses from operations and negative cash flows from operating activities since inception. As of March 31, 2026, the Company had an accumulated deficit of approximately $109.2 million. These factors raise substantial doubt regarding the Company’s ability to continue as a going concern within one year of the date these financial statements were issued.</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continuation of the Company as a going concern is dependent upon the continued financial support from its stockholders and debt holders. Specifically, continuation is contingent on the Company's ability to obtain necessary equity or debt financing to continue operations, and ultimately the Company's ability to generate profit from sales and positive operating cash flows, which is not assured.</w:t>
      </w:r>
    </w:p>
    <w:p>
      <w:pPr>
        <w:spacing w:after="0" w:line="14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Company’s plans include obtaining future debt financings (see </w:t>
      </w:r>
      <w:r>
        <w:rPr>
          <w:rFonts w:ascii="Times New Roman" w:cs="Times New Roman" w:eastAsia="Times New Roman" w:hAnsi="Times New Roman"/>
          <w:sz w:val="18"/>
          <w:szCs w:val="18"/>
          <w:i w:val="1"/>
          <w:iCs w:val="1"/>
          <w:color w:val="auto"/>
        </w:rPr>
        <w:t>Note 11 – Debt</w:t>
      </w:r>
      <w:r>
        <w:rPr>
          <w:rFonts w:ascii="Times New Roman" w:cs="Times New Roman" w:eastAsia="Times New Roman" w:hAnsi="Times New Roman"/>
          <w:sz w:val="18"/>
          <w:szCs w:val="18"/>
          <w:color w:val="auto"/>
        </w:rPr>
        <w:t xml:space="preserve">) and equity financings associated with the Yorkville SEPA and the ATM (as defined in </w:t>
      </w:r>
      <w:r>
        <w:rPr>
          <w:rFonts w:ascii="Times New Roman" w:cs="Times New Roman" w:eastAsia="Times New Roman" w:hAnsi="Times New Roman"/>
          <w:sz w:val="18"/>
          <w:szCs w:val="18"/>
          <w:i w:val="1"/>
          <w:iCs w:val="1"/>
          <w:color w:val="auto"/>
        </w:rPr>
        <w:t>Note 14 – Equity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If the Company is unsuccessful in completing these planned transactions, it may be required to reduce its spending rate to align with expected revenue levels and cash reserves, although there can be no guarantee that it will be successful in doing so. Accordingly, the Company may be required to raise additional cash through debt or equity transactions. It may not be able to secure financing in a timely manner or on favorable terms, if at all. As a result, management’s plans cannot be considered probable and thus do not alleviate substantial doubt about the Company’s ability to continue as a going concern.</w:t>
      </w:r>
    </w:p>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accompanying condensed consolidated financial statements have been prepared assuming that the Company will continue as a going concern and do not include any adjustments that might result from the outcome of this uncertainty.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Summary of Significant Accounting Policies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unaudited condensed consolidated financial statements have been prepared in conformity with accounting principles generally accepted in the United States of America ("GAAP") as determined by the Financial Accounting Standards Board ("FASB") Accounting Standards Codification ("ASC") and applicable regulations of the Securities and Exchange Commission ("SEC") for interim financial information and with the instructions to Form 10-Q of Regulation S-X. Certain information and note disclosures normally included in financial statements prepared in accordance with GAAP have been omitted pursuant to such rules and regulations of the SEC relating to interim financial statements. The December 31, 2025 balance sheet information was derived from the audited financial statements as of that date. Except as disclosed herein, there has been no material change in the information disclosed in the notes to the consolidated financial statements for the year ended December 31, 2025 included in the Company's Annual Report on Form 10-K, as filed with the SEC on March 31, 2026. The interim unaudited condensed consolidated financial statements should be read in conjunction with those consolidated financial statements included in the Form 10-K. In the opinion of management, all adjustments considered necessary for a fair statement of the financial statements, consisting solely of normal recurring adjustments, have been made. Operating results for the period ended March 31, 2026 are not necessarily indicative of the results that may be expected for the year ending December 31, 2026.</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Credit Losses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Accounts receivable consist of balances due from customers as well as from payment service providers. Payment terms range from due upon receipt, to net 30 days. Accounts receivable are stated net of an allowance for credit losses.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allowance for expected credit losses is based on the probability of future collection under the current expected credited loss (“CECL”) impairment model. Account balances are written off after all means of collection are exhausted and the balance is deemed uncollectible. Subsequent recoveries are credited to the allowance. Changes in the allowance are recorded as adjustments to credit losses in the period incurred.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 w:name="page10"/>
    <w:bookmarkEnd w:id="9"/>
    <w:p>
      <w:pPr>
        <w:jc w:val="center"/>
        <w:ind w:left="2460"/>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ind w:left="2460"/>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ind w:left="2460"/>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the allowance for credit losses for the year ended December 31, 2025:</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provision for credit losses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r>
      <w:tr>
        <w:trPr>
          <w:trHeight w:val="234"/>
        </w:trPr>
        <w:tc>
          <w:tcPr>
            <w:tcW w:w="9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09"/>
        </w:trPr>
        <w:tc>
          <w:tcPr>
            <w:tcW w:w="9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589" w:lineRule="exact"/>
        <w:rPr>
          <w:sz w:val="20"/>
          <w:szCs w:val="20"/>
          <w:color w:val="auto"/>
        </w:rPr>
      </w:pPr>
    </w:p>
    <w:p>
      <w:pPr>
        <w:sectPr>
          <w:pgSz w:w="11900" w:h="16838" w:orient="portrait"/>
          <w:cols w:equalWidth="0" w:num="2">
            <w:col w:w="8800" w:space="380"/>
            <w:col w:w="2060"/>
          </w:cols>
          <w:pgMar w:left="320" w:top="765" w:right="339" w:bottom="1440" w:gutter="0" w:footer="0" w:header="0"/>
        </w:sect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does not use derivative instruments to hedge exposures to cash flow, market, or foreign currency risks. The Company evaluates all of its financial instruments, including issued stock purchase warrants, to determine if such instruments are derivatives or contain features that qualify as embedded derivatives. The classification of derivative instruments, including whether such instruments should be recorded as liabilities or as equity, is re-assessed at the end of each reporting period.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Liability – related party</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warrants originally issued in 7GC's initial public offering (the "Public Warrants") are recognized as derivative liabilities in accordance with FASB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Accordingly, the Company recognizes the warrant instruments as liabilities at fair value and adjusts the instruments to fair value at each reporting period. The liabilities are subject to re-measurement at each balance sheet date until exercise or expiration, and any change in fair value is recognized in the unaudited condensed consolidated statements of operations.</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Public Warrants were initially measured at fair value using a Monte Carlo simulation model and have subsequently been measured based on the listed market price of such warrants. Warrant liabilities are classified as current liabilities on the condensed consolidated balance sheets. The changes in the fair value of the derivative warrant liability is presented in the line item "change in fair value of warrant liabilities – related party" in the accompanying unaudited condensed consolidated statements of operations.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GEM Warrant Liability</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GEM Warrants were not considered indexed to the issuer’s stock pursuant to ASC 815, as the holder’s ability to receive in lieu of the Warrant one percent of the total consideration received by the Company’s stockholders in connection with a Change of Control, where the surviving corporation is not publicly traded, adjusts the settlement value based on items outside the Company’s control in violation of the fixed-for-fixed option pricing model. As such, the Company recorded the Warrants as liabilities initially measured at fair value with subsequent changes in fair value recognized in earnings each reporting period. The changes in the fair value of the derivative warrant liability is presented in the line item "change in fair value of warrant liabilities" in the accompanying unaudited condensed consolidated statements of operations.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Per Share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loss per share of common stock is computed by dividing net loss attributable to common stockholders by the weighted average number of shares of common stock outstanding and pre-funded warrants outstanding during the period. Diluted net loss per share excludes, when applicable, the potential impact of stock options and convertible preferred stock because their effect would be anti-dilutive due to the net loss. Since the Company had a net loss in each of the periods presented, basic and diluted net loss per common share are the same.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calculation of basic and diluted net loss per share attributable to common stock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460" w:type="dxa"/>
            <w:vAlign w:val="bottom"/>
            <w:tcBorders>
              <w:bottom w:val="single" w:sz="8" w:color="auto"/>
            </w:tcBorders>
            <w:gridSpan w:val="5"/>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r>
      <w:tr>
        <w:trPr>
          <w:trHeight w:val="210"/>
        </w:trPr>
        <w:tc>
          <w:tcPr>
            <w:tcW w:w="54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34"/>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common shareholders—basic and diluted</w:t>
            </w:r>
          </w:p>
        </w:tc>
        <w:tc>
          <w:tcPr>
            <w:tcW w:w="332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(8,417)</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(3,644)</w:t>
            </w:r>
          </w:p>
        </w:tc>
      </w:tr>
      <w:tr>
        <w:trPr>
          <w:trHeight w:val="198"/>
        </w:trPr>
        <w:tc>
          <w:tcPr>
            <w:tcW w:w="54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6"/>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shares—basic and diluted (in thousands)</w:t>
            </w:r>
          </w:p>
        </w:tc>
        <w:tc>
          <w:tcPr>
            <w:tcW w:w="2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shareholders—basic and diluted</w:t>
            </w:r>
          </w:p>
        </w:tc>
        <w:tc>
          <w:tcPr>
            <w:tcW w:w="3320" w:type="dxa"/>
            <w:vAlign w:val="bottom"/>
            <w:gridSpan w:val="2"/>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(30.37)</w:t>
            </w:r>
          </w:p>
        </w:tc>
      </w:tr>
      <w:tr>
        <w:trPr>
          <w:trHeight w:val="432"/>
        </w:trPr>
        <w:tc>
          <w:tcPr>
            <w:tcW w:w="5460" w:type="dxa"/>
            <w:vAlign w:val="bottom"/>
          </w:tcPr>
          <w:p>
            <w:pPr>
              <w:spacing w:after="0"/>
              <w:rPr>
                <w:sz w:val="24"/>
                <w:szCs w:val="24"/>
                <w:color w:val="auto"/>
              </w:rPr>
            </w:pPr>
          </w:p>
        </w:tc>
        <w:tc>
          <w:tcPr>
            <w:tcW w:w="2320" w:type="dxa"/>
            <w:vAlign w:val="bottom"/>
          </w:tcPr>
          <w:p>
            <w:pPr>
              <w:jc w:val="right"/>
              <w:ind w:right="1970"/>
              <w:spacing w:after="0"/>
              <w:rPr>
                <w:sz w:val="20"/>
                <w:szCs w:val="20"/>
                <w:color w:val="auto"/>
              </w:rPr>
            </w:pPr>
            <w:r>
              <w:rPr>
                <w:rFonts w:ascii="Times New Roman" w:cs="Times New Roman" w:eastAsia="Times New Roman" w:hAnsi="Times New Roman"/>
                <w:sz w:val="18"/>
                <w:szCs w:val="18"/>
                <w:color w:val="auto"/>
              </w:rPr>
              <w:t>10</w:t>
            </w: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763"/>
        </w:trPr>
        <w:tc>
          <w:tcPr>
            <w:tcW w:w="546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38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Securities that were excluded from loss per share as their effect would be anti-dilutive due to the net loss that could potentially be dilutive in future periods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gridSpan w:val="2"/>
          </w:tcPr>
          <w:p>
            <w:pPr>
              <w:spacing w:after="0"/>
              <w:rPr>
                <w:sz w:val="20"/>
                <w:szCs w:val="20"/>
                <w:color w:val="auto"/>
              </w:rPr>
            </w:pPr>
          </w:p>
        </w:tc>
        <w:tc>
          <w:tcPr>
            <w:tcW w:w="14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As of March 31,</w:t>
            </w:r>
          </w:p>
        </w:tc>
        <w:tc>
          <w:tcPr>
            <w:tcW w:w="1160" w:type="dxa"/>
            <w:vAlign w:val="bottom"/>
          </w:tcPr>
          <w:p>
            <w:pPr>
              <w:spacing w:after="0"/>
              <w:rPr>
                <w:sz w:val="20"/>
                <w:szCs w:val="20"/>
                <w:color w:val="auto"/>
              </w:rPr>
            </w:pPr>
          </w:p>
        </w:tc>
      </w:tr>
      <w:tr>
        <w:trPr>
          <w:trHeight w:val="209"/>
        </w:trPr>
        <w:tc>
          <w:tcPr>
            <w:tcW w:w="770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7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8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w:t>
            </w: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628</w:t>
            </w: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RSUs</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26,708</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13,039</w:t>
            </w:r>
          </w:p>
        </w:tc>
      </w:tr>
      <w:tr>
        <w:trPr>
          <w:trHeight w:val="216"/>
        </w:trPr>
        <w:tc>
          <w:tcPr>
            <w:tcW w:w="8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Public warrant shares</w:t>
            </w: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1,150</w:t>
            </w: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1,150</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GEM warrant shares</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8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warrant shares</w:t>
            </w: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100,716</w:t>
            </w: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22,638</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Placement agent warrant shares</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14,912</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525</w:t>
            </w:r>
          </w:p>
        </w:tc>
      </w:tr>
      <w:tr>
        <w:trPr>
          <w:trHeight w:val="216"/>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Pre-funded warrants</w:t>
            </w:r>
          </w:p>
        </w:tc>
        <w:tc>
          <w:tcPr>
            <w:tcW w:w="98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144,197</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37,563</w:t>
            </w:r>
          </w:p>
        </w:tc>
      </w:tr>
      <w:tr>
        <w:trPr>
          <w:trHeight w:val="20"/>
        </w:trPr>
        <w:tc>
          <w:tcPr>
            <w:tcW w:w="77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-170815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evaluates all its financial instruments to determine if such instruments contain features that qualify as embedded derivatives. Embedded derivatives must be separately measured from the host contract if all the requirements for bifurcation are met. The assessment of the conditions surrounding the bifurcation of embedded derivatives depends on the nature of the host contract. Bifurcated embedded derivatives are recognized at fair value, with changes in fair value recognized in the unaudited condensed consolidated statements of operations each period. Bifurcated embedded derivatives are classified with the related host contract in the condensed consolidated balance sheets. Refer to </w:t>
      </w:r>
      <w:r>
        <w:rPr>
          <w:rFonts w:ascii="Times New Roman" w:cs="Times New Roman" w:eastAsia="Times New Roman" w:hAnsi="Times New Roman"/>
          <w:sz w:val="18"/>
          <w:szCs w:val="18"/>
          <w:i w:val="1"/>
          <w:iCs w:val="1"/>
          <w:color w:val="auto"/>
        </w:rPr>
        <w:t>Note 7 – Fair Value Measurements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Note 11 – Debt</w:t>
      </w:r>
      <w:r>
        <w:rPr>
          <w:rFonts w:ascii="Times New Roman" w:cs="Times New Roman" w:eastAsia="Times New Roman" w:hAnsi="Times New Roman"/>
          <w:sz w:val="18"/>
          <w:szCs w:val="18"/>
          <w:color w:val="auto"/>
        </w:rPr>
        <w:t xml:space="preserve"> for further detail.</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FASB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the Company uses a three-level hierarchy for fair value measurements of certain assets and liabilities for financial reporting purposes that distinguishes between market participant assumptions developed from market data obtained from outside sources (observable inputs) and the Company's own assumptions about market participant assumptions developed from the best information available to us in the circumstances (unobservable inputs). The fair value hierarchy is divided into three levels based on the source of inputs as follows:</w:t>
      </w:r>
    </w:p>
    <w:p>
      <w:pPr>
        <w:spacing w:after="0" w:line="1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Level 1: Quoted prices in active markets for identical assets or liabilities.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Level 2: Inputs other than Level 1 prices for similar assets or liabilities that are directly or indirectly observable in the marketplace.</w:t>
      </w:r>
    </w:p>
    <w:p>
      <w:pPr>
        <w:spacing w:after="0" w:line="198" w:lineRule="exact"/>
        <w:rPr>
          <w:sz w:val="20"/>
          <w:szCs w:val="20"/>
          <w:color w:val="auto"/>
        </w:rPr>
      </w:pPr>
    </w:p>
    <w:p>
      <w:pPr>
        <w:ind w:left="460"/>
        <w:spacing w:after="0" w:line="282" w:lineRule="auto"/>
        <w:rPr>
          <w:sz w:val="20"/>
          <w:szCs w:val="20"/>
          <w:color w:val="auto"/>
        </w:rPr>
      </w:pPr>
      <w:r>
        <w:rPr>
          <w:rFonts w:ascii="Times New Roman" w:cs="Times New Roman" w:eastAsia="Times New Roman" w:hAnsi="Times New Roman"/>
          <w:sz w:val="18"/>
          <w:szCs w:val="18"/>
          <w:color w:val="auto"/>
        </w:rPr>
        <w:t>Level 3: Unobservable inputs which are supported by little or no market activity and values determined using pricing models, discounted cash flow methodologies, or similar techniques, as well as instruments for which the determination of fair value requires significant judgment or estimation.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measurements discussed herein are based upon certain market assumptions and pertinent information available to management during the three months ended March 31, 2026 and 2025. The carrying amount of cash, accounts receivable, prepaid expenses and other current assets, accounts payable, accrued expenses, deferred revenue, and other current liabilities approximated their fair values as of March 31, 2026 and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Option Election</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determined the January 2025 Yorkville Note, the September 2025 Yorkville Note, the Agile Notes, the 1800 Diagonal Notes, the </w:t>
      </w:r>
      <w:r>
        <w:rPr>
          <w:rFonts w:ascii="Times New Roman" w:cs="Times New Roman" w:eastAsia="Times New Roman" w:hAnsi="Times New Roman"/>
          <w:sz w:val="18"/>
          <w:szCs w:val="18"/>
          <w:color w:val="212529"/>
        </w:rPr>
        <w:t>Private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Placement Convertible Notes, and the Boot Capital Convertible Notes </w:t>
      </w:r>
      <w:r>
        <w:rPr>
          <w:rFonts w:ascii="Times New Roman" w:cs="Times New Roman" w:eastAsia="Times New Roman" w:hAnsi="Times New Roman"/>
          <w:sz w:val="18"/>
          <w:szCs w:val="18"/>
          <w:color w:val="000000"/>
        </w:rPr>
        <w:t>(each as defined in</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i w:val="1"/>
          <w:iCs w:val="1"/>
          <w:color w:val="000000"/>
        </w:rPr>
        <w:t>Note 11 – Debt</w:t>
      </w:r>
      <w:r>
        <w:rPr>
          <w:rFonts w:ascii="Times New Roman" w:cs="Times New Roman" w:eastAsia="Times New Roman" w:hAnsi="Times New Roman"/>
          <w:sz w:val="18"/>
          <w:szCs w:val="18"/>
          <w:color w:val="000000"/>
        </w:rPr>
        <w:t>, and together the "FVO Notes") were eligible for</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the fair value option, in accordance with FASB ASC 825-10-50-28, and made such election to account for these instruments at fair value.</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fair value option may be elected on an instrument-by-instrument basis and is irrevocable unless a new election date occurs. Additional term or other notes may be issued in subsequent periods where the Company would be able to make a fair value option election upon issuance provided eligibility criteria are met. The fair value option election was made to align the accounting for the FVO </w:t>
      </w:r>
      <w:r>
        <w:rPr>
          <w:rFonts w:ascii="Times New Roman" w:cs="Times New Roman" w:eastAsia="Times New Roman" w:hAnsi="Times New Roman"/>
          <w:sz w:val="18"/>
          <w:szCs w:val="18"/>
          <w:color w:val="212529"/>
        </w:rPr>
        <w:t>Notes</w:t>
      </w:r>
      <w:r>
        <w:rPr>
          <w:rFonts w:ascii="Times New Roman" w:cs="Times New Roman" w:eastAsia="Times New Roman" w:hAnsi="Times New Roman"/>
          <w:sz w:val="18"/>
          <w:szCs w:val="18"/>
          <w:color w:val="auto"/>
        </w:rPr>
        <w:t xml:space="preserve"> with the Company's financial reporting objectives and reduce operational effort to account for embedded features that otherwise would require bifurcation as a separate unit of account.</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3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fair value option election, direct and incremental debt issuance costs and consideration paid to the respective lender were expensed as incurred and recorded in other income (expense), net in the unaudited condensed consolidated statements of operations.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Losses recognized upon issuance of debt represent the difference between issuance date fair value and the proceeds received net of discount or premium, which are recorded in loss on debt issuance in the unaudited condensed consolidated statements of operations.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records the portion of the FVO </w:t>
      </w:r>
      <w:r>
        <w:rPr>
          <w:rFonts w:ascii="Times New Roman" w:cs="Times New Roman" w:eastAsia="Times New Roman" w:hAnsi="Times New Roman"/>
          <w:sz w:val="18"/>
          <w:szCs w:val="18"/>
          <w:color w:val="212529"/>
        </w:rPr>
        <w:t>Notes</w:t>
      </w:r>
      <w:r>
        <w:rPr>
          <w:rFonts w:ascii="Times New Roman" w:cs="Times New Roman" w:eastAsia="Times New Roman" w:hAnsi="Times New Roman"/>
          <w:sz w:val="18"/>
          <w:szCs w:val="18"/>
          <w:color w:val="auto"/>
        </w:rPr>
        <w:t xml:space="preserve"> that are issued and outstanding for accounting purposes at fair value with changes in fair value recorded in change in fair value in the unaudited condensed consolidated statements of operations, except for the portion of the total change in fair value that results from a change in the instrument-specific credit risk of FVO </w:t>
      </w:r>
      <w:r>
        <w:rPr>
          <w:rFonts w:ascii="Times New Roman" w:cs="Times New Roman" w:eastAsia="Times New Roman" w:hAnsi="Times New Roman"/>
          <w:sz w:val="18"/>
          <w:szCs w:val="18"/>
          <w:color w:val="212529"/>
        </w:rPr>
        <w:t>Notes</w:t>
      </w:r>
      <w:r>
        <w:rPr>
          <w:rFonts w:ascii="Times New Roman" w:cs="Times New Roman" w:eastAsia="Times New Roman" w:hAnsi="Times New Roman"/>
          <w:sz w:val="18"/>
          <w:szCs w:val="18"/>
          <w:color w:val="auto"/>
        </w:rPr>
        <w:t xml:space="preserve">, which is recorded in other comprehensive income (loss), if applicable. Measurement of the change in fair value of the FVO </w:t>
      </w:r>
      <w:r>
        <w:rPr>
          <w:rFonts w:ascii="Times New Roman" w:cs="Times New Roman" w:eastAsia="Times New Roman" w:hAnsi="Times New Roman"/>
          <w:sz w:val="18"/>
          <w:szCs w:val="18"/>
          <w:color w:val="212529"/>
        </w:rPr>
        <w:t>Notes</w:t>
      </w:r>
      <w:r>
        <w:rPr>
          <w:rFonts w:ascii="Times New Roman" w:cs="Times New Roman" w:eastAsia="Times New Roman" w:hAnsi="Times New Roman"/>
          <w:sz w:val="18"/>
          <w:szCs w:val="18"/>
          <w:color w:val="auto"/>
        </w:rPr>
        <w:t xml:space="preserve"> includes accrued interest, whether paid-in-kind or cash.</w:t>
      </w:r>
    </w:p>
    <w:p>
      <w:pPr>
        <w:spacing w:after="0" w:line="180" w:lineRule="exact"/>
        <w:rPr>
          <w:sz w:val="20"/>
          <w:szCs w:val="20"/>
          <w:color w:val="auto"/>
        </w:rPr>
      </w:pPr>
    </w:p>
    <w:p>
      <w:pPr>
        <w:ind w:right="1400"/>
        <w:spacing w:after="0" w:line="460" w:lineRule="auto"/>
        <w:rPr>
          <w:sz w:val="20"/>
          <w:szCs w:val="20"/>
          <w:color w:val="auto"/>
        </w:rPr>
      </w:pPr>
      <w:r>
        <w:rPr>
          <w:rFonts w:ascii="Times New Roman" w:cs="Times New Roman" w:eastAsia="Times New Roman" w:hAnsi="Times New Roman"/>
          <w:sz w:val="18"/>
          <w:szCs w:val="18"/>
          <w:color w:val="auto"/>
        </w:rPr>
        <w:t xml:space="preserve">Accrued interest on the FVO Notes is included in the respective debt instrument's balance on the condensed consolidated balance sheets. </w:t>
      </w:r>
      <w:r>
        <w:rPr>
          <w:rFonts w:ascii="Times New Roman" w:cs="Times New Roman" w:eastAsia="Times New Roman" w:hAnsi="Times New Roman"/>
          <w:sz w:val="18"/>
          <w:szCs w:val="18"/>
          <w:b w:val="1"/>
          <w:bCs w:val="1"/>
          <w:i w:val="1"/>
          <w:iCs w:val="1"/>
          <w:color w:val="auto"/>
        </w:rPr>
        <w:t>Recent Accounting Pronouncements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 not yet effective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Accounting Standards Update (“ASU”) ASU No. 2024-03, </w:t>
      </w:r>
      <w:r>
        <w:rPr>
          <w:rFonts w:ascii="Times New Roman" w:cs="Times New Roman" w:eastAsia="Times New Roman" w:hAnsi="Times New Roman"/>
          <w:sz w:val="18"/>
          <w:szCs w:val="18"/>
          <w:i w:val="1"/>
          <w:iCs w:val="1"/>
          <w:color w:val="auto"/>
        </w:rPr>
        <w:t>Disaggregation of Income Statement Expenses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220-40)</w:t>
      </w:r>
      <w:r>
        <w:rPr>
          <w:rFonts w:ascii="Times New Roman" w:cs="Times New Roman" w:eastAsia="Times New Roman" w:hAnsi="Times New Roman"/>
          <w:sz w:val="18"/>
          <w:szCs w:val="18"/>
          <w:color w:val="auto"/>
        </w:rPr>
        <w:t>. The ASU requires the disaggregated disclosure of specific expense categories, including purchases of inventory, employee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depreciation, and amortization included in each relevant expense caption presented on the statement of operations. The guidance also requires disclosure of a qualitative description of the amounts remaining in relevant expense captions that are not separately disaggregated quantitatively, as well as the total amount of selling expenses and an entity’s definition of selling expenses. This guidance is effective for annual reporting periods beginning after December 15, 2026 and interim reporting periods beginning after December 15, 2027. Early adoption of the amendment is permitted. The Company is currently evaluating the guidance and its impact to its condensed consolidated financial statements and related disclosures.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Instruments-Credit Losses (Topic 326): Measurement of Credit Losses for Accounts Receivable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Contract Assets, </w:t>
      </w:r>
      <w:r>
        <w:rPr>
          <w:rFonts w:ascii="Times New Roman" w:cs="Times New Roman" w:eastAsia="Times New Roman" w:hAnsi="Times New Roman"/>
          <w:sz w:val="18"/>
          <w:szCs w:val="18"/>
          <w:color w:val="auto"/>
        </w:rPr>
        <w:t>which provides a practical expedient to measure credit losses on accounts receivable and contract assets. This guidance is effective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periods beginning after December 15, 2025 and will be adopted prospectively. Early adoption is permitted. The adoption of this guidance did not have a material impact on our condensed consolidated financial statements and related disclosures.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Acquisitions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Vidello</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31, 2025, the Company closed a previously announced merger with Vidello Limited ("Vidello"), a private limited company registered in England and Wales (the "Vidello Merger"), pursuant to an Agreement and Plan of Merger (the "Vidello Merger Agreement"), dated December 19, 2024, by and among the Company, Vidello, and certain shareholders of Vidello (the "Vidello Shareholders"). At the closing, Vidello Shareholders transferred all the outstanding shares of Vidello to the Company, and Vidello became a direct and wholly owned subsidiary of the Company. At the closing, the Company paid to the Vidello Shareholders, $2,745 in cash (the "Vidello Cash Consideration"), whereby $2,500 are withheld for indemnification expenses and other holdback provisions in accordance with the Vidello Merger Agreement, and issued 4,491 shares of Class A Common Stock (the "Share Consideration," together with the Cash Consideration, the "Vidello Closing Consideration"). The Company's primary reason for acquiring Vidello was to enhance revenue growth and strengthen the Company's competitive market position through cross selling opportunities. Vidello is a video hosting and marketing platform designed to help businesses manage, customize, and optimize their video content.</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With respect to the holdback amount, this consists of three distinct components, being (1) the withholding of $1,000 as security for the obligations of Company Shareholders for a period of twelve months (the “Indemnification Holdback Amount”), (2) the withholding of $500 as security for the obligations of Company Shareholders to cooperate with best efforts and in good faith with to complete the transition, integration and related matters of Vidello's business with Banzai, including, but not limited to (a) the transition of data of Vidello managed and/or held by Vidello to Banzai, (b) certain services relating to the continued operations of Vidello, and (c) the training of certain employees of Banzai regarding the operations of Vidello including any proprietary business processes and trade secrets following the Closing, during the six months following the Closing (the “Transition Holdback Period”), and (3) the withholding</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 $1,000 subject to certain revenue related conditions being met during the 180 day period following the Closing (the “Revenue Holdback Amount” and together with the Indemnification Holdback Amount and the Transition Holdback Amount, the “Holdback Amount”).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recognized $486 of expense after foreign currency translation in the consolidated statements of operations related to the Transition Holdback Amount in the line Vidello earnout expense. During the three months ended September 30, 2025, the Company paid the contractual amount of $500 to the Vidello Shareholders for the Transition Holdback Period.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2025, the 180 day measurement period for the Revenue Holdback lapsed and the revenue conditions as defined in the Vidello Merger Agreement had not been met. As such the Company recognized a gain on the extinguishment of Vidello revenue holdback of $973 during the three months ended September 30, 2025.</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and as a condition of closing pursuant to the Vidello Merger Agreement, the Company executed and delivered to each Vidello Shareholder a lock-up agreement (the "Vidello Lock-Up Agreement"), pursuant to which, the shareholders of Class A Common Stock and any other securities convertible or exercisable into the shares of Class A Common Stock beneficially owned by them, during the 180-day period following the closing of the Vidello Merger, cannot complete any Prohibited Transfer (as defined in the Vidello Merger Agreement).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Immediately prior to the closing of the Vidello Merger, the directors, and officers of Vidello tendered their resignation, effective at the closing. Pursuant to the Vidello Merger Agreement, the CEO of the Company shall be the sole member of the board of directors of Vidello effective upon the closing of the Vidello Merger.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the Company incurred transaction costs of approximately $730 which are included in the unaudited condensed consolidated statements of operations.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Vidello Merger was accounted for as a business combination under the acquisition method pursuant to FASB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with the Company as the accounting acquirer. Under the acquisition method, the total purchase price of the acquisition is allocated to the net identifiable tangible and intangible assets acquired and liabilities assumed based on the fair values as of the acquisition date. The fair value of the consideration transferred totaled $6,268 summarized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4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09"/>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at closing</w:t>
            </w:r>
          </w:p>
        </w:tc>
        <w:tc>
          <w:tcPr>
            <w:tcW w:w="5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2,745</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issued to Vidello Stockholders</w:t>
            </w:r>
          </w:p>
        </w:tc>
        <w:tc>
          <w:tcPr>
            <w:tcW w:w="4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1,662</w:t>
            </w:r>
          </w:p>
        </w:tc>
        <w:tc>
          <w:tcPr>
            <w:tcW w:w="0" w:type="dxa"/>
            <w:vAlign w:val="bottom"/>
          </w:tcPr>
          <w:p>
            <w:pPr>
              <w:spacing w:after="0"/>
              <w:rPr>
                <w:sz w:val="1"/>
                <w:szCs w:val="1"/>
                <w:color w:val="auto"/>
              </w:rPr>
            </w:pPr>
          </w:p>
        </w:tc>
      </w:tr>
      <w:tr>
        <w:trPr>
          <w:trHeight w:val="216"/>
        </w:trPr>
        <w:tc>
          <w:tcPr>
            <w:tcW w:w="4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of Holdback Amount</w:t>
            </w:r>
          </w:p>
        </w:tc>
        <w:tc>
          <w:tcPr>
            <w:tcW w:w="48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1,861</w:t>
            </w:r>
          </w:p>
        </w:tc>
        <w:tc>
          <w:tcPr>
            <w:tcW w:w="0" w:type="dxa"/>
            <w:vAlign w:val="bottom"/>
          </w:tcPr>
          <w:p>
            <w:pPr>
              <w:spacing w:after="0"/>
              <w:rPr>
                <w:sz w:val="1"/>
                <w:szCs w:val="1"/>
                <w:color w:val="auto"/>
              </w:rPr>
            </w:pPr>
          </w:p>
        </w:tc>
      </w:tr>
      <w:tr>
        <w:trPr>
          <w:trHeight w:val="210"/>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Total consideration paid</w:t>
            </w:r>
          </w:p>
        </w:tc>
        <w:tc>
          <w:tcPr>
            <w:tcW w:w="5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6,268</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4820" w:type="dxa"/>
            <w:vAlign w:val="bottom"/>
            <w:vMerge w:val="restart"/>
          </w:tcPr>
          <w:p>
            <w:pPr>
              <w:jc w:val="right"/>
              <w:ind w:right="3450"/>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440" w:type="dxa"/>
            <w:vAlign w:val="bottom"/>
          </w:tcPr>
          <w:p>
            <w:pPr>
              <w:spacing w:after="0"/>
              <w:rPr>
                <w:sz w:val="24"/>
                <w:szCs w:val="24"/>
                <w:color w:val="auto"/>
              </w:rPr>
            </w:pPr>
          </w:p>
        </w:tc>
        <w:tc>
          <w:tcPr>
            <w:tcW w:w="48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44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allocated the purchase price of the Vidello Merger to the assets acquired and liabilities assumed as of the acquisition date,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 acquired:</w:t>
            </w:r>
          </w:p>
        </w:tc>
        <w:tc>
          <w:tcPr>
            <w:tcW w:w="29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16"/>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740" w:type="dxa"/>
            <w:vAlign w:val="bottom"/>
            <w:gridSpan w:val="2"/>
            <w:shd w:val="clear" w:color="auto" w:fill="CFF0FC"/>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 customer relationships</w:t>
            </w:r>
          </w:p>
        </w:tc>
        <w:tc>
          <w:tcPr>
            <w:tcW w:w="29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551</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 trade name</w:t>
            </w:r>
          </w:p>
        </w:tc>
        <w:tc>
          <w:tcPr>
            <w:tcW w:w="2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736</w:t>
            </w:r>
          </w:p>
        </w:tc>
      </w:tr>
      <w:tr>
        <w:trPr>
          <w:trHeight w:val="216"/>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 developed technology</w:t>
            </w:r>
          </w:p>
        </w:tc>
        <w:tc>
          <w:tcPr>
            <w:tcW w:w="298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4,010</w:t>
            </w:r>
          </w:p>
        </w:tc>
      </w:tr>
      <w:tr>
        <w:trPr>
          <w:trHeight w:val="210"/>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980" w:type="dxa"/>
            <w:vAlign w:val="bottom"/>
          </w:tcPr>
          <w:p>
            <w:pPr>
              <w:spacing w:after="0"/>
              <w:rPr>
                <w:sz w:val="18"/>
                <w:szCs w:val="18"/>
                <w:color w:val="auto"/>
              </w:rPr>
            </w:pPr>
          </w:p>
        </w:tc>
        <w:tc>
          <w:tcPr>
            <w:tcW w:w="760" w:type="dxa"/>
            <w:vAlign w:val="bottom"/>
          </w:tcPr>
          <w:p>
            <w:pPr>
              <w:jc w:val="right"/>
              <w:ind w:right="59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5,374</w:t>
            </w:r>
          </w:p>
        </w:tc>
      </w:tr>
      <w:tr>
        <w:trPr>
          <w:trHeight w:val="216"/>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assumed:</w:t>
            </w:r>
          </w:p>
        </w:tc>
        <w:tc>
          <w:tcPr>
            <w:tcW w:w="29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9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Unearned revenue, current</w:t>
            </w:r>
          </w:p>
        </w:tc>
        <w:tc>
          <w:tcPr>
            <w:tcW w:w="2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448</w:t>
            </w:r>
          </w:p>
        </w:tc>
      </w:tr>
      <w:tr>
        <w:trPr>
          <w:trHeight w:val="216"/>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29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1,324</w:t>
            </w:r>
          </w:p>
        </w:tc>
      </w:tr>
      <w:tr>
        <w:trPr>
          <w:trHeight w:val="216"/>
        </w:trPr>
        <w:tc>
          <w:tcPr>
            <w:tcW w:w="62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Taxes payable</w:t>
            </w:r>
          </w:p>
        </w:tc>
        <w:tc>
          <w:tcPr>
            <w:tcW w:w="298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337</w:t>
            </w:r>
          </w:p>
        </w:tc>
      </w:tr>
      <w:tr>
        <w:trPr>
          <w:trHeight w:val="209"/>
        </w:trPr>
        <w:tc>
          <w:tcPr>
            <w:tcW w:w="6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98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59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2,125</w:t>
            </w:r>
          </w:p>
        </w:tc>
      </w:tr>
      <w:tr>
        <w:trPr>
          <w:trHeight w:val="209"/>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2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3,249</w:t>
            </w:r>
          </w:p>
        </w:tc>
      </w:tr>
      <w:tr>
        <w:trPr>
          <w:trHeight w:val="216"/>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Goodwill recorded:</w:t>
            </w:r>
          </w:p>
        </w:tc>
        <w:tc>
          <w:tcPr>
            <w:tcW w:w="29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98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3,019</w:t>
            </w:r>
          </w:p>
        </w:tc>
      </w:tr>
      <w:tr>
        <w:trPr>
          <w:trHeight w:val="229"/>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3740" w:type="dxa"/>
            <w:vAlign w:val="bottom"/>
            <w:gridSpan w:val="2"/>
            <w:shd w:val="clear" w:color="auto" w:fill="CFF0FC"/>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6,268</w:t>
            </w:r>
          </w:p>
        </w:tc>
      </w:tr>
      <w:tr>
        <w:trPr>
          <w:trHeight w:val="20"/>
        </w:trPr>
        <w:tc>
          <w:tcPr>
            <w:tcW w:w="6280" w:type="dxa"/>
            <w:vAlign w:val="bottom"/>
            <w:tcBorders>
              <w:top w:val="single" w:sz="8" w:color="CFF0FC"/>
            </w:tcBorders>
            <w:shd w:val="clear" w:color="auto" w:fill="CFF0FC"/>
          </w:tcPr>
          <w:p>
            <w:pPr>
              <w:spacing w:after="0" w:line="20" w:lineRule="exact"/>
              <w:rPr>
                <w:sz w:val="1"/>
                <w:szCs w:val="1"/>
                <w:color w:val="auto"/>
              </w:rPr>
            </w:pPr>
          </w:p>
        </w:tc>
        <w:tc>
          <w:tcPr>
            <w:tcW w:w="298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Goodwill recognized is not expected to be deductible for tax purposes. We believe that in this acquisition goodwill represents the value of Vidello's existing products, combined with the added business synergies of integrating with the existing Banzai products and customer base.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All intangible assets acquired are subject to amortization and their associated estimated useful lives are as follows:</w:t>
            </w:r>
          </w:p>
        </w:tc>
        <w:tc>
          <w:tcPr>
            <w:tcW w:w="2220" w:type="dxa"/>
            <w:vAlign w:val="bottom"/>
          </w:tcPr>
          <w:p>
            <w:pPr>
              <w:spacing w:after="0"/>
              <w:rPr>
                <w:sz w:val="20"/>
                <w:szCs w:val="20"/>
                <w:color w:val="auto"/>
              </w:rPr>
            </w:pPr>
          </w:p>
        </w:tc>
      </w:tr>
      <w:tr>
        <w:trPr>
          <w:trHeight w:val="410"/>
        </w:trPr>
        <w:tc>
          <w:tcPr>
            <w:tcW w:w="902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Estimated</w:t>
            </w:r>
          </w:p>
        </w:tc>
      </w:tr>
      <w:tr>
        <w:trPr>
          <w:trHeight w:val="238"/>
        </w:trPr>
        <w:tc>
          <w:tcPr>
            <w:tcW w:w="9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Intangible Assets</w:t>
            </w: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r>
      <w:tr>
        <w:trPr>
          <w:trHeight w:val="210"/>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 years</w:t>
            </w: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Trade name</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r>
      <w:tr>
        <w:trPr>
          <w:trHeight w:val="216"/>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7 - 8 years</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income in the unaudited condensed consolidated statements of operations for the three months ended March 31, 2026 and 2025 includes net loss of approximately $250 and net income of $734, respectively, of Vidello from the date of acquisition to March 31, 2026.</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 forma disclosure for the Vidello acquisition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unaudited pro forma financial information reflects the consolidated results of operations of the Company as if the Merger with Vidello had taken place on January 1, 2025. The pro forma results presented are the result of combining the revenues and earnings of the Company with the revenues and earnings of Vidello. The Company did not have any material, non-recurring pro forma adjustments directly attributable to the business combination included in the reported pro forma revenue.</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 forma financial information is not necessarily indicative of the results of operations as they would have been had the transactions been effected on the assumed date: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6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620" w:type="dxa"/>
            <w:vAlign w:val="bottom"/>
            <w:tcBorders>
              <w:bottom w:val="single" w:sz="8" w:color="auto"/>
            </w:tcBorders>
          </w:tcPr>
          <w:p>
            <w:pPr>
              <w:spacing w:after="0"/>
              <w:rPr>
                <w:sz w:val="20"/>
                <w:szCs w:val="20"/>
                <w:color w:val="auto"/>
              </w:rPr>
            </w:pPr>
          </w:p>
        </w:tc>
      </w:tr>
      <w:tr>
        <w:trPr>
          <w:trHeight w:val="209"/>
        </w:trPr>
        <w:tc>
          <w:tcPr>
            <w:tcW w:w="50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7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Borders>
              <w:bottom w:val="single" w:sz="8" w:color="auto"/>
            </w:tcBorders>
          </w:tcPr>
          <w:p>
            <w:pPr>
              <w:spacing w:after="0"/>
              <w:rPr>
                <w:sz w:val="18"/>
                <w:szCs w:val="18"/>
                <w:color w:val="auto"/>
              </w:rPr>
            </w:pPr>
          </w:p>
        </w:tc>
      </w:tr>
      <w:tr>
        <w:trPr>
          <w:trHeight w:val="210"/>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240" w:type="dxa"/>
            <w:vAlign w:val="bottom"/>
            <w:gridSpan w:val="2"/>
            <w:shd w:val="clear" w:color="auto" w:fill="CFF0FC"/>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2,696</w:t>
            </w:r>
          </w:p>
        </w:tc>
        <w:tc>
          <w:tcPr>
            <w:tcW w:w="1620" w:type="dxa"/>
            <w:vAlign w:val="bottom"/>
            <w:gridSpan w:val="2"/>
            <w:shd w:val="clear" w:color="auto" w:fill="CFF0FC"/>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3,609</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521</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796</w:t>
            </w:r>
          </w:p>
        </w:tc>
      </w:tr>
      <w:tr>
        <w:trPr>
          <w:trHeight w:val="216"/>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9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7,955</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7,753</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Total other expenses (income), net</w:t>
            </w:r>
          </w:p>
        </w:tc>
        <w:tc>
          <w:tcPr>
            <w:tcW w:w="1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2,689</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w:t>
            </w:r>
          </w:p>
        </w:tc>
      </w:tr>
      <w:tr>
        <w:trPr>
          <w:trHeight w:val="216"/>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 attributable to common stockholders</w:t>
            </w:r>
          </w:p>
        </w:tc>
        <w:tc>
          <w:tcPr>
            <w:tcW w:w="19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(8,469)</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(3,603)</w:t>
            </w:r>
          </w:p>
        </w:tc>
      </w:tr>
      <w:tr>
        <w:trPr>
          <w:trHeight w:val="432"/>
        </w:trPr>
        <w:tc>
          <w:tcPr>
            <w:tcW w:w="5020" w:type="dxa"/>
            <w:vAlign w:val="bottom"/>
          </w:tcPr>
          <w:p>
            <w:pPr>
              <w:spacing w:after="0"/>
              <w:rPr>
                <w:sz w:val="24"/>
                <w:szCs w:val="24"/>
                <w:color w:val="auto"/>
              </w:rPr>
            </w:pPr>
          </w:p>
        </w:tc>
        <w:tc>
          <w:tcPr>
            <w:tcW w:w="196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14</w:t>
            </w:r>
          </w:p>
        </w:tc>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763"/>
        </w:trPr>
        <w:tc>
          <w:tcPr>
            <w:tcW w:w="502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Related Party Transactions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Restructuring Agreement with CP BF</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September 5, 2024, the Company and CP BF agreed to amend the outstanding balance of all debt previously in the form of one term note and two convertible notes into one new consolidated convertible note. The newly issued consolidated convertible note was issued on September 23, 2024. Additionally on September 23, 2024, the Company and CP BF entered into a share purchase agreement where the Company issued equity in the form of common stock, common stock warrants and pre-funded warrants to CP BF for the reduction of $2 million of debt under the newly issued consolidated convertible note. See </w:t>
      </w:r>
      <w:r>
        <w:rPr>
          <w:rFonts w:ascii="Times New Roman" w:cs="Times New Roman" w:eastAsia="Times New Roman" w:hAnsi="Times New Roman"/>
          <w:sz w:val="18"/>
          <w:szCs w:val="18"/>
          <w:i w:val="1"/>
          <w:iCs w:val="1"/>
          <w:color w:val="auto"/>
        </w:rPr>
        <w:t>Note 11 – Debt</w:t>
      </w:r>
      <w:r>
        <w:rPr>
          <w:rFonts w:ascii="Times New Roman" w:cs="Times New Roman" w:eastAsia="Times New Roman" w:hAnsi="Times New Roman"/>
          <w:sz w:val="18"/>
          <w:szCs w:val="18"/>
          <w:color w:val="auto"/>
        </w:rPr>
        <w:t>, for further details related to the transaction and associated balances.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Revenue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 is generated through Banzai providing marketing and webinar platform subscription software service for a set period of time. The Company’s services include providing end-to-end video engagement solutions that provide a fast, intuitive and powerful platform of marketing tools that create more intent-driven videos, webinars, virtual events and other digital and in-person marketing campaigns. As noted within the statements of work and/or invoices, agreements range from monthly, to annual, to multi-year and Banzai generally provides for net 30-day payment terms with the payment made directly through check or electronic means. Banzai’s Management believes its exposure to credit risk is sufficiently mitigated by collection through credit card sales or direct payment from established clients.</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At contract inception, once the contract is determined to be within the scope of FASB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("ASC 606"), the Company only applies the five-step model to contracts when it is probable that the entity will collect the consideration it is entitled to in exchange for the goods or services it transfers to the customer. The Company recognizes revenues following the five-step model prescribed under ASC 606:</w:t>
      </w:r>
    </w:p>
    <w:p>
      <w:pPr>
        <w:spacing w:after="0" w:line="202" w:lineRule="exact"/>
        <w:rPr>
          <w:sz w:val="20"/>
          <w:szCs w:val="20"/>
          <w:color w:val="auto"/>
        </w:rPr>
      </w:pPr>
    </w:p>
    <w:p>
      <w:pPr>
        <w:ind w:left="800" w:hanging="414"/>
        <w:spacing w:after="0"/>
        <w:tabs>
          <w:tab w:leader="none" w:pos="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contract(s) with a customer;</w:t>
      </w:r>
    </w:p>
    <w:p>
      <w:pPr>
        <w:spacing w:after="0" w:line="27" w:lineRule="exact"/>
        <w:rPr>
          <w:rFonts w:ascii="Times New Roman" w:cs="Times New Roman" w:eastAsia="Times New Roman" w:hAnsi="Times New Roman"/>
          <w:sz w:val="18"/>
          <w:szCs w:val="18"/>
          <w:color w:val="auto"/>
        </w:rPr>
      </w:pPr>
    </w:p>
    <w:p>
      <w:pPr>
        <w:ind w:left="800" w:hanging="414"/>
        <w:spacing w:after="0"/>
        <w:tabs>
          <w:tab w:leader="none" w:pos="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9" w:lineRule="exact"/>
        <w:rPr>
          <w:rFonts w:ascii="Times New Roman" w:cs="Times New Roman" w:eastAsia="Times New Roman" w:hAnsi="Times New Roman"/>
          <w:sz w:val="18"/>
          <w:szCs w:val="18"/>
          <w:color w:val="auto"/>
        </w:rPr>
      </w:pPr>
    </w:p>
    <w:p>
      <w:pPr>
        <w:ind w:left="800" w:hanging="414"/>
        <w:spacing w:after="0"/>
        <w:tabs>
          <w:tab w:leader="none" w:pos="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9" w:lineRule="exact"/>
        <w:rPr>
          <w:rFonts w:ascii="Times New Roman" w:cs="Times New Roman" w:eastAsia="Times New Roman" w:hAnsi="Times New Roman"/>
          <w:sz w:val="18"/>
          <w:szCs w:val="18"/>
          <w:color w:val="auto"/>
        </w:rPr>
      </w:pPr>
    </w:p>
    <w:p>
      <w:pPr>
        <w:ind w:left="800" w:hanging="414"/>
        <w:spacing w:after="0"/>
        <w:tabs>
          <w:tab w:leader="none" w:pos="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 and</w:t>
      </w:r>
    </w:p>
    <w:p>
      <w:pPr>
        <w:spacing w:after="0" w:line="9" w:lineRule="exact"/>
        <w:rPr>
          <w:rFonts w:ascii="Times New Roman" w:cs="Times New Roman" w:eastAsia="Times New Roman" w:hAnsi="Times New Roman"/>
          <w:sz w:val="18"/>
          <w:szCs w:val="18"/>
          <w:color w:val="auto"/>
        </w:rPr>
      </w:pPr>
    </w:p>
    <w:p>
      <w:pPr>
        <w:ind w:left="800" w:hanging="414"/>
        <w:spacing w:after="0"/>
        <w:tabs>
          <w:tab w:leader="none" w:pos="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revenues when (or as) the Company satisfies a performance obligation.</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from contracts with customers are not recorded until the Company has the approval and commitment from the parties, the rights of the parties are identified, payment terms are established, the contract has commercial substance and collectability of the consideration is probable.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assesses the goods or services promised within each contract and determines those that are performance obligations and assesses whether each promised good or service is distinct. When an arrangement contains more than one performance obligation, the Company will allocate the transaction price to each performance obligation on a relative standalone selling price basis. The Company utilizes the observable price of products and services when they are sold separately to similar customers in order to estimate standalone selling price.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recognizes revenue in an amount that reflects the consideration to which it expects to be entitled in exchange for the transfer of promised services to its customers.</w:t>
      </w:r>
    </w:p>
    <w:p>
      <w:pPr>
        <w:spacing w:after="0" w:line="16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Revenue is recognized when a performance obligation is satisfied by transferring control of the service to the customer, which occurs over time. The Company considers this method a faithful depiction of the transfer of control as services are substantially the same and have the same pattern of transfer over the life of the contract. Sales, value add, and other taxes collected on behalf of third parties are excluded from revenue.</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indicators are evaluated in determining when control has passed to the customer: (i) whether the Company has a right to payment for the product or service, (ii) whether the customer has legal title to the product or service, (iii) whether the Company has transferred physical possession of the product or service to the customer, (iv) whether the customer has the significant risk and rewards of ownership of the product or service and (v) whether the customer has accepted the product or service.</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also evaluates the following indicators, amongst others, when determining whether it is acting as a principal in the transaction (and therefore whether to record revenue on a gross basis): (i) whether the Company is primarily responsible for fulfilling</w:t>
      </w: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3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promise to provide the specified good or service, (ii) whether the Company has the inventory risk before the specified good or service has been transferred to a customer or after transfer of control to the customer and (iii) whether the Company has the discretion to establish the price for the specified good or service. If the terms of a transaction do not indicate that the Company is acting as a principal in the transaction, then the Company is acting as an agent in the transaction and therefore, the associated revenue is recognized on a net basis (that is revenue net of costs).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Products and Services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the Company’s products and services from which the Company generates revenue, as well as the nature, timing of satisfaction of performance obligations, and significant payment terms for each, as applicable: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Demio</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Demio product is a full-stack technology that marketers can leverage live and automated for video marketing content such as webinars and virtual events. Software products are provided to Demio customers for a range of attendees and hosts within a specified time frame at a specified established price. The performance obligations identified include access to the suite and platform, within the parameters established, and within the standards established in the agreement. Contracts include a standalone selling price for the number of webinars and hosts as a performance obligation. There are no financing components and payments are typically net 30 of date or receipt of invoice. It is nearly 100% certain that a significant revenue reversal will not occur. The Company recognizes revenue for its sale of Demio services over time which corresponds with the period of time that access to the service is provided.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Reach</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the Reach product is in the process of being phased out, the Company continues to generate revenues from the product. The Reach product provides a multi-channel targeted audience acquisition (via Reach) to bolster engagement and Return on Investment (ROI). Banzai enables marketing teams to create winning webinars and virtual and in-person events that increase marketing efficiency and drive additional revenue. Software products are provided to Reach customers for a range of simultaneous events and registrations within a specified time frame at a specified established price. The performance obligations identified include access to the suite and platform, within the parameters established, and within the standards established in the agreement. Contracts include a standalone selling price for the number of simultaneous published events as a performance obligation. There are no financing components and payments are typically net 30 of date or receipt of invoice. It is nearly 100% certain that a significant revenue reversal will not occur. The Company recognizes revenue for its sale of Reach services over time which corresponds with the timing the service is rendered.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OpenReel</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OpenReel product offers subscription-based software as a service (SaaS) offerings to enterprise, media, entertainment and agency teams to remotely control, direct, script, film, and collaborate on high definition video projects from a mobile device or webcam. The Company enters into fixed price subscription contracts with customers, which can be monthly, annual, or multi-year agreements which auto-renew without discount for additional periods of the same duration as the initial term, unless either party requests termination in writing at least thirty (30) days prior to the end of the initial service term. The subscription revenues are recognized ratably over the term of the service agreement, which is considered an output method, as the obligation of hosting the SaaS product is fulfilled over the course of the agreement. The Company does not charge for implementation or recognize any revenues upfront due to minimal effort required. There are no financing components and payments are typically net 30 of date of receipt of invoice, or typically net 90 date of receipt of invoice for customers on multi-year subscription agreement contracts. It is nearly 100% certain that a significant revenue reversal will not occur.</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Vidello</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Vidello product is a video hosting and marketing platform designed to help businesses manage, customize, and optimize their video content. Revenue is generated through Vidello providing video hosting and marketing platform subscription software service for a set period of time. Customer contracting is achieved via self-service and invoicing is initiated automatically once the customer accepts the terms and conditions on the platform, based on their selection of the desired subscription product. When execution or completion of the contract occurs, the contract is valid and revenue is earned when the service is provided for each period of performance, daily. The amount is paid by the customer based on the contract terms monthly, annually or indefinite with the majority paid via credit card processing.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 Trade Revenue</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3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one customer for which the customer is also a vendor. For this one customer, the Company exchanged services for approximately $31 and $208, during the three months ended March 31, 2026 and 2025,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revenue by region based on the billing address of customers for the three months ended March 31, 2026 and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r>
      <w:tr>
        <w:trPr>
          <w:trHeight w:val="209"/>
        </w:trPr>
        <w:tc>
          <w:tcPr>
            <w:tcW w:w="57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3"/>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3"/>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187"/>
        </w:trPr>
        <w:tc>
          <w:tcPr>
            <w:tcW w:w="5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Percentage of</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Percentage of</w:t>
            </w:r>
          </w:p>
        </w:tc>
      </w:tr>
      <w:tr>
        <w:trPr>
          <w:trHeight w:val="238"/>
        </w:trPr>
        <w:tc>
          <w:tcPr>
            <w:tcW w:w="57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13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13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Revenue</w:t>
            </w:r>
          </w:p>
        </w:tc>
      </w:tr>
      <w:tr>
        <w:trPr>
          <w:trHeight w:val="209"/>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2,115</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2,612</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Europe, Middle East and Africa (EMEA)</w:t>
            </w:r>
          </w:p>
        </w:tc>
        <w:tc>
          <w:tcPr>
            <w:tcW w:w="16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441</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556</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57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Asia Pacific</w:t>
            </w:r>
          </w:p>
        </w:tc>
        <w:tc>
          <w:tcPr>
            <w:tcW w:w="1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9"/>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2,696</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3,379</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5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-170815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-170815</wp:posOffset>
            </wp:positionV>
            <wp:extent cx="768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-170815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Net</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receivable is recorded when an unconditional right to invoice and receive payment exists, such that only the passage of time is required before payment of consideration is due. The Company receives payments from customers based upon agreed-upon contractual terms, typically within 30 days of invoicing the customer. The timing of revenue recognition may differ from the timing of invoicing to customers.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accounts receivable, net as of the dates presented: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Balance – December</w:t>
            </w:r>
          </w:p>
        </w:tc>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31, 2025</w:t>
            </w:r>
          </w:p>
        </w:tc>
        <w:tc>
          <w:tcPr>
            <w:tcW w:w="4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709</w:t>
            </w:r>
          </w:p>
        </w:tc>
      </w:tr>
      <w:tr>
        <w:trPr>
          <w:trHeight w:val="216"/>
        </w:trPr>
        <w:tc>
          <w:tcPr>
            <w:tcW w:w="1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Balance – March 31,</w:t>
            </w:r>
          </w:p>
        </w:tc>
        <w:tc>
          <w:tcPr>
            <w:tcW w:w="50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2026</w:t>
            </w:r>
          </w:p>
        </w:tc>
        <w:tc>
          <w:tcPr>
            <w:tcW w:w="4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668</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to Obtain a Contract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activity related to costs to obtain a contract during the three months ended March 31, 2026 and 2025:</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 December 31, 2025</w:t>
            </w:r>
          </w:p>
        </w:tc>
        <w:tc>
          <w:tcPr>
            <w:tcW w:w="800" w:type="dxa"/>
            <w:vAlign w:val="bottom"/>
            <w:shd w:val="clear" w:color="auto" w:fill="CFF0FC"/>
          </w:tcPr>
          <w:p>
            <w:pPr>
              <w:jc w:val="right"/>
              <w:ind w:right="6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9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Commissions incurred</w:t>
            </w:r>
          </w:p>
        </w:tc>
        <w:tc>
          <w:tcPr>
            <w:tcW w:w="8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161</w:t>
            </w:r>
          </w:p>
        </w:tc>
      </w:tr>
      <w:tr>
        <w:trPr>
          <w:trHeight w:val="216"/>
        </w:trPr>
        <w:tc>
          <w:tcPr>
            <w:tcW w:w="92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Deferred commissions recognized</w:t>
            </w:r>
          </w:p>
        </w:tc>
        <w:tc>
          <w:tcPr>
            <w:tcW w:w="8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0"/>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Balance – March 31, 2026</w:t>
            </w:r>
          </w:p>
        </w:tc>
        <w:tc>
          <w:tcPr>
            <w:tcW w:w="80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154</w:t>
            </w:r>
          </w:p>
        </w:tc>
      </w:tr>
      <w:tr>
        <w:trPr>
          <w:trHeight w:val="20"/>
        </w:trPr>
        <w:tc>
          <w:tcPr>
            <w:tcW w:w="9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7"/>
        </w:trPr>
        <w:tc>
          <w:tcPr>
            <w:tcW w:w="9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6"/>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 December 31, 2024</w:t>
            </w:r>
          </w:p>
        </w:tc>
        <w:tc>
          <w:tcPr>
            <w:tcW w:w="800" w:type="dxa"/>
            <w:vAlign w:val="bottom"/>
            <w:shd w:val="clear" w:color="auto" w:fill="CFF0FC"/>
          </w:tcPr>
          <w:p>
            <w:pPr>
              <w:jc w:val="right"/>
              <w:ind w:right="6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9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Commissions incurred</w:t>
            </w:r>
          </w:p>
        </w:tc>
        <w:tc>
          <w:tcPr>
            <w:tcW w:w="8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92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Deferred commissions recognized</w:t>
            </w:r>
          </w:p>
        </w:tc>
        <w:tc>
          <w:tcPr>
            <w:tcW w:w="8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09"/>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Balance – March 31, 2025</w:t>
            </w:r>
          </w:p>
        </w:tc>
        <w:tc>
          <w:tcPr>
            <w:tcW w:w="80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9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Deferred revenue represents amounts that have been collected in advance of revenue recognition and is recognized as revenue when transfer of control to customers has occurred or services have been provided. The deferred revenue balance does not represent the total contract value of annual or multi-year, non-cancelable revenue agreements. Differences between the revenue recognized per the below schedule, and the revenue recognized per the consolidated statement of operations, reflect amounts not recognized through the deferred revenue process, and which have been determined to be insignificant. For the three months ended March 31, 2026 and the year ended December 31, 2025, the Company recognized $1,658 and $3,868 in revenue that was included in the prior year deferred revenue balance, respectively.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total deferred revenue was as follows for the periods indicated:</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80" w:type="dxa"/>
            <w:vAlign w:val="bottom"/>
          </w:tcPr>
          <w:p>
            <w:pPr>
              <w:spacing w:after="0"/>
              <w:rPr>
                <w:sz w:val="18"/>
                <w:szCs w:val="18"/>
                <w:color w:val="auto"/>
              </w:rPr>
            </w:pPr>
          </w:p>
        </w:tc>
        <w:tc>
          <w:tcPr>
            <w:tcW w:w="1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38"/>
        </w:trPr>
        <w:tc>
          <w:tcPr>
            <w:tcW w:w="7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10"/>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deferred revenue, beginning of period</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3,736</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4,052</w:t>
            </w:r>
          </w:p>
        </w:tc>
      </w:tr>
      <w:tr>
        <w:trPr>
          <w:trHeight w:val="216"/>
        </w:trPr>
        <w:tc>
          <w:tcPr>
            <w:tcW w:w="7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Billings</w:t>
            </w:r>
          </w:p>
        </w:tc>
        <w:tc>
          <w:tcPr>
            <w:tcW w:w="200" w:type="dxa"/>
            <w:vAlign w:val="bottom"/>
          </w:tcPr>
          <w:p>
            <w:pPr>
              <w:spacing w:after="0"/>
              <w:rPr>
                <w:sz w:val="18"/>
                <w:szCs w:val="18"/>
                <w:color w:val="auto"/>
              </w:rPr>
            </w:pP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2,624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9,487</w:t>
            </w:r>
          </w:p>
        </w:tc>
      </w:tr>
      <w:tr>
        <w:trPr>
          <w:trHeight w:val="216"/>
        </w:trPr>
        <w:tc>
          <w:tcPr>
            <w:tcW w:w="7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Revenue recognized (prior year deferred revenue)</w:t>
            </w:r>
          </w:p>
        </w:tc>
        <w:tc>
          <w:tcPr>
            <w:tcW w:w="20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(3,868)</w:t>
            </w:r>
          </w:p>
        </w:tc>
      </w:tr>
      <w:tr>
        <w:trPr>
          <w:trHeight w:val="216"/>
        </w:trPr>
        <w:tc>
          <w:tcPr>
            <w:tcW w:w="7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Revenue recognized (current year deferred revenue)</w:t>
            </w: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(6,383)</w:t>
            </w:r>
          </w:p>
        </w:tc>
      </w:tr>
      <w:tr>
        <w:trPr>
          <w:trHeight w:val="216"/>
        </w:trPr>
        <w:tc>
          <w:tcPr>
            <w:tcW w:w="72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Acquired deferred revenue of Vidello (see Note 4 – Acquisitions)</w:t>
            </w:r>
          </w:p>
        </w:tc>
        <w:tc>
          <w:tcPr>
            <w:tcW w:w="200" w:type="dxa"/>
            <w:vAlign w:val="bottom"/>
            <w:tcBorders>
              <w:bottom w:val="single" w:sz="8" w:color="auto"/>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448</w:t>
            </w:r>
          </w:p>
        </w:tc>
      </w:tr>
      <w:tr>
        <w:trPr>
          <w:trHeight w:val="210"/>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revenue, end of period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3,664</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3,736</w:t>
            </w:r>
          </w:p>
        </w:tc>
      </w:tr>
      <w:tr>
        <w:trPr>
          <w:trHeight w:val="20"/>
        </w:trPr>
        <w:tc>
          <w:tcPr>
            <w:tcW w:w="7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-170815</wp:posOffset>
            </wp:positionV>
            <wp:extent cx="939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Fair Value Measurements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measurements discussed herein are based upon certain market assumptions and pertinent information available to management as of and during the periods ended March 31, 2026 and the year ended December 31, 2025. The carrying amount of accounts payable approximated fair value as they are short term in nature.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on a Recurring Basis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follows the guidance in FASB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for its financial assets and liabilities that are re-measured and reported at fair value at each reporting period, and non-financial assets and liabilities that are re-measured and reported at fair value at least annually. The estimated fair value of the Public Warrants liabilities represent Level 1 measurements. The estimated fair value of the convertible notes bifurcated embedded derivative asset, GEM warrant liabilities, Yorkville convertible note, Agile term notes, 1800 Diagonal convertible notes, </w:t>
      </w:r>
      <w:r>
        <w:rPr>
          <w:rFonts w:ascii="Times New Roman" w:cs="Times New Roman" w:eastAsia="Times New Roman" w:hAnsi="Times New Roman"/>
          <w:sz w:val="18"/>
          <w:szCs w:val="18"/>
          <w:color w:val="212529"/>
        </w:rPr>
        <w:t>Private Placement Convertible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Notes, Private Placement Warrants </w:t>
      </w:r>
      <w:r>
        <w:rPr>
          <w:rFonts w:ascii="Times New Roman" w:cs="Times New Roman" w:eastAsia="Times New Roman" w:hAnsi="Times New Roman"/>
          <w:sz w:val="18"/>
          <w:szCs w:val="18"/>
          <w:color w:val="000000"/>
        </w:rPr>
        <w:t>and Goodwill and Definite-lived intangible assets recognized as part of acquisitions, represent Level 3 measurements.</w:t>
      </w:r>
    </w:p>
    <w:p>
      <w:pPr>
        <w:spacing w:after="0" w:line="1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financial instruments that are measured at fair value on a recurring basis at March 31, 2026 and December 31, 2025, and indicates the fair value hierarchy of the valuation inputs the Company utilized to determine such fair value:</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180" w:type="dxa"/>
            <w:vAlign w:val="bottom"/>
          </w:tcPr>
          <w:p>
            <w:pPr>
              <w:spacing w:after="0"/>
              <w:rPr>
                <w:sz w:val="20"/>
                <w:szCs w:val="20"/>
                <w:color w:val="auto"/>
              </w:rPr>
            </w:pPr>
          </w:p>
        </w:tc>
        <w:tc>
          <w:tcPr>
            <w:tcW w:w="21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80" w:type="dxa"/>
            <w:vAlign w:val="bottom"/>
          </w:tcPr>
          <w:p>
            <w:pPr>
              <w:spacing w:after="0"/>
              <w:rPr>
                <w:sz w:val="20"/>
                <w:szCs w:val="20"/>
                <w:color w:val="auto"/>
              </w:rPr>
            </w:pPr>
          </w:p>
        </w:tc>
        <w:tc>
          <w:tcPr>
            <w:tcW w:w="1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10"/>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940" w:type="dxa"/>
            <w:vAlign w:val="bottom"/>
            <w:shd w:val="clear" w:color="auto" w:fill="CFF0FC"/>
          </w:tcPr>
          <w:p>
            <w:pPr>
              <w:spacing w:after="0"/>
              <w:rPr>
                <w:sz w:val="18"/>
                <w:szCs w:val="18"/>
                <w:color w:val="auto"/>
              </w:rPr>
            </w:pPr>
          </w:p>
        </w:tc>
      </w:tr>
      <w:tr>
        <w:trPr>
          <w:trHeight w:val="216"/>
        </w:trPr>
        <w:tc>
          <w:tcPr>
            <w:tcW w:w="5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Bifurcated embedded derivative asset – related party</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55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Definite-lived intangibles</w:t>
            </w: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7,737</w:t>
            </w:r>
          </w:p>
        </w:tc>
        <w:tc>
          <w:tcPr>
            <w:tcW w:w="2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8,027</w:t>
            </w:r>
          </w:p>
        </w:tc>
      </w:tr>
      <w:tr>
        <w:trPr>
          <w:trHeight w:val="216"/>
        </w:trPr>
        <w:tc>
          <w:tcPr>
            <w:tcW w:w="5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Goodwill</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21,992</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21,992</w:t>
            </w:r>
          </w:p>
        </w:tc>
      </w:tr>
      <w:tr>
        <w:trPr>
          <w:trHeight w:val="216"/>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940" w:type="dxa"/>
            <w:vAlign w:val="bottom"/>
            <w:shd w:val="clear" w:color="auto" w:fill="CFF0FC"/>
          </w:tcPr>
          <w:p>
            <w:pPr>
              <w:spacing w:after="0"/>
              <w:rPr>
                <w:sz w:val="18"/>
                <w:szCs w:val="18"/>
                <w:color w:val="auto"/>
              </w:rPr>
            </w:pPr>
          </w:p>
        </w:tc>
      </w:tr>
      <w:tr>
        <w:trPr>
          <w:trHeight w:val="216"/>
        </w:trPr>
        <w:tc>
          <w:tcPr>
            <w:tcW w:w="5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Warrant liabilities – public</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GEM warrant liabilities</w:t>
            </w: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FF0FC"/>
          </w:tcPr>
          <w:p>
            <w:pPr>
              <w:spacing w:after="0"/>
              <w:rPr>
                <w:sz w:val="18"/>
                <w:szCs w:val="18"/>
                <w:color w:val="auto"/>
              </w:rPr>
            </w:pP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Earnout liability (</w:t>
            </w:r>
            <w:r>
              <w:rPr>
                <w:rFonts w:ascii="Times New Roman" w:cs="Times New Roman" w:eastAsia="Times New Roman" w:hAnsi="Times New Roman"/>
                <w:sz w:val="18"/>
                <w:szCs w:val="18"/>
                <w:i w:val="1"/>
                <w:iCs w:val="1"/>
                <w:color w:val="auto"/>
              </w:rPr>
              <w:t>Note 4</w:t>
            </w:r>
            <w:r>
              <w:rPr>
                <w:rFonts w:ascii="Times New Roman" w:cs="Times New Roman" w:eastAsia="Times New Roman" w:hAnsi="Times New Roman"/>
                <w:sz w:val="18"/>
                <w:szCs w:val="18"/>
                <w:color w:val="auto"/>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991</w:t>
            </w:r>
          </w:p>
        </w:tc>
      </w:tr>
      <w:tr>
        <w:trPr>
          <w:trHeight w:val="216"/>
        </w:trPr>
        <w:tc>
          <w:tcPr>
            <w:tcW w:w="55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Yorkville convertible note</w:t>
            </w: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2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w:t>
            </w:r>
          </w:p>
        </w:tc>
      </w:tr>
      <w:tr>
        <w:trPr>
          <w:trHeight w:val="216"/>
        </w:trPr>
        <w:tc>
          <w:tcPr>
            <w:tcW w:w="5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Agile term notes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1,728</w:t>
            </w:r>
          </w:p>
        </w:tc>
      </w:tr>
      <w:tr>
        <w:trPr>
          <w:trHeight w:val="216"/>
        </w:trPr>
        <w:tc>
          <w:tcPr>
            <w:tcW w:w="55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1800 Diagonal convertible notes</w:t>
            </w: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2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w:t>
            </w:r>
          </w:p>
        </w:tc>
      </w:tr>
      <w:tr>
        <w:trPr>
          <w:trHeight w:val="216"/>
        </w:trPr>
        <w:tc>
          <w:tcPr>
            <w:tcW w:w="5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Private Placement Convertible Notes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1,856</w:t>
            </w:r>
          </w:p>
        </w:tc>
      </w:tr>
      <w:tr>
        <w:trPr>
          <w:trHeight w:val="216"/>
        </w:trPr>
        <w:tc>
          <w:tcPr>
            <w:tcW w:w="55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2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16"/>
        </w:trPr>
        <w:tc>
          <w:tcPr>
            <w:tcW w:w="5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Bifurcated embedded derivative liability – related party</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55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Boot Capital note</w:t>
            </w: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assets and liabilities that are measured at fair value on the acquisition date, see </w:t>
      </w:r>
      <w:r>
        <w:rPr>
          <w:rFonts w:ascii="Times New Roman" w:cs="Times New Roman" w:eastAsia="Times New Roman" w:hAnsi="Times New Roman"/>
          <w:sz w:val="18"/>
          <w:szCs w:val="18"/>
          <w:i w:val="1"/>
          <w:iCs w:val="1"/>
          <w:color w:val="auto"/>
        </w:rPr>
        <w:t>Note 4 – Acquisitions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 - Public Warrants</w:t>
      </w:r>
    </w:p>
    <w:p>
      <w:pPr>
        <w:spacing w:after="0" w:line="18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following table summarizes the changes in the fair value of the Public Warrants liability for the year ended March 31, 2026. See also </w:t>
      </w:r>
      <w:r>
        <w:rPr>
          <w:rFonts w:ascii="Times New Roman" w:cs="Times New Roman" w:eastAsia="Times New Roman" w:hAnsi="Times New Roman"/>
          <w:sz w:val="18"/>
          <w:szCs w:val="18"/>
          <w:i w:val="1"/>
          <w:iCs w:val="1"/>
          <w:color w:val="auto"/>
        </w:rPr>
        <w:t>Note 12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Warrant Liabilities.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Public Warrants</w:t>
            </w:r>
          </w:p>
        </w:tc>
      </w:tr>
      <w:tr>
        <w:trPr>
          <w:trHeight w:val="210"/>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3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FF0FC"/>
          </w:tcPr>
          <w:p>
            <w:pPr>
              <w:ind w:left="15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3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March 31, 2026</w:t>
            </w:r>
          </w:p>
        </w:tc>
        <w:tc>
          <w:tcPr>
            <w:tcW w:w="3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FF0FC"/>
          </w:tcPr>
          <w:p>
            <w:pPr>
              <w:ind w:left="1500"/>
              <w:spacing w:after="0"/>
              <w:rPr>
                <w:sz w:val="20"/>
                <w:szCs w:val="20"/>
                <w:color w:val="auto"/>
              </w:rPr>
            </w:pPr>
            <w:r>
              <w:rPr>
                <w:rFonts w:ascii="Times New Roman" w:cs="Times New Roman" w:eastAsia="Times New Roman" w:hAnsi="Times New Roman"/>
                <w:sz w:val="18"/>
                <w:szCs w:val="18"/>
                <w:color w:val="auto"/>
              </w:rPr>
              <w:t>—</w:t>
            </w:r>
          </w:p>
        </w:tc>
      </w:tr>
      <w:tr>
        <w:trPr>
          <w:trHeight w:val="413"/>
        </w:trPr>
        <w:tc>
          <w:tcPr>
            <w:tcW w:w="59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 - GEM Warrants</w:t>
            </w:r>
          </w:p>
        </w:tc>
        <w:tc>
          <w:tcPr>
            <w:tcW w:w="33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measurement of fair value of the GEM Warrants was determined utilizing a Monte Carlo simulation considering all relevant assumptions current at the date of issuance, including share price, exercise price, term, volatility, risk-free rate, probability of dilutive term of three years, and expected time to conversion. See also </w:t>
      </w:r>
      <w:r>
        <w:rPr>
          <w:rFonts w:ascii="Times New Roman" w:cs="Times New Roman" w:eastAsia="Times New Roman" w:hAnsi="Times New Roman"/>
          <w:sz w:val="18"/>
          <w:szCs w:val="18"/>
          <w:i w:val="1"/>
          <w:iCs w:val="1"/>
          <w:color w:val="auto"/>
        </w:rPr>
        <w:t>Note 12 – Warrant Liabilities.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the fair value of the GEM Warrants liability for the year ended March 31, 2026: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4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GEM Warrants</w:t>
            </w:r>
          </w:p>
        </w:tc>
      </w:tr>
      <w:tr>
        <w:trPr>
          <w:trHeight w:val="209"/>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3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35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March 31, 2026</w:t>
            </w:r>
          </w:p>
        </w:tc>
        <w:tc>
          <w:tcPr>
            <w:tcW w:w="3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413"/>
        </w:trPr>
        <w:tc>
          <w:tcPr>
            <w:tcW w:w="57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Yorkville Convertible Notes</w:t>
            </w:r>
          </w:p>
        </w:tc>
        <w:tc>
          <w:tcPr>
            <w:tcW w:w="352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measurement of fair value of the Yorkville convertible notes were determined utilizing a Monte Carlo simulation considering all relevant assumptions current at the date of issuance, including the Company's share price, remaining term, volatility, risk-free rate, market interest rate, and probability of optional redemption). See also </w:t>
      </w:r>
      <w:r>
        <w:rPr>
          <w:rFonts w:ascii="Times New Roman" w:cs="Times New Roman" w:eastAsia="Times New Roman" w:hAnsi="Times New Roman"/>
          <w:sz w:val="18"/>
          <w:szCs w:val="18"/>
          <w:i w:val="1"/>
          <w:iCs w:val="1"/>
          <w:color w:val="auto"/>
        </w:rPr>
        <w:t>Note 11 – Debt</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the fair value of the Yorkville convertible notes for the year ended March 31, 2026: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60" w:type="dxa"/>
            <w:vAlign w:val="bottom"/>
          </w:tcPr>
          <w:p>
            <w:pPr>
              <w:spacing w:after="0"/>
              <w:rPr>
                <w:sz w:val="18"/>
                <w:szCs w:val="18"/>
                <w:color w:val="auto"/>
              </w:rPr>
            </w:pPr>
          </w:p>
        </w:tc>
        <w:tc>
          <w:tcPr>
            <w:tcW w:w="19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Yorkville Convertible</w:t>
            </w:r>
          </w:p>
        </w:tc>
      </w:tr>
      <w:tr>
        <w:trPr>
          <w:trHeight w:val="238"/>
        </w:trPr>
        <w:tc>
          <w:tcPr>
            <w:tcW w:w="92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Note</w:t>
            </w:r>
          </w:p>
        </w:tc>
      </w:tr>
      <w:tr>
        <w:trPr>
          <w:trHeight w:val="210"/>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420" w:type="dxa"/>
            <w:vAlign w:val="bottom"/>
            <w:shd w:val="clear" w:color="auto" w:fill="CFF0FC"/>
          </w:tcPr>
          <w:p>
            <w:pPr>
              <w:jc w:val="right"/>
              <w:ind w:right="254"/>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1,200</w:t>
            </w:r>
          </w:p>
        </w:tc>
      </w:tr>
      <w:tr>
        <w:trPr>
          <w:trHeight w:val="216"/>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Repayment in cash of Yorkville convertible notes</w:t>
            </w:r>
          </w:p>
        </w:tc>
        <w:tc>
          <w:tcPr>
            <w:tcW w:w="4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r>
      <w:tr>
        <w:trPr>
          <w:trHeight w:val="216"/>
        </w:trPr>
        <w:tc>
          <w:tcPr>
            <w:tcW w:w="9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42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r>
      <w:tr>
        <w:trPr>
          <w:trHeight w:val="210"/>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March 31, 2026</w:t>
            </w:r>
          </w:p>
        </w:tc>
        <w:tc>
          <w:tcPr>
            <w:tcW w:w="42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571</w:t>
            </w:r>
          </w:p>
        </w:tc>
      </w:tr>
      <w:tr>
        <w:trPr>
          <w:trHeight w:val="20"/>
        </w:trPr>
        <w:tc>
          <w:tcPr>
            <w:tcW w:w="9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Bifurcated Embedded Derivative Assets (Liabilities) - related party</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measurement of the fair value of the embedded put options relating to the related party CP BF Convertible Note issued on September 23, 2024 was determined using the Black-Scholes option pricing model. Key inputs into these models included the timing and probability of the identified scenarios, and for Black-Scholes option pricing models used for notes that included a valuation cap, equity values, risk-free rate and volatility.</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Estimating fair values of embedded conversion features requires the development of significant and subjective estimates that may, and are likely to, change over the duration of the instrument with related changes in internal and external market factors. Because the embedded conversion features are initially and subsequently carried at fair values, the Company’s consolidated statements of operations will reflect the volatility in these estimate and assumption changes.</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related party CP BF Convertible Note has an embedded redemption put feature upon a Prepayment and Default Interest triggering events that are unrelated to the creditworthiness of the Company are not clearly and closely related to the debt host instrument, were separated and bundled together as a derivative ("Derivative") and assigned probabilities of being affected and initially measured at fair value in the amount of $12. The fair value of the Derivative was estimated utilizing the with and without method which uses the probability weighted difference between the scenarios with the Derivative and the plain vanilla maturity scenario without a Derivative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the fair value of the Derivative asset (liability) for the three months ended March 31, 2026, relating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Convertible Note to CP BF issued on September 23,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Derivative Asset (Liability)</w:t>
            </w:r>
          </w:p>
        </w:tc>
      </w:tr>
      <w:tr>
        <w:trPr>
          <w:trHeight w:val="210"/>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2025 - Bifurcated embedded derivative asset – related party</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49"/>
        </w:trPr>
        <w:tc>
          <w:tcPr>
            <w:tcW w:w="7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March 31, 2026 - Bifurcated embedded derivative liability – related party</w:t>
            </w:r>
          </w:p>
        </w:tc>
        <w:tc>
          <w:tcPr>
            <w:tcW w:w="13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Agile Term Notes</w:t>
      </w:r>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measurement of fair value of the Agile term notes ("Agile Notes") was determined using a discounted cash flow model to calculate the fair value. Key inputs for the discounted cash flow model include the contractual term of the note and a market participant interest rate.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Agile Notes include contingent redemption (put) rights which trigger mandatory prepayment and a make-whole premium upon certain events including an event of default, and defaulted contingent interest upon an event of default. Due to the contingent redemption put feature and default interest embedded feature within the Agile Notes, the Company elected the fair value option for the Agile Notes at their respective dates of issuance pursuant to ASC 825 </w:t>
      </w:r>
      <w:r>
        <w:rPr>
          <w:rFonts w:ascii="Times New Roman" w:cs="Times New Roman" w:eastAsia="Times New Roman" w:hAnsi="Times New Roman"/>
          <w:sz w:val="18"/>
          <w:szCs w:val="18"/>
          <w:i w:val="1"/>
          <w:iCs w:val="1"/>
          <w:color w:val="auto"/>
        </w:rPr>
        <w:t xml:space="preserve">Financial Instruments </w:t>
      </w:r>
      <w:r>
        <w:rPr>
          <w:rFonts w:ascii="Times New Roman" w:cs="Times New Roman" w:eastAsia="Times New Roman" w:hAnsi="Times New Roman"/>
          <w:sz w:val="18"/>
          <w:szCs w:val="18"/>
          <w:color w:val="auto"/>
        </w:rPr>
        <w:t>(“ASC 825”).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11 – Debt</w:t>
      </w:r>
      <w:r>
        <w:rPr>
          <w:rFonts w:ascii="Times New Roman" w:cs="Times New Roman" w:eastAsia="Times New Roman" w:hAnsi="Times New Roman"/>
          <w:sz w:val="18"/>
          <w:szCs w:val="18"/>
          <w:color w:val="auto"/>
        </w:rPr>
        <w:t xml:space="preserve"> for a summary of the changes in the fair value of the Agile Notes.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1800 Diagonal Convertible Notes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measurement of the fair value of each of the convertible promissory notes with 1800 Diagonal Lending was determined using the Black-Scholes option pricing model. Key inputs used for the model include the stock price, volatility, the contractual term of the note, risk-free interest rates and dividend yield.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11 – Debt</w:t>
      </w:r>
      <w:r>
        <w:rPr>
          <w:rFonts w:ascii="Times New Roman" w:cs="Times New Roman" w:eastAsia="Times New Roman" w:hAnsi="Times New Roman"/>
          <w:sz w:val="18"/>
          <w:szCs w:val="18"/>
          <w:color w:val="auto"/>
        </w:rPr>
        <w:t xml:space="preserve"> for a summary of the changes in the fair value of the 1800 Diagonal Convertible Notes.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3i, LP Private Placement Offering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measurement of the fair value of the Private Placement Convertible Notes was determined using a Monte Carlo simulation. Key inputs into the simulation include the remaining term, the market interest rate, risk-free rate, equity volatility, and probability of default.</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11 – Debt</w:t>
      </w:r>
      <w:r>
        <w:rPr>
          <w:rFonts w:ascii="Times New Roman" w:cs="Times New Roman" w:eastAsia="Times New Roman" w:hAnsi="Times New Roman"/>
          <w:sz w:val="18"/>
          <w:szCs w:val="18"/>
          <w:color w:val="auto"/>
        </w:rPr>
        <w:t xml:space="preserve"> for a summary of the changes in the fair value of the Private Placement Convertible Notes, and to </w:t>
      </w:r>
      <w:r>
        <w:rPr>
          <w:rFonts w:ascii="Times New Roman" w:cs="Times New Roman" w:eastAsia="Times New Roman" w:hAnsi="Times New Roman"/>
          <w:sz w:val="18"/>
          <w:szCs w:val="18"/>
          <w:i w:val="1"/>
          <w:iCs w:val="1"/>
          <w:color w:val="auto"/>
        </w:rPr>
        <w:t>Note 12 – Warrant Liabilities</w:t>
      </w:r>
      <w:r>
        <w:rPr>
          <w:rFonts w:ascii="Times New Roman" w:cs="Times New Roman" w:eastAsia="Times New Roman" w:hAnsi="Times New Roman"/>
          <w:sz w:val="18"/>
          <w:szCs w:val="18"/>
          <w:color w:val="auto"/>
        </w:rPr>
        <w:t xml:space="preserve"> for a description of the warrants issued in connection with the Private Placement Offering.</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 - Private Placement Warrants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Private Placement Warrants were not considered indexed to the issuer’s stock pursuant to ASC 815, as the holder’s ability to receive in lieu of the Warrant, cash in an amount equal to the Black Scholes Value ("Black Scholes Value") in connection with a Change of Control, adjusts the settlement value based on items outside the Company’s control in violation of the fixed-for-fixed option pricing model. As such, the Company recorded the Warrants as liabilities initially measured at fair value with subsequent changes in fair value recognized in earnings each reporting period. Refer to </w:t>
      </w:r>
      <w:r>
        <w:rPr>
          <w:rFonts w:ascii="Times New Roman" w:cs="Times New Roman" w:eastAsia="Times New Roman" w:hAnsi="Times New Roman"/>
          <w:sz w:val="18"/>
          <w:szCs w:val="18"/>
          <w:i w:val="1"/>
          <w:iCs w:val="1"/>
          <w:color w:val="auto"/>
        </w:rPr>
        <w:t>Note 12 – 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Liabilities </w:t>
      </w:r>
      <w:r>
        <w:rPr>
          <w:rFonts w:ascii="Times New Roman" w:cs="Times New Roman" w:eastAsia="Times New Roman" w:hAnsi="Times New Roman"/>
          <w:sz w:val="18"/>
          <w:szCs w:val="18"/>
          <w:color w:val="auto"/>
        </w:rPr>
        <w:t>for further details.</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measurement of fair value was determined utilizing a Monte Carlo simulation considering all relevant assumptions current at the date of issuance, including share price, term, risk-free rate, exercise price and dividend yield.</w:t>
      </w: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38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ranges of inputs to and the changes in the fair value of the Private Placement Warrant liability for the three months ended March 31, 2026: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Key Inputs</w:t>
            </w:r>
          </w:p>
        </w:tc>
        <w:tc>
          <w:tcPr>
            <w:tcW w:w="12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0" w:type="dxa"/>
            <w:vAlign w:val="bottom"/>
          </w:tcPr>
          <w:p>
            <w:pPr>
              <w:spacing w:after="0"/>
              <w:rPr>
                <w:sz w:val="1"/>
                <w:szCs w:val="1"/>
                <w:color w:val="auto"/>
              </w:rPr>
            </w:pPr>
          </w:p>
        </w:tc>
      </w:tr>
      <w:tr>
        <w:trPr>
          <w:trHeight w:val="210"/>
        </w:trPr>
        <w:tc>
          <w:tcPr>
            <w:tcW w:w="7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price</w:t>
            </w:r>
          </w:p>
        </w:tc>
        <w:tc>
          <w:tcPr>
            <w:tcW w:w="1640" w:type="dxa"/>
            <w:vAlign w:val="bottom"/>
            <w:gridSpan w:val="3"/>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0.95</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Contractual term (years)</w:t>
            </w: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2.25 - 4.87</w:t>
            </w:r>
          </w:p>
        </w:tc>
        <w:tc>
          <w:tcPr>
            <w:tcW w:w="0" w:type="dxa"/>
            <w:vAlign w:val="bottom"/>
          </w:tcPr>
          <w:p>
            <w:pPr>
              <w:spacing w:after="0"/>
              <w:rPr>
                <w:sz w:val="1"/>
                <w:szCs w:val="1"/>
                <w:color w:val="auto"/>
              </w:rPr>
            </w:pPr>
          </w:p>
        </w:tc>
      </w:tr>
      <w:tr>
        <w:trPr>
          <w:trHeight w:val="216"/>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3.8% - 3.9%</w:t>
            </w:r>
          </w:p>
        </w:tc>
        <w:tc>
          <w:tcPr>
            <w:tcW w:w="0" w:type="dxa"/>
            <w:vAlign w:val="bottom"/>
          </w:tcPr>
          <w:p>
            <w:pPr>
              <w:spacing w:after="0"/>
              <w:rPr>
                <w:sz w:val="1"/>
                <w:szCs w:val="1"/>
                <w:color w:val="auto"/>
              </w:rPr>
            </w:pPr>
          </w:p>
        </w:tc>
      </w:tr>
      <w:tr>
        <w:trPr>
          <w:trHeight w:val="216"/>
        </w:trPr>
        <w:tc>
          <w:tcPr>
            <w:tcW w:w="72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Volatility</w:t>
            </w:r>
            <w:r>
              <w:rPr>
                <w:rFonts w:ascii="Times New Roman" w:cs="Times New Roman" w:eastAsia="Times New Roman" w:hAnsi="Times New Roman"/>
                <w:sz w:val="24"/>
                <w:szCs w:val="24"/>
                <w:color w:val="auto"/>
                <w:vertAlign w:val="superscript"/>
              </w:rPr>
              <w:t>(1)</w:t>
            </w: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113% - 125.3%</w:t>
            </w:r>
          </w:p>
        </w:tc>
        <w:tc>
          <w:tcPr>
            <w:tcW w:w="0" w:type="dxa"/>
            <w:vAlign w:val="bottom"/>
          </w:tcPr>
          <w:p>
            <w:pPr>
              <w:spacing w:after="0"/>
              <w:rPr>
                <w:sz w:val="1"/>
                <w:szCs w:val="1"/>
                <w:color w:val="auto"/>
              </w:rPr>
            </w:pPr>
          </w:p>
        </w:tc>
      </w:tr>
      <w:tr>
        <w:trPr>
          <w:trHeight w:val="216"/>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$0.66 - $2.50</w:t>
            </w:r>
          </w:p>
        </w:tc>
        <w:tc>
          <w:tcPr>
            <w:tcW w:w="0" w:type="dxa"/>
            <w:vAlign w:val="bottom"/>
          </w:tcPr>
          <w:p>
            <w:pPr>
              <w:spacing w:after="0"/>
              <w:rPr>
                <w:sz w:val="1"/>
                <w:szCs w:val="1"/>
                <w:color w:val="auto"/>
              </w:rPr>
            </w:pPr>
          </w:p>
        </w:tc>
      </w:tr>
      <w:tr>
        <w:trPr>
          <w:trHeight w:val="234"/>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414"/>
        </w:trPr>
        <w:tc>
          <w:tcPr>
            <w:tcW w:w="7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40" w:type="dxa"/>
            <w:vAlign w:val="bottom"/>
            <w:tcBorders>
              <w:bottom w:val="single" w:sz="8" w:color="auto"/>
            </w:tcBorders>
            <w:gridSpan w:val="5"/>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Private Placement Warrants</w:t>
            </w:r>
          </w:p>
        </w:tc>
        <w:tc>
          <w:tcPr>
            <w:tcW w:w="0" w:type="dxa"/>
            <w:vAlign w:val="bottom"/>
          </w:tcPr>
          <w:p>
            <w:pPr>
              <w:spacing w:after="0"/>
              <w:rPr>
                <w:sz w:val="1"/>
                <w:szCs w:val="1"/>
                <w:color w:val="auto"/>
              </w:rPr>
            </w:pPr>
          </w:p>
        </w:tc>
      </w:tr>
      <w:tr>
        <w:trPr>
          <w:trHeight w:val="209"/>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640" w:type="dxa"/>
            <w:vAlign w:val="bottom"/>
            <w:gridSpan w:val="3"/>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Loss on issuance – February Warrant</w:t>
            </w: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216"/>
        </w:trPr>
        <w:tc>
          <w:tcPr>
            <w:tcW w:w="7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22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09"/>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March 31, 2026</w:t>
            </w:r>
          </w:p>
        </w:tc>
        <w:tc>
          <w:tcPr>
            <w:tcW w:w="164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20"/>
        </w:trPr>
        <w:tc>
          <w:tcPr>
            <w:tcW w:w="7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Prepaid Expenses and Other Current Assets</w:t>
            </w: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22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at the dates indicated:</w:t>
            </w: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20" w:type="dxa"/>
            <w:vAlign w:val="bottom"/>
          </w:tcPr>
          <w:p>
            <w:pPr>
              <w:spacing w:after="0"/>
              <w:rPr>
                <w:sz w:val="24"/>
                <w:szCs w:val="24"/>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4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0" w:type="dxa"/>
            <w:vAlign w:val="bottom"/>
          </w:tcPr>
          <w:p>
            <w:pPr>
              <w:spacing w:after="0"/>
              <w:rPr>
                <w:sz w:val="1"/>
                <w:szCs w:val="1"/>
                <w:color w:val="auto"/>
              </w:rPr>
            </w:pPr>
          </w:p>
        </w:tc>
      </w:tr>
      <w:tr>
        <w:trPr>
          <w:trHeight w:val="210"/>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Prepaid software costs</w:t>
            </w:r>
          </w:p>
        </w:tc>
        <w:tc>
          <w:tcPr>
            <w:tcW w:w="1220" w:type="dxa"/>
            <w:vAlign w:val="bottom"/>
          </w:tcPr>
          <w:p>
            <w:pPr>
              <w:jc w:val="right"/>
              <w:ind w:right="1052"/>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212</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16"/>
        </w:trPr>
        <w:tc>
          <w:tcPr>
            <w:tcW w:w="7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Service trade</w:t>
            </w:r>
          </w:p>
        </w:tc>
        <w:tc>
          <w:tcPr>
            <w:tcW w:w="1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7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Employee receivable</w:t>
            </w: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7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Prepaid insurance costs</w:t>
            </w:r>
          </w:p>
        </w:tc>
        <w:tc>
          <w:tcPr>
            <w:tcW w:w="1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7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Prepaid commissions</w:t>
            </w: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6"/>
        </w:trPr>
        <w:tc>
          <w:tcPr>
            <w:tcW w:w="7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Prepaid merchant fees</w:t>
            </w:r>
          </w:p>
        </w:tc>
        <w:tc>
          <w:tcPr>
            <w:tcW w:w="1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7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current assets</w:t>
            </w:r>
          </w:p>
        </w:tc>
        <w:tc>
          <w:tcPr>
            <w:tcW w:w="12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220" w:type="dxa"/>
            <w:vAlign w:val="bottom"/>
            <w:shd w:val="clear" w:color="auto" w:fill="CFF0FC"/>
          </w:tcPr>
          <w:p>
            <w:pPr>
              <w:jc w:val="right"/>
              <w:ind w:right="1052"/>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855</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445</w:t>
            </w:r>
          </w:p>
        </w:tc>
        <w:tc>
          <w:tcPr>
            <w:tcW w:w="0" w:type="dxa"/>
            <w:vAlign w:val="bottom"/>
          </w:tcPr>
          <w:p>
            <w:pPr>
              <w:spacing w:after="0"/>
              <w:rPr>
                <w:sz w:val="1"/>
                <w:szCs w:val="1"/>
                <w:color w:val="auto"/>
              </w:rPr>
            </w:pPr>
          </w:p>
        </w:tc>
      </w:tr>
      <w:tr>
        <w:trPr>
          <w:trHeight w:val="20"/>
        </w:trPr>
        <w:tc>
          <w:tcPr>
            <w:tcW w:w="722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-24765</wp:posOffset>
            </wp:positionV>
            <wp:extent cx="939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939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Goodwill and Intangible Assets,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goodwill by reportable segment as of and for the three months ended March 31, 2026: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Banzai</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8"/>
        </w:trPr>
        <w:tc>
          <w:tcPr>
            <w:tcW w:w="39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Operating Co.</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Vidello</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OpenReel</w:t>
            </w:r>
          </w:p>
        </w:tc>
        <w:tc>
          <w:tcPr>
            <w:tcW w:w="120" w:type="dxa"/>
            <w:vAlign w:val="bottom"/>
          </w:tcPr>
          <w:p>
            <w:pPr>
              <w:spacing w:after="0"/>
              <w:rPr>
                <w:sz w:val="20"/>
                <w:szCs w:val="20"/>
                <w:color w:val="auto"/>
              </w:rPr>
            </w:pPr>
          </w:p>
        </w:tc>
        <w:tc>
          <w:tcPr>
            <w:tcW w:w="130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09"/>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 December 31, 2025</w:t>
            </w:r>
          </w:p>
        </w:tc>
        <w:tc>
          <w:tcPr>
            <w:tcW w:w="1920" w:type="dxa"/>
            <w:vAlign w:val="bottom"/>
            <w:gridSpan w:val="3"/>
            <w:shd w:val="clear" w:color="auto" w:fill="CFF0FC"/>
          </w:tcPr>
          <w:p>
            <w:pPr>
              <w:jc w:val="right"/>
              <w:ind w:right="47"/>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2,172</w:t>
            </w:r>
          </w:p>
        </w:tc>
        <w:tc>
          <w:tcPr>
            <w:tcW w:w="3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3,019</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16,801</w:t>
            </w:r>
          </w:p>
        </w:tc>
        <w:tc>
          <w:tcPr>
            <w:tcW w:w="50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21,992</w:t>
            </w:r>
          </w:p>
        </w:tc>
      </w:tr>
      <w:tr>
        <w:trPr>
          <w:trHeight w:val="21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Goodwill – March 31, 2026</w:t>
            </w:r>
          </w:p>
        </w:tc>
        <w:tc>
          <w:tcPr>
            <w:tcW w:w="17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2,172</w:t>
            </w:r>
          </w:p>
        </w:tc>
        <w:tc>
          <w:tcPr>
            <w:tcW w:w="1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3,019</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16,801</w:t>
            </w:r>
          </w:p>
        </w:tc>
        <w:tc>
          <w:tcPr>
            <w:tcW w:w="1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21,992</w:t>
            </w:r>
          </w:p>
        </w:tc>
      </w:tr>
      <w:tr>
        <w:trPr>
          <w:trHeight w:val="20"/>
        </w:trPr>
        <w:tc>
          <w:tcPr>
            <w:tcW w:w="39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413"/>
        </w:trPr>
        <w:tc>
          <w:tcPr>
            <w:tcW w:w="3900" w:type="dxa"/>
            <w:vAlign w:val="bottom"/>
          </w:tcPr>
          <w:p>
            <w:pPr>
              <w:spacing w:after="0"/>
              <w:rPr>
                <w:sz w:val="24"/>
                <w:szCs w:val="24"/>
                <w:color w:val="auto"/>
              </w:rPr>
            </w:pPr>
          </w:p>
        </w:tc>
        <w:tc>
          <w:tcPr>
            <w:tcW w:w="1920" w:type="dxa"/>
            <w:vAlign w:val="bottom"/>
            <w:gridSpan w:val="3"/>
          </w:tcPr>
          <w:p>
            <w:pPr>
              <w:jc w:val="right"/>
              <w:ind w:right="27"/>
              <w:spacing w:after="0"/>
              <w:rPr>
                <w:sz w:val="20"/>
                <w:szCs w:val="20"/>
                <w:color w:val="auto"/>
              </w:rPr>
            </w:pPr>
            <w:r>
              <w:rPr>
                <w:rFonts w:ascii="Times New Roman" w:cs="Times New Roman" w:eastAsia="Times New Roman" w:hAnsi="Times New Roman"/>
                <w:sz w:val="18"/>
                <w:szCs w:val="18"/>
                <w:color w:val="auto"/>
              </w:rPr>
              <w:t>21</w:t>
            </w: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763"/>
        </w:trPr>
        <w:tc>
          <w:tcPr>
            <w:tcW w:w="390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392"/>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212529"/>
              </w:rPr>
              <w:t>Intangible assets subject to amortization consist of the following:</w:t>
            </w: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410"/>
        </w:trPr>
        <w:tc>
          <w:tcPr>
            <w:tcW w:w="7400" w:type="dxa"/>
            <w:vAlign w:val="bottom"/>
          </w:tcPr>
          <w:p>
            <w:pPr>
              <w:spacing w:after="0"/>
              <w:rPr>
                <w:sz w:val="24"/>
                <w:szCs w:val="24"/>
                <w:color w:val="auto"/>
              </w:rPr>
            </w:pPr>
          </w:p>
        </w:tc>
        <w:tc>
          <w:tcPr>
            <w:tcW w:w="18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Estimated Useful Life</w:t>
            </w: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38"/>
        </w:trPr>
        <w:tc>
          <w:tcPr>
            <w:tcW w:w="7400" w:type="dxa"/>
            <w:vAlign w:val="bottom"/>
          </w:tcPr>
          <w:p>
            <w:pPr>
              <w:spacing w:after="0"/>
              <w:rPr>
                <w:sz w:val="20"/>
                <w:szCs w:val="20"/>
                <w:color w:val="auto"/>
              </w:rPr>
            </w:pPr>
          </w:p>
        </w:tc>
        <w:tc>
          <w:tcPr>
            <w:tcW w:w="1820" w:type="dxa"/>
            <w:vAlign w:val="bottom"/>
            <w:tcBorders>
              <w:bottom w:val="single" w:sz="8" w:color="auto"/>
            </w:tcBorders>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2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March 31, 2026</w:t>
            </w:r>
          </w:p>
        </w:tc>
      </w:tr>
      <w:tr>
        <w:trPr>
          <w:trHeight w:val="210"/>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- 7</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1,140</w:t>
            </w: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Trade name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- 15</w:t>
            </w:r>
          </w:p>
        </w:tc>
        <w:tc>
          <w:tcPr>
            <w:tcW w:w="220" w:type="dxa"/>
            <w:vAlign w:val="bottom"/>
          </w:tcPr>
          <w:p>
            <w:pPr>
              <w:spacing w:after="0"/>
              <w:rPr>
                <w:sz w:val="18"/>
                <w:szCs w:val="18"/>
                <w:color w:val="auto"/>
              </w:rPr>
            </w:pPr>
          </w:p>
        </w:tc>
        <w:tc>
          <w:tcPr>
            <w:tcW w:w="1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1,637</w:t>
            </w:r>
          </w:p>
        </w:tc>
      </w:tr>
      <w:tr>
        <w:trPr>
          <w:trHeight w:val="216"/>
        </w:trPr>
        <w:tc>
          <w:tcPr>
            <w:tcW w:w="7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Technology</w:t>
            </w: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- 8</w:t>
            </w:r>
          </w:p>
        </w:tc>
        <w:tc>
          <w:tcPr>
            <w:tcW w:w="220" w:type="dxa"/>
            <w:vAlign w:val="bottom"/>
            <w:tcBorders>
              <w:bottom w:val="single" w:sz="8" w:color="auto"/>
            </w:tcBorders>
            <w:shd w:val="clear" w:color="auto" w:fill="CFF0FC"/>
          </w:tcPr>
          <w:p>
            <w:pPr>
              <w:spacing w:after="0"/>
              <w:rPr>
                <w:sz w:val="18"/>
                <w:szCs w:val="18"/>
                <w:color w:val="auto"/>
              </w:rPr>
            </w:pPr>
          </w:p>
        </w:tc>
        <w:tc>
          <w:tcPr>
            <w:tcW w:w="18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6,425</w:t>
            </w:r>
          </w:p>
        </w:tc>
      </w:tr>
      <w:tr>
        <w:trPr>
          <w:trHeight w:val="210"/>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gross</w:t>
            </w: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9,202</w:t>
            </w:r>
          </w:p>
        </w:tc>
      </w:tr>
      <w:tr>
        <w:trPr>
          <w:trHeight w:val="216"/>
        </w:trPr>
        <w:tc>
          <w:tcPr>
            <w:tcW w:w="7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84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(1,465)</w:t>
            </w:r>
          </w:p>
        </w:tc>
      </w:tr>
      <w:tr>
        <w:trPr>
          <w:trHeight w:val="209"/>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7,737</w:t>
            </w:r>
          </w:p>
        </w:tc>
      </w:tr>
      <w:tr>
        <w:trPr>
          <w:trHeight w:val="20"/>
        </w:trPr>
        <w:tc>
          <w:tcPr>
            <w:tcW w:w="7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Total amortization expense related to intangible assets was $304 for the three months ended March 31, 2026. Expected amortization expense is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2026</w:t>
            </w:r>
          </w:p>
        </w:tc>
        <w:tc>
          <w:tcPr>
            <w:tcW w:w="2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911</w:t>
            </w: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1,215</w:t>
            </w: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1,215</w:t>
            </w: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1,215</w:t>
            </w: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2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1,206</w:t>
            </w: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1,975</w:t>
            </w:r>
          </w:p>
        </w:tc>
      </w:tr>
      <w:tr>
        <w:trPr>
          <w:trHeight w:val="250"/>
        </w:trPr>
        <w:tc>
          <w:tcPr>
            <w:tcW w:w="7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7,737</w:t>
            </w:r>
          </w:p>
        </w:tc>
      </w:tr>
      <w:tr>
        <w:trPr>
          <w:trHeight w:val="413"/>
        </w:trPr>
        <w:tc>
          <w:tcPr>
            <w:tcW w:w="7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 Accrued and Other Current Liabilities</w:t>
            </w:r>
          </w:p>
        </w:tc>
        <w:tc>
          <w:tcPr>
            <w:tcW w:w="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05"/>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at the dates indicated:</w:t>
            </w:r>
          </w:p>
        </w:tc>
        <w:tc>
          <w:tcPr>
            <w:tcW w:w="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32"/>
        </w:trPr>
        <w:tc>
          <w:tcPr>
            <w:tcW w:w="7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r>
      <w:tr>
        <w:trPr>
          <w:trHeight w:val="210"/>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r>
      <w:tr>
        <w:trPr>
          <w:trHeight w:val="216"/>
        </w:trPr>
        <w:tc>
          <w:tcPr>
            <w:tcW w:w="7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Accrued accounting and professional services costs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2,365</w:t>
            </w:r>
          </w:p>
        </w:tc>
      </w:tr>
      <w:tr>
        <w:trPr>
          <w:trHeight w:val="216"/>
        </w:trPr>
        <w:tc>
          <w:tcPr>
            <w:tcW w:w="7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Sales tax payable</w:t>
            </w:r>
          </w:p>
        </w:tc>
        <w:tc>
          <w:tcPr>
            <w:tcW w:w="24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251</w:t>
            </w:r>
          </w:p>
        </w:tc>
      </w:tr>
      <w:tr>
        <w:trPr>
          <w:trHeight w:val="216"/>
        </w:trPr>
        <w:tc>
          <w:tcPr>
            <w:tcW w:w="7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Excise tax payable</w:t>
            </w:r>
          </w:p>
        </w:tc>
        <w:tc>
          <w:tcPr>
            <w:tcW w:w="2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224</w:t>
            </w:r>
          </w:p>
        </w:tc>
      </w:tr>
      <w:tr>
        <w:trPr>
          <w:trHeight w:val="216"/>
        </w:trPr>
        <w:tc>
          <w:tcPr>
            <w:tcW w:w="7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Provision for tax payable</w:t>
            </w:r>
          </w:p>
        </w:tc>
        <w:tc>
          <w:tcPr>
            <w:tcW w:w="24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578</w:t>
            </w:r>
          </w:p>
        </w:tc>
      </w:tr>
      <w:tr>
        <w:trPr>
          <w:trHeight w:val="216"/>
        </w:trPr>
        <w:tc>
          <w:tcPr>
            <w:tcW w:w="7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Accrued payroll and benefit costs</w:t>
            </w:r>
          </w:p>
        </w:tc>
        <w:tc>
          <w:tcPr>
            <w:tcW w:w="2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440</w:t>
            </w:r>
          </w:p>
        </w:tc>
      </w:tr>
      <w:tr>
        <w:trPr>
          <w:trHeight w:val="216"/>
        </w:trPr>
        <w:tc>
          <w:tcPr>
            <w:tcW w:w="7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Accrued legal costs</w:t>
            </w:r>
          </w:p>
        </w:tc>
        <w:tc>
          <w:tcPr>
            <w:tcW w:w="24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168</w:t>
            </w:r>
          </w:p>
        </w:tc>
      </w:tr>
      <w:tr>
        <w:trPr>
          <w:trHeight w:val="216"/>
        </w:trPr>
        <w:tc>
          <w:tcPr>
            <w:tcW w:w="7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Accrued subscription costs</w:t>
            </w:r>
          </w:p>
        </w:tc>
        <w:tc>
          <w:tcPr>
            <w:tcW w:w="2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7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Accrued streaming service costs</w:t>
            </w:r>
          </w:p>
        </w:tc>
        <w:tc>
          <w:tcPr>
            <w:tcW w:w="24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7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224</w:t>
            </w:r>
          </w:p>
        </w:tc>
      </w:tr>
      <w:tr>
        <w:trPr>
          <w:trHeight w:val="230"/>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4,068</w:t>
            </w:r>
          </w:p>
        </w:tc>
        <w:tc>
          <w:tcPr>
            <w:tcW w:w="8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4,354</w:t>
            </w:r>
          </w:p>
        </w:tc>
      </w:tr>
      <w:tr>
        <w:trPr>
          <w:trHeight w:val="20"/>
        </w:trPr>
        <w:tc>
          <w:tcPr>
            <w:tcW w:w="7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-24765</wp:posOffset>
            </wp:positionV>
            <wp:extent cx="939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939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Debt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Promissory Note - GEM</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14, 2023, the Company and GEM Global Yield LLC SCS and GEM Yield Bahamas Limited (collectively, “GEM”) agreed to terminate in its entirety the GEM Agreement, pursuant to which GEM was to purchase from the Company shares of common stock having an aggregate value up to $100 million and the Company was required to make and execute a warrant ("GEM Warrant"). The Company’s obligation to issue the GEM Warrant remained, granting GEM the right to purchase Class A Common Stock in an amount equal to 3% of the total number of equity interests outstanding as of the Closing, calculated on a fully diluted basis, at an exercise price on the terms and conditions set forth therein, in exchange for issuance of a $2.0 million convertible debenture with a five-year maturity and 0% coupon. Due to the determination of the final terms of the planned $2.0 million convertible debenture having not been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finalized, nor the final agreement related to the convertible debenture having been executed, as of December 31, 2023, the Company recognized, concurrent with the close of the merger, a liability for the GEM commitment fee, along with a corresponding GEM commitment fee expense, in the amount of $2.0 million.</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February 5, 2024, the Company and GEM entered into a settlement agreement (the “GEM Settlement Agreement”), pursuant to which (a) the Company and GEM agreed to (i) settle the Company’s obligations under and terminate the binding term sheet entered into between Legacy Banzai and GEM, dated December 13, 2023, and (ii) terminate the share repurchase agreement, dated May 27, 2022, by and among the Company and GEM, and (b) the Company</w:t>
      </w:r>
    </w:p>
    <w:p>
      <w:pPr>
        <w:spacing w:after="0" w:line="1" w:lineRule="exact"/>
        <w:rPr>
          <w:sz w:val="20"/>
          <w:szCs w:val="20"/>
          <w:color w:val="auto"/>
        </w:rPr>
      </w:pPr>
    </w:p>
    <w:p>
      <w:pPr>
        <w:jc w:val="both"/>
        <w:ind w:firstLine="8"/>
        <w:spacing w:after="0" w:line="255" w:lineRule="auto"/>
        <w:tabs>
          <w:tab w:leader="none" w:pos="21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agreed to pay GEM $1.2 million in cash within three business days of the GEM Settlement Agreement and (ii) issued to GEM, on February 5, 2024, an unsecured promissory zero coupon note in the amount of $1.0 million, payable in monthly installments of $100 beginning on March 1, 2024, with the final payment to be made on December 1, 2024 (the “GEM Promissory Note”). The Company paid GEM the $1.2 million in cash in February 2024.</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GEM Promissory Note provides that, in the event the Company fails to make a required monthly payment when due, the Company shall issue to GEM a number of shares of Class A Common Stock equal to the monthly payment amount divided by the VWAP of the Class A Common Stock for the trading day immediately preceding the applicable payment due date. In addition, the Company agreed to register on a registration statement 10,000 shares of Class A Common Stock that may be issuable under the terms of the GEM Promissory Note. The GEM Promissory Note contains customary events of default. If an event of default occurs, GEM may, at its option, demand from the Company immediate payment of any outstanding balance under the GEM Promissory Note. The GEM Promissory Note is recorded in the line Convertible notes on the Company's condensed consolidated balance sheets.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issued an aggregate of 950 shares of Class A Common Stock to GEM in lieu of monthly payment obligations and during the three months ended March 31, 2025 the Company paid an aggregate of $215 to satisfy the remaining balance of the GEM Promissory Note.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 (Yorkville)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December 14, 2023, in connection with and pursuant to the terms of its Standby Equity Purchase Agreement (“SEPA”) with YA II PN, LTD, a Cayman Islands exempt limited partnership managed by Yorkville Advisors Global, LP (“Yorkville”), (refer to </w:t>
      </w:r>
      <w:r>
        <w:rPr>
          <w:rFonts w:ascii="Times New Roman" w:cs="Times New Roman" w:eastAsia="Times New Roman" w:hAnsi="Times New Roman"/>
          <w:sz w:val="18"/>
          <w:szCs w:val="18"/>
          <w:i w:val="1"/>
          <w:iCs w:val="1"/>
          <w:color w:val="auto"/>
        </w:rPr>
        <w:t>Note 14 – Equity</w:t>
      </w:r>
      <w:r>
        <w:rPr>
          <w:rFonts w:ascii="Times New Roman" w:cs="Times New Roman" w:eastAsia="Times New Roman" w:hAnsi="Times New Roman"/>
          <w:sz w:val="18"/>
          <w:szCs w:val="18"/>
          <w:color w:val="auto"/>
        </w:rPr>
        <w:t xml:space="preserve"> for further details on the SEPA), Yorkville agreed to advance to the Company, in exchange for convertible promissory notes, an aggregate principal amount of up to $3.5 million, $2.0 million of which was funded at the Closing in exchange for the issuance by the Company of a Convertible Promissory Note (the “December Yorkville Convertible Note”). The Company received net proceeds of $1.8 million after a non-cash original issue discount of $200.</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5, 2024, the Company and Yorkville entered into a supplemental agreement (the “SEPA Supplemental Agreement”) to increase the amount of convertible promissory notes allowed to be issued under SEPA by $1.0 million (the “Additional Pre-Paid Advance Amount”), for an aggregate principal amount of $4.5 million to be advanced by Yorkville to the Company in the form of convertible promissory notes. On February 5, 2024 in exchange for a promissory note in the principal amount of $1.0 million (the “February Yorkville Promissory Note”), with the same terms as the December Yorkville Convertible Note, the Company received net proceeds of $900 after an original issue discount of $100.</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26, 2024, the Company, in exchange for a convertible promissory note with a principal amount of $1.5 million (the "March Yorkville Promissory Note" and, together with the December Yorkville Convertible Note and February Yorkville Promissory Note, the "Yorkville Promissory Notes"), received net proceeds of $1,250 after an original issue discount of $250.</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3, 2024, the Company and Yorkville entered into a Debt Repayment Agreement (the “Original Debt Repayment Agreement”) with respect to the Yorkville Promissory Notes. Under the Original Debt Repayment Agreement, Yorkville agreed that, upon completion of a Company registered offering and repayment of an aggregate $2.0 million outstanding under the Yorkville Promissory Notes (the “Original Repayment Amount”), Yorkville would not deliver to the Company any Investor Notice (as defined in the SEPA) and would not exercise its right to convert the remainder of the amount outstanding under the Yorkville Promissory Notes for a period commencing on the date of the closing of the offering and ending on the date that is 90 days thereafter. Under the Original Debt Repayment Agreement, the Company and Yorkville also agreed to extend the maturity date of the Yorkville Promissory Notes to the date that is 120 days after the closing of the offering and to satisfy the $200 payment premium due in connection with an early redemption through the issuance of an Advance Notice (as defined in the SEPA) for shares of the Company’s Class A Common Stock, par value $0.0001 per share. The Original Debt Repayment Agreement was conditioned on the completion of the offering by June 2, 2024.</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22, 2024, the Company and Yorkville entered into an Amended and Restated Debt Repayment Agreement (the “Amended Debt Repayment Agreement”) with respect to the Yorkville Promissory Notes, which amends and restates the Original Debt Repayment</w:t>
      </w: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Agreement. Under the Amended Debt Repayment Agreement, Yorkville has agreed that, upon completion of a registered offering and repayment of an aggregate $750 outstanding under the Yorkville Promissory Notes (the “Amended Repayment Amount”), Yorkville will not deliver to the Company any Investor Notice (as defined in the SEPA) and will not exercise its right to convert the remainder of the amount outstanding under the Yorkville Promissory Notes for a period commencing on the date of the closing of the offering and ending on the date that is 90 days thereafter (the “Stand-still Period”); provided that the Company will seek any consents necessary to allow Yorkville to issue Investor Notices or exercise its right to convert the remainder of the amount outstanding under the Yorkville Promissory Notes after a period of 60 days following the closing of the offering. Under the Amended Debt Repayment Agreement, the Company and Yorkville also agreed to extend the maturity date of the Yorkville Promissory Notes to the date that is 120 days after the closing of the offering and to satisfy the $75 payment premium due in connection with an early redemption through the issuance of an Advance Notice for shares of Class A Common Stock (the “Q2 Prepayment Premium”). The Amended Debt Repayment Agreement was conditioned on the completion of the offering by May 29, 2024, which condition was satisfied upon the closing of the offering on May 28, 2024 (the "May 2024 Offering").</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terms of the Amended Repayment Agreement, the Company made a cash principal payment of $750 on May 31, 2024 (the “Repayment Date”), and issued an Advance Notice for the purchase of 60 shares of Class A Common Stock (the “Premium Advance Shares”) (representing the number of shares the Company reasonably believed would be sufficient to result in net proceeds of $75 as of the Repayment Date) (the “Premium Advance”). The total purchase price for the Premium Advance was $110, of which $75 was applied in satisfaction of the Payment Premium, and the remaining $35 was paid by Yorkville to the Company in cash (the “Cash Surplus”). The Premium Advance Shares were recorded at fair value totaling $116 on the Repayment Date, and the excess of fair value over the Cash Surplus was recorded to the consolidated statement of operations in line Yorkville prepayment premium expense.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20, 2024, the Company entered into a Floor Price Reduction Agreement (the “Floor Price Reduction Agreement”) with Yorkville. The Company and Yorkville, pursuant to the Floor Price Adjustment Agreement, agreed to amend and restate the prior repayment agreements such that the outstanding principal under the Amended Debt Repayment Agreement was reduced to $0.7 million, with no remaining interest, the floor price, as described in the Outstanding Promissory Notes, was adjusted to $400.00 per share, and the maturity date for the Outstanding Promissory Notes is extended by 120 days to January 17, 2025.</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Yorkville Promissory Notes have a maturity date (as modified by the Floor Price Reduction Agreement) of January 17, 2025, and accrue interest at 0% per annum, subject to an increase to 18% per annum upon events of default as defined in the agreement. As of March 31, 2026, no events of default have occurred.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Yorkville has the right to convert any portion of the outstanding principal into shares of Class A common stock at any time subsequent to the Stand-still Period through maturity. The number of shares issuable upon conversion is equal to the amount of principal to be converted (as specified by Yorkville) divided by the Conversion Price (as defined in the Standby Equity Purchase Agreement disclosure in </w:t>
      </w:r>
      <w:r>
        <w:rPr>
          <w:rFonts w:ascii="Times New Roman" w:cs="Times New Roman" w:eastAsia="Times New Roman" w:hAnsi="Times New Roman"/>
          <w:sz w:val="18"/>
          <w:szCs w:val="18"/>
          <w:i w:val="1"/>
          <w:iCs w:val="1"/>
          <w:color w:val="auto"/>
        </w:rPr>
        <w:t>Note 14 – Equity</w:t>
      </w:r>
      <w:r>
        <w:rPr>
          <w:rFonts w:ascii="Times New Roman" w:cs="Times New Roman" w:eastAsia="Times New Roman" w:hAnsi="Times New Roman"/>
          <w:sz w:val="18"/>
          <w:szCs w:val="18"/>
          <w:color w:val="auto"/>
        </w:rPr>
        <w:t>). Yorkville will not have the right to convert any portion of the principal to the extent that after giving effect to such conversion, Yorkville would beneficially own in excess of 9.99% of the total number of shares of Class A Common Stock outstanding after giving effect to such conversion.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the Company, at its option, shall have the right, but not the obligation, to redeem early a portion or all amounts outstanding under the Promissory Notes at a redemption amount equal to the outstanding principal balance being repaid or redeemed, plus a 10% prepayment premium, plus all accrued and unpaid interest; provided that (i) the Company provides Yorkville with no less than ten trading days’ prior written notice thereof and (ii) on the date such notice is issued, the VWAP of the Class A Common Stock is less than the Fixed Price.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the occurrence of certain triggering events, as defined in the Yorkville Promissory Notes agreement (each an "Amortization Event"), the Company may be required to make monthly repayments of amounts outstanding under the Yorkville Promissory Notes, with each monthly repayment to be in an amount equal to the sum of (x) $1 million, plus (y) 10% in respect of such amount, and (z) all outstanding accrued and unpaid interest as of each payment date.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During January 2024, the Company’s stock price fell below the then in effect Floor Price (as defined in the Standby Equity Purchase Agreement disclosure in </w:t>
      </w:r>
      <w:r>
        <w:rPr>
          <w:rFonts w:ascii="Times New Roman" w:cs="Times New Roman" w:eastAsia="Times New Roman" w:hAnsi="Times New Roman"/>
          <w:sz w:val="18"/>
          <w:szCs w:val="18"/>
          <w:i w:val="1"/>
          <w:iCs w:val="1"/>
          <w:color w:val="auto"/>
        </w:rPr>
        <w:t>Note 14 – Equity</w:t>
      </w:r>
      <w:r>
        <w:rPr>
          <w:rFonts w:ascii="Times New Roman" w:cs="Times New Roman" w:eastAsia="Times New Roman" w:hAnsi="Times New Roman"/>
          <w:sz w:val="18"/>
          <w:szCs w:val="18"/>
          <w:color w:val="auto"/>
        </w:rPr>
        <w:t>) of $400.00 per share for five trading days during a period of seven consecutive trading days (an Amortization Event under the terms of the December Yorkville Convertible Note agreement), thus triggering amortization payments under the terms of the December Yorkville Convertible Note. On January 24, 2024, Yorkville agreed to waive the Amortization Event trigger, prior to the date upon which any amortization payment would have been required. As discussed in the definitions below, the Floor Price was reset on February 14, 2024, in conjunction with the effective date of the Company’s Registration Statement, at a price of $58.80 per share of Class A Common Stock, thus curing the Amortization Event condition.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2024, $2.0 million of the full outstanding principal under the December Yorkville Convertible Note, respectively, was converted into 1,377 shares of Class A Common stock of the Company. During the year ended December 31, 2024, the full principal amount of $1.0 million under the February Yorkville Promissory Note was converted into 245 Class A Common stock of the Company. During the year ended December 31, 2024, the full outstanding principal amount of $750 under the March Yorkville Promissory Note was converted into 750 shares of Class A Common Stock.</w:t>
      </w:r>
    </w:p>
    <w:p>
      <w:pPr>
        <w:spacing w:after="0" w:line="18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On January 30, 2025 (the “Issuance Date”), in connection with and pursuant to the terms of the SEPA (refer to </w:t>
      </w:r>
      <w:r>
        <w:rPr>
          <w:rFonts w:ascii="Times New Roman" w:cs="Times New Roman" w:eastAsia="Times New Roman" w:hAnsi="Times New Roman"/>
          <w:sz w:val="18"/>
          <w:szCs w:val="18"/>
          <w:i w:val="1"/>
          <w:iCs w:val="1"/>
          <w:color w:val="auto"/>
        </w:rPr>
        <w:t>Note 14 – Equity</w:t>
      </w:r>
      <w:r>
        <w:rPr>
          <w:rFonts w:ascii="Times New Roman" w:cs="Times New Roman" w:eastAsia="Times New Roman" w:hAnsi="Times New Roman"/>
          <w:sz w:val="18"/>
          <w:szCs w:val="18"/>
          <w:color w:val="auto"/>
        </w:rPr>
        <w:t xml:space="preserve"> for further details), Yorkville agreed to advance to the Company, in exchange for a Convertible Promissory Note (the “January 2025 Yorkville Note”), a total principal amount of $3.5 million. The Company received net proceeds of $3,140 after an original issue discount of $350, and $10 in debt issuance costs paid to Yorkville.</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January 2025 Yorkville Note had a maturity date of July 31, 2025, but may be extended at the option of the Company. Beginning on the 30</w:t>
      </w:r>
      <w:r>
        <w:rPr>
          <w:rFonts w:ascii="Times New Roman" w:cs="Times New Roman" w:eastAsia="Times New Roman" w:hAnsi="Times New Roman"/>
          <w:sz w:val="9"/>
          <w:szCs w:val="9"/>
          <w:color w:val="auto"/>
        </w:rPr>
        <w:t>th</w:t>
      </w:r>
      <w:r>
        <w:rPr>
          <w:rFonts w:ascii="Times New Roman" w:cs="Times New Roman" w:eastAsia="Times New Roman" w:hAnsi="Times New Roman"/>
          <w:sz w:val="18"/>
          <w:szCs w:val="18"/>
          <w:color w:val="auto"/>
        </w:rPr>
        <w:t> day from the Issuance Date, and continuing on the same day of each successive calendar month thereafter, (each, an “Installment Date”), the Company shall repay a portion of the outstanding balance of the January 2025 Yorkville Note in an amount equal to the sum of (i) $1.0 million of principal (or the outstanding Principal if less than such amount), plus (ii) a payment premium (in an amount equal to 4% of the Principal amount being paid (the “Payment Premium”), and (iii) accrued and unpaid interest as of each Installment Date (collectively, the “Installment Amount”). The Company maintains the right to pay each Installment Amount in cash or via an Advance Notice pursuant to the SEPA or any combination thereof. The January 2025 Yorkville Note bears an interest rate of 0% for the first 90 days following the Issuance Date, and 6% thereafter (the “Interest Rate”). The Interest Rate shall increase to an annual rate of 18% upon the occurrence of an Event of Default (as defined by the January 2025 Yorkville Note). The January 2025 Yorkville Note is convertible into shares of the Company’s Class A common stock, par value $0.0001 per share (the “Class A Common Stock”), at a conversion price of $400.00 per share (the “Conversion Price”). The Investor may elect to convert part or all of the outstanding balance of the Note at any time or from time to time after the Issuance Date. The Company may prepay the outstanding amount at any time, in whole or in part, subject to a 4% premium, provided that (i) the Company provides the Investor with at least 10 trading days’ prior written notice (each, a “Redemption Notice”) of its desire to prepay the outstanding amount (an “Optional Redemption”), and (ii) on the date the Redemption Notice is issued, the VWAP of the Class A Common Stock is less than the Conversion Price. Pursuant to the January 2025 Yorkville Note, the Company made payments totaling approximately $3,640, of which approximately $3,500 was applied against outstanding principal, and approximately $140 was paid to Yorkville as Payment Premiums and expensed as incurred. As of June 30, 2025, the January 2025 Yorkville Note was fully repaid.</w:t>
      </w:r>
    </w:p>
    <w:p>
      <w:pPr>
        <w:spacing w:after="0" w:line="1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16, 2025, the Company entered into a Convertible Promissory Note (the “September 2025 Yorkville Note”) with Yorkville in principal amount of $2.0 million (the “Original Principal Amount”) to the Company, to be used as an advance under the SEPA. The Company received $890 from the Investor on that same date (“Advance #1), which reflects 50% of the Original Principal Amount, less 10% discount, and certain fees owed at such time. Upon the effectiveness of the registration statement on Form S-1, originally filed with the SEC on September 12, 2025 (File No. 333-290241) and the delivery of a closing statement, the Company received the remaining 50% of the Original Principal Amount, or $1.0 million, less 10% discount of the Original Principal Amount, netted from the purchase price due and structured as a purchase discount (“Advance #2”).</w:t>
      </w:r>
    </w:p>
    <w:p>
      <w:pPr>
        <w:spacing w:after="0" w:line="18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September 2025 Yorkville Note was issued on September 16, 2025 and the maturity date of the September 2025 Yorkville Note is March 16, 2026, but may be extended at the option of the Company. Beginning on the 30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day from the date of issuance, and continuing on the same day of each successive calendar month thereafter, (each, an “Installment Date”), the Company shall repay a portion of the outstanding balance of the Note in an amount equal to the sum of (i) $500 of principal (or the outstanding Principal if less than such amount), plus (ii) a payment premium in an amount equal to 4% of the Principal amount being paid (the “Payment Premium”), and (iii) accrued and unpaid interest hereunder as of each Installment Date (collectively, the “Installment Amount”). The Company maintains the right to pay each Installment Amount in cash or via an Advance Notice pursuant to the SEPA or any combination thereof. The September 2025 Yorkville Note bears an interest annual rate of 6%, which shall increase to 18% upon the occurrence of an Event of Default, as defined in the September 2025 Yorkville Note. The September 2025 Yorkville Note is convertible into shares of the Company’s Class A common stock, par value $0.0001 per share, at a conversion price of $50.00 per share (the “Conversion Price”). The Investor may elect to convert part or all of the outstanding balance of the September 2025 Yorkville Note at any time or from time to time after the date of issuance. The Company maintains the right to redeem all or any part of the September 2025 Yorkville Note, at any time, provided that (i) the Company provides the Investor with at least 10 trading days’ prior written notice (each, a “Redemption Notice”) of its desire to prepay the outstanding amount (an “Optional Redemption”), and (ii) on the date the Redemption Notice is issued, the VWAP of the Class A Common Stock is less than the Conversion Price.</w:t>
      </w:r>
    </w:p>
    <w:p>
      <w:pPr>
        <w:spacing w:after="0" w:line="1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6, 2025, the Company issued an Advance Notice to Yorkville pursuant to the SEPA in which the Company requested the purchase of 5,750 shares of the Company's Class A Common Stock at a purchase price of $61.60 for a total purchase price of $354 to</w:t>
      </w: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 applied against the outstanding Yorkville Convertible Notes. Upon settlement on October 8, 2025, the Company issued 5,750 shares of Class A Common Stock to Yorkville.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13, 2025, the Company issued an Advance Notice to Yorkville pursuant to the SEPA in which the Company requested the purchase of 3,250 shares of the Company's Class A Common Stock at a purchase price of $59.00 for a total purchase price of $191 to be applied against the outstanding Yorkville Convertible Notes. Upon settlement on October 15, 2025, the Company issued 3,250 shares of Class A Common Stock to Yorkville.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and Convertible notes - related party (CP BF)</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2021, the Company entered into a loan agreement with CP BF Lending, LLC (“CP BF”) comprised of a Term Note and a Convertible Note. The Term Note bears cash interest at a rate of 14% per annum paid monthly and accrued interest payable-in-kind (“PIK”) cumulatively at 1.5% per annum. The outstanding principal balance of the Term Note together with accrued and unpaid interest thereon, unpaid fees and expenses and any other Obligations then due, shall be paid on February 19, 2025 (“Loan Maturity Date”). The Convertible Note accrues PIK interest cumulatively at a rate of 15.5% per annum, and is convertible into Class A Common Stock upon Qualified Financing (as defined in the agreement), upon a Change of Control (as defined in the agreement), upon Prepayment, or at Maturity at a conversion price, which was $50.00 per unit at March 31, 2026. If not sooner converted or prepaid, the Convertible Note principal together with accrued and unpaid interest thereon, unpaid fees and expenses and any other Obligations then due, shall be paid on the Loan Maturity Date.</w:t>
      </w:r>
    </w:p>
    <w:p>
      <w:pPr>
        <w:spacing w:after="0" w:line="1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all respective periods presented, the Company was not in compliance with the Minimum Gross Profit Margin covenant in section 7.14.1 of the Loan Agreement, the Minimum ARR Growth covenant in section 7.14.2 of the Loan Agreement, and the Fixed Charge Coverage Ratio covenant in section 7.14.3 of the Loan Agreement. As a result of the Company's noncompliance with the financial covenants, the entire principal amount and all unpaid and accrued interest will be classified as current on the Company's consolidated balance sheets.</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10, 2022 the Loan Agreement was amended, where CP BF waived payment by the Company of four months of cash interest with respect to the Term Note in replacement for a Convertible Note (“First Amendment Convertible Note”) in the principal amount of $321, which is not considered an Additional Loan as defined above. The First Amendment Convertible Note has the same features as the Convertible Note described above.</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effective interest rate for the Term Note was 16% and interest expense totaled $851 for the year ended December 31, 2024, comprised of $773 of contractual interest and $79 of amortization of the discount. The effective interest rate for the CP BF Convertible Note and First Amendment Convertible Note was 16% for the year ended December 31, 2024. For the year ended December 31, 2024, interest expense on the Convertible Notes totaled $350 comprised of $326 of contractual interest and $25 for the amortization of the discount.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notes - related party (CP BF restructuring)</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September 5, 2024, the Company entered into a side letter to the loan agreement with CP BF whereby the Company agreed to consolidate the Term Note, CP BF Convertible Note and First Amendment Convertible Note (combined the "Old CP BF Notes") into a single convertible note (the "2024 CP BF Convertible Note"). In accordance with FASB ASC 470,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the Company treated the Old CP BF Notes as extinguished and recognized a loss on debt extinguishment of $6.5 million, determined by the sum of the fair value of the 2024 CP BF Convertible Note, plus the fair value of the additional equity consideration given as part of the side letter and share purchase agreement, as discussed below, in excess of the carrying value of the Old CP BF Notes. After consideration of the below transactions CP BF was determined to be a related party as they owned approximately 16% of the outstanding Class A Common Stock.</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conjunction with the side letter, the Company agreed to issue to CP BF, 350 shares of the Company's Class A Common Stock. On September 23, 2024 the transaction was finalized and the Company issued the 2024 CP BF Convertible Note with a principal amount of $10.8 million. The outstanding principal balance of the 2024 CP BF Convertible Note together with accrued interest thereon, unpaid fees and expenses and any other Obligations then due, shall be paid on February 19, 2027 (“2024 Loan Maturity Date”). The 2024 CP BF Convertible Note accrues interest at a rate of 15.5% which interest shall be paid in kind monthly and is convertible at the holder's option at any time on or following the effectiveness of the first resale registration statement covering the applicable conversion shares at a fixed conversion price per share of $778.00. Upon the occurrence, and during the continuance, of an Event of Default (as defined in the agreement), interest on the 2024 CP BF Convertible Note will bear PIK interest at a per annum rate of 20% (“2024 Default Rate.”)</w:t>
      </w:r>
    </w:p>
    <w:p>
      <w:pPr>
        <w:spacing w:after="0" w:line="1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voluntarily prepay the principal of the 2024 CP BF Convertible Note, in accordance with their terms, in whole or in part at any time. On the date of any such prepayment, the Company will owe to Lender: (i) all accrued interest with respect to the</w:t>
      </w: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3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principal amount so prepaid through the date the prepayment is made and (ii) the Exit Fee with respect to the principal amount so prepaid, calculated as 1.0% of the outstanding principal balance of the loans, with only the portion of the principal balance so converted counted for purposes of determining the applicable Exit Fee; and provided further, that, in the event of a partial prepayment of the loans, the Exit Fee shall be calculated on the principal amount so repaid and not on the entire outstanding principal balance thereof, and (iii) all other Obligations, if any, that shall have become due and payable hereunder with respect to the principal amount so prepaid. The 2024 CP BF Convertible Note obtain features that relate to the mandatory prepayment, either partially or in whole, upon certain contingent events.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2024 CP BF Convertible Note has an embedded redemption put feature upon a Prepayment and Default Interest triggering events. For further discussion of this derivative see </w:t>
      </w:r>
      <w:r>
        <w:rPr>
          <w:rFonts w:ascii="Times New Roman" w:cs="Times New Roman" w:eastAsia="Times New Roman" w:hAnsi="Times New Roman"/>
          <w:sz w:val="18"/>
          <w:szCs w:val="18"/>
          <w:i w:val="1"/>
          <w:iCs w:val="1"/>
          <w:color w:val="auto"/>
        </w:rPr>
        <w:t>Note 7 – Fair Value Measurements.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October 2024, CP BF exercised its optional conversion option in which it received 278 Class A Common Stock at the fixed conversion price per share of $778.00 in satisfaction of $216 of the Company's obligations under the 2024 CP BF Convertible Note.</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September 23, 2024, the Company entered into a Securities Purchase Agreement (the “CP BF SPA”), a Registration Rights Agreement (the “CP BF RRA”), a Lock-Up Agreement (the “CP BF Lock Up”) and issued CP BF a Common Stock Purchase Warrant (the “CP BF Warrant”) and a Pre-Funded Warrant (the “CP BF Pre-Funded Warrant,” together with the CP BF SPA, CP BF RRA, CP BF Lock Up and CP BF Warrant, the “CP BF Transaction Documents”). Pursuant to the CP BF SPA, CP BF agreed to convert $2.0 million in debt into 1,305 shares of Class A Common Stock, CP BF Warrants to purchase up to 2,843 shares of Class A Common Stock and CP BF Pre-Funded Warrants to purchase up to 1,524 shares of Class A Common Stock (all such securities and shares collectively referred to as the “CP BF Registrable Securities”). The CP BF Warrant can be exercised at an initial exercise price of $778.00 per share, subject to adjustment for a term of five years. The CP BF Pre-Funded Warrant will be exercisable at any time after the date of issuance at an exercise price of $0.0001. Neither warrant may be exercised if the holder, together with its affiliates, would beneficially own more than 19.99% of the number of shares of Common Stock outstanding immediately after giving effect to such exercise. Both warrants may be exercised via cash or cashless exercise. Pursuant to the CP BF RRA, the Company agreed to file a registration statement to register the CP BF Registrable Securities and for the registration statement to become effective on or before December 9, 2024. Under the CP BF Lock-Up, the Company’s CEO, Joseph Davy, agreed not to sell an aggregate of 11,556 shares of Class B Common Stock that he owns until such time as CP BF no longer owns any of the CP BF Registrable Securities.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24, 2024, the Company entered into a securities purchase agreement with an institutional investor for the issuance and sale in a private placement with gross proceeds to the Company of approximately $4.6 million. One of the contingent redemption features in the 2024 CP BF Convertible Note relates to the Company prepaying, either partially or in whole, the obligations upon the sale of the Company's capital stock equal to 20% of the cash proceeds in excess of $3.0 million. For the year ended December 31, 2025, the Company paid a total of $2,840 which satisfied outstanding principal under the 2024 CP BF Convertible Note.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 interest rate for the 2024 CP BF Convertible Note was approximately 15.4% as of March 31, 2026. For the three months ended March 31, 2026 and 2025, interest expense on the 2024 CP BF Convertible Note totaled $194 and $335,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2024 CP BF Convertible Note as of March 31, 2026 and December 31, 2025:</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520" w:type="dxa"/>
            <w:vAlign w:val="bottom"/>
            <w:tcBorders>
              <w:bottom w:val="single" w:sz="8" w:color="auto"/>
            </w:tcBorders>
          </w:tcPr>
          <w:p>
            <w:pPr>
              <w:spacing w:after="0"/>
              <w:rPr>
                <w:sz w:val="15"/>
                <w:szCs w:val="15"/>
                <w:color w:val="auto"/>
              </w:rPr>
            </w:pPr>
          </w:p>
        </w:tc>
      </w:tr>
      <w:tr>
        <w:trPr>
          <w:trHeight w:val="169"/>
        </w:trPr>
        <w:tc>
          <w:tcPr>
            <w:tcW w:w="57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10"/>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Face value of the CP BF convertible notes</w:t>
            </w:r>
          </w:p>
        </w:tc>
        <w:tc>
          <w:tcPr>
            <w:tcW w:w="2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8,759</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8,759</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Debt premium, net</w:t>
            </w:r>
          </w:p>
        </w:tc>
        <w:tc>
          <w:tcPr>
            <w:tcW w:w="2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Carrying value of the CP BF convertible notes</w:t>
            </w:r>
          </w:p>
        </w:tc>
        <w:tc>
          <w:tcPr>
            <w:tcW w:w="2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8,759</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8,759</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1,752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1,558</w:t>
            </w:r>
          </w:p>
        </w:tc>
      </w:tr>
      <w:tr>
        <w:trPr>
          <w:trHeight w:val="216"/>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Prepayments made</w:t>
            </w:r>
          </w:p>
        </w:tc>
        <w:tc>
          <w:tcPr>
            <w:tcW w:w="2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(5,012)</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(5,012)</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Conversions</w:t>
            </w:r>
          </w:p>
        </w:tc>
        <w:tc>
          <w:tcPr>
            <w:tcW w:w="2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w:t>
            </w:r>
          </w:p>
        </w:tc>
      </w:tr>
      <w:tr>
        <w:trPr>
          <w:trHeight w:val="230"/>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CP BF convertible notes and accrued interest</w:t>
            </w:r>
          </w:p>
        </w:tc>
        <w:tc>
          <w:tcPr>
            <w:tcW w:w="2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5,117</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4,923</w:t>
            </w:r>
          </w:p>
        </w:tc>
      </w:tr>
      <w:tr>
        <w:trPr>
          <w:trHeight w:val="20"/>
        </w:trPr>
        <w:tc>
          <w:tcPr>
            <w:tcW w:w="5720" w:type="dxa"/>
            <w:vAlign w:val="bottom"/>
            <w:tcBorders>
              <w:top w:val="single" w:sz="8" w:color="CFF0FC"/>
            </w:tcBorders>
            <w:shd w:val="clear" w:color="auto" w:fill="CFF0FC"/>
          </w:tcPr>
          <w:p>
            <w:pPr>
              <w:spacing w:after="0" w:line="20" w:lineRule="exact"/>
              <w:rPr>
                <w:sz w:val="1"/>
                <w:szCs w:val="1"/>
                <w:color w:val="auto"/>
              </w:rPr>
            </w:pPr>
          </w:p>
        </w:tc>
        <w:tc>
          <w:tcPr>
            <w:tcW w:w="20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-24765</wp:posOffset>
            </wp:positionV>
            <wp:extent cx="1028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-8255</wp:posOffset>
            </wp:positionV>
            <wp:extent cx="10287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CP BF Letter Agreement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14, 2025, the Company and CP BF executed a letter agreement dated October 10, 2025, pursuant to which they amended certain terms of the Loan Agreement and Note (as amended on October 15, 2025, the “CP BF Letter Agreement”). The CP BF Letter Agreement amended the Conversion Price, as defined, to ninety-five percent (95%) of the price of the Class A Common Stock on the trading day immediately preceding delivery of any Conversion Notice, subject to a floor price of $50.00. The CP BF Letter Agreement</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included an amendment that CP BF shall take commercially reasonable actions to partially convert the balance outstanding under the Note as of the CP BF Letter Agreement date (the "Balance") into shares of the Company's Class A Common Stock at the new conversion price. The CP BF Letter Agreement limits the amount of shares that CP BF can sell or convert to five percent (5%) of the aggregate daily trading volume however the Company has the right waive or increase such limitation at its discretion. The CP BF Letter Agreement also stipulates that between the time that the Company pays down at least $2.0 million against the Balance until the earlier of (a) 60 days following the date of the CP BF Letter Agreement and (b) receipt of $10.0 million in gross proceeds from the sale of Company securities, the Company will no longer be required to prepay a certain percentage of other proceeds received from securities offerings to CP BF, as stipulated in the Loan Agreement.</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CP BF Letter Agreement, the parties agreed to use an agreed-upon portion of other debt to partially prepay the balance outstanding under the Note as of the CP BF Letter Agreement date (the "Balance"). The Company also agreed to reserve that number of shares of Class A Common Stock equal to 120% of the number of shares of Class A Common Stock issuable upon full conversion of the Balance at the new conversion price and to register 100% of all such shares with the SEC within 60 days of the CP BF Letter Agreement. As per the CP BF Letter Agreement, subject to the receipt by CP BF of $2.0 million and the filing of the registration statement, CP BF also agreed to waive certain events of default that may have occurred or be occurring as of the date of the CP BF Letter Agreement; CP BF also agreed that until December 31, 2025, it shall not exercise any right or remedy associated with any failure on the part of the Company to comply with certain financial covenants set forth in the Loan Agreement, as they relate to the period ending September 30, 2025.</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failure to comply with the Letter Agreement shall constitute an Event of Default under the Loan Agreement.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CP BF Conversions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Between October 17, 2025 and December 31, 2025, CP BF exercised its optional conversion option multiple times and received an aggregate of 3,135 shares of Class A Common Stock at conversion prices per share ranging from $54.20 to $55.00 in satisfaction of $165 of the Company's obligations under the 2024 CP BF Convertible Note.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payable, carried at fair value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Agile Term Notes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22, 2024, the Company entered into a subordinated business loan and security agreement (the "July Subordinated Business Loan and Security Agreement") with Agile Lending, LLC ("Agile") and Agile Capital Funding, LLC as the collateral agent ("Agile Funding") and issued a subordinated secured promissory note (the “July Agile Note”) for an aggregate principal amount of $788 and received net proceeds of $750, after administrative agent fees of $38 paid to Agile Funding, with a maturity date of February 5, 2025. The July Agile Note bears interest at a rate of 42%.</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13, 2024, the Company entered into a subordinated business loan and security agreement (the "September Subordinated Business Loan and Security Agreement") with Agile and Agile Funding and issued a subordinated secured promissory note (the “September Agile Note”) for an aggregate principal amount of $263 and received net proceeds of $250, after administrative agent fees of $13 paid to Agile Funding, with a maturity date of March 3, 2025. The September Agile Note bears interest at a rate of 48%.</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12, 2024, the Company issued a subordinated secured promissory note (the “December Agile Note”) for an aggregate principal amount of $2,400 and received net proceeds of $1,782, after administrative agent fees of $120 paid to Agile Funding, and net of payments to Agile of $320 and $178 in respect to early prepayment of the remaining outstanding balances of the July Agile Note and September Agile Note. The December Agile Note has a maturity date of July 10, 2025 and bears interest at a rate of 44%.</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the modification on December 12, 2024, the Company evaluated the debt modification guidance, determining that the modification is an extinguishment of the existing July Agile Note and September Agile Note due to the terms of the December Agile Note being substantially different from the terms of the July and September Agile Notes. As a result, the Company recorded a loss on debt extinguishment of $1,072.</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31, 2025, the Company issued a subordinated secured promissory note (the “March Agile Note”) for an aggregate principal amount of $4,000 and received net proceeds of $2,044, after administrative agent fees of $200 paid to Agile Funding, and net of payments to Agile of $1,756 in respect to early prepayment of the remaining outstanding balances of the December Agile Note. The March Agile Note has a maturity date of November 12, 2025 and bears interest at a rate of 44%.</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the modification on March 31, 2025, the Company evaluated the debt modification guidance, determining that the modification is an extinguishment of the existing December Agile Note due to the terms of the March Agile Note being substantially different from the terms of the December Agile Notes. As a result, the Company recorded a loss on debt extinguishment of $1,770.</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12, 2025, the Company issued a subordinated secured promissory note (the “June Agile Note”) for an aggregate principal amount of $263 and received net proceeds of $250, after administrative agent fees $13 paid to Agile Funding. The June Agile note has a maturity date of December 15, 2025 and bears interest at a rate of 48%.</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30, 2026, the Company issued a subordinated secured promissory note (the “March 2026 Agile Note”) for an aggregate principal amount of $90 and received net proceeds of $85, after administrative agent fees $5 paid to Agile Funding. The March 2026 Agile note has a maturity date of October 27, 2026 and bears interest at a rate of 44%.</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July Agile Note, the September Agile Note, the December Agile Note, the March Agile Note, June Agile Note, and the March 2026 Agile Note are together referred to as the “Agile Notes.” Interest on the Agile Notes is calculated on a 360 day year based on the actual number of days lapsed, and accrues commencing on and including the effective date pursuant to the respective agreement's weekly repayment and amortization schedule.</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collateral under the July and September Subordinated Business Loan and Security Agreements consist of all of the Company’s goods, accounts, equipment, inventory, contract rights or rights to payment of money, leases, license agreements, franchise agreements, general intangibles (including intellectual property), commercial tort claims, documents, instruments (including any promissory notes), chattel paper (whether tangible or electronic), cash, deposit accounts and other collateral accounts, all certificates of deposit, fixtures, letters of credit rights, securities, and all other investment property, supporting obligations, and financial assets. Upon any Changes in Business or Management, Ownership (as defined in the agreements) or upon an Event of Default (as defined in the agreements), each of the July Agile Note and or the September Agile Note then-outstanding will become accelerated and the Company shall immediately pay to Agile an amount equal to the sum of (i) all outstanding principal of the term loan plus accrued and unpaid interest thereon accrued through the prepayment date, (ii) a Prepayment Fee (as defined in the agreements), plus (iii) all other obligations that are due and payable, including, without limitation, incremental interest at the Default Rate of 5.0% (as defined in the agreements). Additionally, the Company may voluntarily prepay the July Agile Note and or the September Agile Note, in accordance with their terms, in whole or in part at any time. On the date of such prepayment of any principal amounts, the Company will owe to Agile a Prepayment Fee comprising a make-whole premium payment on account of such principal amount prepaid, which shall be equal to the aggregate and actual amount of interest (at the contract rate of interest) that would be paid through the maturity date of the respective note, as described above.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Agile Notes include contingent redemption (put) rights which trigger mandatory prepayment and a make-whole premium upon certain events including an event of default, and defaulted contingent interest upon an event of default. For further discussion of this derivative, see </w:t>
      </w:r>
      <w:r>
        <w:rPr>
          <w:rFonts w:ascii="Times New Roman" w:cs="Times New Roman" w:eastAsia="Times New Roman" w:hAnsi="Times New Roman"/>
          <w:sz w:val="18"/>
          <w:szCs w:val="18"/>
          <w:i w:val="1"/>
          <w:iCs w:val="1"/>
          <w:color w:val="auto"/>
        </w:rPr>
        <w:t>Note 7 – 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Following the issuance of the March Agile Note, the Company entered into a series of exchange and forbearance arrangements with Agile and Agile Funding, relating to the outstanding balance of the March Agile Note.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11, 2025, the remaining principal and accrued and unpaid interest under the March Agile Note was approximately $1,495. On December 15, 2025, the Company entered into a forbearance agreement with Agile and Agile Funding, pursuant to which Agile agreed to forbear from exercising its rights and remedies under the March Agile Note and related loan documents in connection with existing defaults. In consideration for such forbearance, the outstanding balance of the March Agile Note was increased to $2,123.</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the modification on December 15, 2025, the Company evaluated the debt modification guidance, determining that the modification is an extinguishment of the March Agile Note due to the terms of the March Agile Note after the modification being substantially different from before the modification as a result of the forbearance agreement. As a result, the Company recorded a loss on debt extinguishment of $633.</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15, 2025, the Company entered into an exchange agreement with Agile ("Agile Exchange Agreement") pursuant to which the Company issued 11,640 shares of its Class A common stock in exchange for a reduction of $284 in the outstanding balance of the March Agile Note. Following this exchange, the outstanding balance of the March Agile Note was reduced to approximately $1,839.</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Between January 27, 2026 and March 27, 2026, the Company entered into multiple exchange agreements with Agile on substantially similar terms as the Agile Exchange Agreement pursuant to which the Company issued an aggregate of 29,306 shares of its Class A common stock at conversion prices per share ranging from $21.40 to $23.04 in exchange for a reduction of $660 in the outstanding balance of the March Agile Note. Following these exchanges, the outstanding balance of the March Agile Note was reduced to approximately $1,179.</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on the Agile Notes totaled $0 and $450 for the three months ended March 31, 2026 and 2025, respectively.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presents the Agile Notes for the three months ended March 31, 2026:</w:t>
            </w:r>
          </w:p>
        </w:tc>
        <w:tc>
          <w:tcPr>
            <w:tcW w:w="440" w:type="dxa"/>
            <w:vAlign w:val="bottom"/>
          </w:tcPr>
          <w:p>
            <w:pPr>
              <w:spacing w:after="0"/>
              <w:rPr>
                <w:sz w:val="20"/>
                <w:szCs w:val="20"/>
                <w:color w:val="auto"/>
              </w:rPr>
            </w:pPr>
          </w:p>
        </w:tc>
        <w:tc>
          <w:tcPr>
            <w:tcW w:w="2640" w:type="dxa"/>
            <w:vAlign w:val="bottom"/>
          </w:tcPr>
          <w:p>
            <w:pPr>
              <w:spacing w:after="0"/>
              <w:rPr>
                <w:sz w:val="20"/>
                <w:szCs w:val="20"/>
                <w:color w:val="auto"/>
              </w:rPr>
            </w:pPr>
          </w:p>
        </w:tc>
      </w:tr>
      <w:tr>
        <w:trPr>
          <w:trHeight w:val="432"/>
        </w:trPr>
        <w:tc>
          <w:tcPr>
            <w:tcW w:w="81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Agile Term Notes</w:t>
            </w:r>
          </w:p>
        </w:tc>
      </w:tr>
      <w:tr>
        <w:trPr>
          <w:trHeight w:val="210"/>
        </w:trPr>
        <w:tc>
          <w:tcPr>
            <w:tcW w:w="8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6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1,728</w:t>
            </w: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Agile term notes</w:t>
            </w:r>
          </w:p>
        </w:tc>
        <w:tc>
          <w:tcPr>
            <w:tcW w:w="440" w:type="dxa"/>
            <w:vAlign w:val="bottom"/>
          </w:tcPr>
          <w:p>
            <w:pPr>
              <w:spacing w:after="0"/>
              <w:rPr>
                <w:sz w:val="18"/>
                <w:szCs w:val="18"/>
                <w:color w:val="auto"/>
              </w:rPr>
            </w:pPr>
          </w:p>
        </w:tc>
        <w:tc>
          <w:tcPr>
            <w:tcW w:w="2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8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issuance</w:t>
            </w:r>
          </w:p>
        </w:tc>
        <w:tc>
          <w:tcPr>
            <w:tcW w:w="440" w:type="dxa"/>
            <w:vAlign w:val="bottom"/>
            <w:shd w:val="clear" w:color="auto" w:fill="CFF0FC"/>
          </w:tcPr>
          <w:p>
            <w:pPr>
              <w:spacing w:after="0"/>
              <w:rPr>
                <w:sz w:val="18"/>
                <w:szCs w:val="18"/>
                <w:color w:val="auto"/>
              </w:rPr>
            </w:pPr>
          </w:p>
        </w:tc>
        <w:tc>
          <w:tcPr>
            <w:tcW w:w="26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Conversions</w:t>
            </w:r>
          </w:p>
        </w:tc>
        <w:tc>
          <w:tcPr>
            <w:tcW w:w="440" w:type="dxa"/>
            <w:vAlign w:val="bottom"/>
          </w:tcPr>
          <w:p>
            <w:pPr>
              <w:spacing w:after="0"/>
              <w:rPr>
                <w:sz w:val="18"/>
                <w:szCs w:val="18"/>
                <w:color w:val="auto"/>
              </w:rPr>
            </w:pP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r>
      <w:tr>
        <w:trPr>
          <w:trHeight w:val="216"/>
        </w:trPr>
        <w:tc>
          <w:tcPr>
            <w:tcW w:w="8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440" w:type="dxa"/>
            <w:vAlign w:val="bottom"/>
            <w:tcBorders>
              <w:bottom w:val="single" w:sz="8" w:color="auto"/>
            </w:tcBorders>
            <w:shd w:val="clear" w:color="auto" w:fill="CFF0FC"/>
          </w:tcPr>
          <w:p>
            <w:pPr>
              <w:spacing w:after="0"/>
              <w:rPr>
                <w:sz w:val="18"/>
                <w:szCs w:val="18"/>
                <w:color w:val="auto"/>
              </w:rPr>
            </w:pPr>
          </w:p>
        </w:tc>
        <w:tc>
          <w:tcPr>
            <w:tcW w:w="26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111</w:t>
            </w:r>
          </w:p>
        </w:tc>
      </w:tr>
      <w:tr>
        <w:trPr>
          <w:trHeight w:val="210"/>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March 31, 2026</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6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1,299</w:t>
            </w:r>
          </w:p>
        </w:tc>
      </w:tr>
      <w:tr>
        <w:trPr>
          <w:trHeight w:val="20"/>
        </w:trPr>
        <w:tc>
          <w:tcPr>
            <w:tcW w:w="8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r>
      <w:tr>
        <w:trPr>
          <w:trHeight w:val="197"/>
        </w:trPr>
        <w:tc>
          <w:tcPr>
            <w:tcW w:w="8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16"/>
        </w:trPr>
        <w:tc>
          <w:tcPr>
            <w:tcW w:w="8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principal balance as of March 31, 2026</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6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1,269</w:t>
            </w:r>
          </w:p>
        </w:tc>
      </w:tr>
      <w:tr>
        <w:trPr>
          <w:trHeight w:val="234"/>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 as of March 31, 2026</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1800 Diagonal Convertible Notes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16, 2024, the Company entered into a securities purchase agreement and promissory note agreement (the "August Securities Purchase Agreement") with 1800 Diagonal Lending LLC (“Lender”) and issued a promissory note (the “August 1800 Diagonal Note”) for an aggregate principal amount of $184 and received net proceeds of $152, after an original issue discount of $24 and issuance costs of $8 for due diligence and legal fees. The August 1800 Diagonal Note has a maturity date of June 15, 2025 and bears interest at 12% per annum. The August Securities Purchase Agreement stipulates that the Company and Lender may mutually agree to enter into additional tranches of promissory notes over the 12 month period commencing on August 16, 2024, up to an aggregate total of $750.</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24, 2024, the Company issued a second promissory note (the “September 1800 Diagonal Note”) for an aggregate principal amount of $124,200 and received net proceeds of $100, after an original discount of $16 and issuance costs of $8 for due diligence and legal fees. The September 1800 Diagonal Note has a maturity date of July 30, 2025 and bears interest at 12% per annum.</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23, 2025, the Company exercised its conversion option under the September 1800 Diagonal Note. On the conversion date, the September 1800 Diagonal Note had a fair value of $17 and converted into 352 shares of the Company's Class A Common Stock in satisfaction of $17 of the Company's obligations under the September 1800 Diagonal Note.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10, 2024, the Company issued a third promissory note (the “December 1800 Diagonal Note”) for an aggregate principal amount of $124 and received net proceeds of $100, after an original discount of $16 and issuance costs of $8 for due diligence and legal fees. The December 1800 Diagonal Note has a maturity date of October 15, 2025 and bears interest at 12% per annum.</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22, 2025, the Company exercised its conversion option under the December 1800 Diagonal Note. On the conversion date, the December 1800 Diagonal Note had a fair value of $58 and converted into 999 shares of the Company's Class A Common Stock in satisfaction of $52 of the Company's obligations under the December 1800 Diagonal Note.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7, 2025, the Company issued a fourth promissory note (the “February 1800 Diagonal Note”) for an aggregate principal amount of $124 and received net proceeds of $100, after an original discount of $16 and issuance costs of $8 for due diligence and legal fees. The February 1800 Diagonal Note has a maturity date of December 15, 2025 and bears interest at 12% per annum. On August 11, 2025, the Company exercised its conversion option under the February 1800 Diagonal Note. On the conversion date, the February 1800 Diagonal Note had a fair value of $81 and converted into 1,639 shares of the Company's Class A Common Stock in satisfaction of $70 of the Company's obligations under the February 1800 Diagonal Note.</w:t>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17, 2025, the Company issued a fifth promissory note (the “April 1800 Diagonal Note”) for an aggregate principal amount of $230 and received net proceeds of $192, after an original discount of $30 and issuance costs of $8 for due diligence and legal fees. The April 1800 Diagonal Note has a maturity date of February 15, 2026 and bears interest at 12% per annum.</w:t>
      </w:r>
    </w:p>
    <w:p>
      <w:pPr>
        <w:spacing w:after="0" w:line="135"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Between October 21, 2025 and October 27, 2025, the Lender exercised its conversion option multiple times under the April 1800 Diagonal Note and received an aggregate of 7,015 shares of Class A Common Stock at conversion prices per share ranging from $33.80 to $41.20 in full satisfaction of the Company's remaining obligations under the April 1800 Diagonal Note totaling $265.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3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9, 2025, the Company issued a sixth promissory note (the “May 1800 Diagonal Note”) for an aggregate principal amount of $163 and received net proceeds of $135, after an original discount of $21 and issuance costs of $7 for due diligence and legal fees. The May 1800 Diagonal Note has a maturity date of February 15, 2026 and bears interest at 12% per annum.</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23, 2025, the Company issued a seventh promissory note (the “July 1800 Diagonal Note”) for an aggregate principal amount of $296 and received net proceeds of $250, after an original discount of $39 and issuance costs of $7 for due diligence and legal fees. The July 1800 Diagonal Note has a maturity date of May 30, 2026 and bears interest at 12% per annum.</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Between January 26, 2026 and January 27, 2026, the Lender exercised its conversion option multiple times under the July 1800 Diagonal Note and received an aggregate of 20,047 shares of Class A Common Stock at conversion prices per share ranging from $16.50 to $18.00 in full satisfaction of the Company's remaining obligations under the July 1800 Diagonal Note totaling $331.</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12, 2025, the Company issued an eighth promissory note (the “September 2025 1800 Diagonal Note”) for an aggregate principal amount of $152 and received net proceeds of $125, after an original discount of $20 and issuance costs of $7 for due diligence and legal fees. The September 2025 1800 Diagonal Note has a maturity date of June 15, 2026 and bears interest at 14% per annum.</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19, 2026, the Lender exercised its conversion option under the July 1800 Diagonal Note and received 3,766 shares of Class A Common Stock at a conversion price per share of $14.745 in full satisfaction of the Company's remaining obligations under the July 1800 Diagonal Note totaling $54.</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4, 2025, the Company issued a ninth promissory note (the “November 1800 Diagonal Note”) for an aggregate principal amount of $238 and received net proceeds of $200, after an original discount of $31 and issuance costs of $7 for due diligence and legal fees. The November 1800 Diagonal Note has a maturity date of July 30, 2026 and bears interest at 14% per annum.</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3, 2025, the Company issued a tenth promissory note (the “December 2025 1800 Diagonal Note”) for an aggregate principal amount of $94 and received net proceeds of $75, after an original discount of $12 and issuance costs of $7 for due diligence and legal fees. The December 2025 1800 Diagonal Note has a maturity date of August 30, 2026 and bears interest at 14% per annum.</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12, 2026, the Company issued an eleventh promissory note (the “1800 Diagonal Note #11”) for an aggregate principal amount of $296 and received net proceeds of $250, after an original discount of $39 and issuance costs of $7 for due diligence and legal fees. The 1800 Diagonal Note #11 has a maturity date of October 15, 2026 and bears interest at 14% per annum.</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17, 2026, the Company issued a twelfth promissory note (the “1800 Diagonal Note #12”) for an aggregate principal amount of $181 and received net proceeds of $150, after an original discount of $24 and issuance costs of $7 for due diligence and legal fees. The 1800 Diagonal Note #12 has a maturity date of December 15, 2026 and bears interest at 14% per annum.</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August, September, December, February, April, May, July, September 2025, November, December 2025, Note #11 and Note #12 described above are together referred to as the “1800 Diagonal Notes.” Interest on the 1800 Diagonal Notes accrues commencing on and including the issuance date pursuant to the respective agreement's repayment and amortization schedule.</w:t>
      </w:r>
    </w:p>
    <w:p>
      <w:pPr>
        <w:spacing w:after="0" w:line="1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Upon an event of default, as defined in the respective agreements, all or any portion of the 1800 Diagonal Notes that are then outstanding, may become convertible at the option of the Lender into fully paid and non-assessable shares of the Company’s Common Stock up to 4.99% of the Company’s outstanding shares of Common Stock. The Notes become convertible at the Lender’s option upon an event of default, at a conversion price equal to the quotient resulting from dividing the Conversion Amount, measured as the sum of (1) the principal amount of the Note or Notes being converted in such conversion, plus (2) at the Lender’s option, accrued and unpaid interest, if any, on such principal amount at the interest rates to the respective note or notes being converted through the conversion date, plus (3) at the Lender’s option, the default interest, divided by the “Conversion Price” then in effect on the date specified in the notice of conversion (the conversion date). The Conversion Price will be measured as seventy-five percent (75%) multiplied by the market price, which means the lowest trading price for the Company’s Common Stock during the ten (10) trading day period ending on the latest complete trading day prior to the conversion date.</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1800 Diagonal Notes include optional conversion rights to the holder upon an event of default, contingent redemption (put) rights which trigger mandatory prepayment upon event of default, and defaulted contingent interest upon an event of default. For further discussion of this derivative, see </w:t>
      </w:r>
      <w:r>
        <w:rPr>
          <w:rFonts w:ascii="Times New Roman" w:cs="Times New Roman" w:eastAsia="Times New Roman" w:hAnsi="Times New Roman"/>
          <w:sz w:val="18"/>
          <w:szCs w:val="18"/>
          <w:i w:val="1"/>
          <w:iCs w:val="1"/>
          <w:color w:val="auto"/>
        </w:rPr>
        <w:t>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7 – Fair Value Measurements.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on the 1800 Diagonal Notes totaled approximately $115 and $37 for the three months ended March 31, 2026 and 2025,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1800 Diagonal Notes three months ended March 31, 2026:</w:t>
      </w:r>
    </w:p>
    <w:p>
      <w:pPr>
        <w:sectPr>
          <w:pgSz w:w="11900" w:h="16838" w:orient="portrait"/>
          <w:cols w:equalWidth="0" w:num="1">
            <w:col w:w="11240"/>
          </w:cols>
          <w:pgMar w:left="320" w:top="765" w:right="339" w:bottom="1440"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216"/>
        </w:trPr>
        <w:tc>
          <w:tcPr>
            <w:tcW w:w="9020" w:type="dxa"/>
            <w:vAlign w:val="bottom"/>
          </w:tcPr>
          <w:p>
            <w:pPr>
              <w:jc w:val="center"/>
              <w:ind w:left="2130"/>
              <w:spacing w:after="0"/>
              <w:rPr>
                <w:sz w:val="20"/>
                <w:szCs w:val="20"/>
                <w:color w:val="auto"/>
              </w:rPr>
            </w:pPr>
            <w:r>
              <w:rPr>
                <w:rFonts w:ascii="Times New Roman" w:cs="Times New Roman" w:eastAsia="Times New Roman" w:hAnsi="Times New Roman"/>
                <w:sz w:val="18"/>
                <w:szCs w:val="18"/>
                <w:b w:val="1"/>
                <w:bCs w:val="1"/>
                <w:color w:val="auto"/>
              </w:rPr>
              <w:t>BANZAI INTERNATIONAL, INC.</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8"/>
        </w:trPr>
        <w:tc>
          <w:tcPr>
            <w:tcW w:w="9020" w:type="dxa"/>
            <w:vAlign w:val="bottom"/>
          </w:tcPr>
          <w:p>
            <w:pPr>
              <w:jc w:val="center"/>
              <w:ind w:left="2130"/>
              <w:spacing w:after="0"/>
              <w:rPr>
                <w:sz w:val="20"/>
                <w:szCs w:val="20"/>
                <w:color w:val="auto"/>
              </w:rPr>
            </w:pPr>
            <w:r>
              <w:rPr>
                <w:rFonts w:ascii="Times New Roman" w:cs="Times New Roman" w:eastAsia="Times New Roman" w:hAnsi="Times New Roman"/>
                <w:sz w:val="18"/>
                <w:szCs w:val="18"/>
                <w:b w:val="1"/>
                <w:bCs w:val="1"/>
                <w:color w:val="auto"/>
                <w:w w:val="99"/>
              </w:rPr>
              <w:t>Unaudited Notes to Condensed Consolidated Financial Statements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36"/>
        </w:trPr>
        <w:tc>
          <w:tcPr>
            <w:tcW w:w="9020" w:type="dxa"/>
            <w:vAlign w:val="bottom"/>
          </w:tcPr>
          <w:p>
            <w:pPr>
              <w:jc w:val="center"/>
              <w:ind w:left="2150"/>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32"/>
        </w:trPr>
        <w:tc>
          <w:tcPr>
            <w:tcW w:w="9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1800 Diagonal</w:t>
            </w:r>
          </w:p>
        </w:tc>
      </w:tr>
      <w:tr>
        <w:trPr>
          <w:trHeight w:val="209"/>
        </w:trPr>
        <w:tc>
          <w:tcPr>
            <w:tcW w:w="9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747</w:t>
            </w: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convertible notes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414</w:t>
            </w:r>
          </w:p>
        </w:tc>
      </w:tr>
      <w:tr>
        <w:trPr>
          <w:trHeight w:val="216"/>
        </w:trPr>
        <w:tc>
          <w:tcPr>
            <w:tcW w:w="9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debt issuance</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Repayments in cash</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9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Conversions</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w:t>
            </w:r>
          </w:p>
        </w:tc>
      </w:tr>
      <w:tr>
        <w:trPr>
          <w:trHeight w:val="229"/>
        </w:trPr>
        <w:tc>
          <w:tcPr>
            <w:tcW w:w="9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March 31, 2026</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836</w:t>
            </w:r>
          </w:p>
        </w:tc>
      </w:tr>
      <w:tr>
        <w:trPr>
          <w:trHeight w:val="20"/>
        </w:trPr>
        <w:tc>
          <w:tcPr>
            <w:tcW w:w="90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740" w:type="dxa"/>
            <w:vAlign w:val="bottom"/>
            <w:tcBorders>
              <w:top w:val="single" w:sz="8" w:color="auto"/>
            </w:tcBorders>
            <w:shd w:val="clear" w:color="auto" w:fill="000000"/>
          </w:tcPr>
          <w:p>
            <w:pPr>
              <w:spacing w:after="0" w:line="20" w:lineRule="exact"/>
              <w:rPr>
                <w:sz w:val="1"/>
                <w:szCs w:val="1"/>
                <w:color w:val="auto"/>
              </w:rPr>
            </w:pPr>
          </w:p>
        </w:tc>
      </w:tr>
      <w:tr>
        <w:trPr>
          <w:trHeight w:val="413"/>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principal balance as of March 31, 2026</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703</w:t>
            </w:r>
          </w:p>
        </w:tc>
      </w:tr>
      <w:tr>
        <w:trPr>
          <w:trHeight w:val="216"/>
        </w:trPr>
        <w:tc>
          <w:tcPr>
            <w:tcW w:w="9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interest as of March 31, 2026</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3i, LP Private Placement Offering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12529"/>
        </w:rPr>
        <w:t>On June 27, 2025, the Company entered into a securities purchase agreement (the “Purchase Agreement”) with an institutional investor, 3i, LP (the “Buyer”) for the issuance and sale in a private placement (the “Private Placement Offering”) of senior secured convertible notes of the Company, in the aggregate original principal amount of $11.0 million (the “Private Placement Convertible Notes”) which are convertible into shares of the Company's Class A Common Stock (the shares of Common Stock issuable pursuant to the terms of the Notes, including, without limitation, upon conversion or otherwise, collectively, the “Conversion Shares”), in accordance with the terms of the Notes.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12529"/>
        </w:rPr>
        <w:t xml:space="preserve">In connection with the Offering, the Company has also entered into a letter agreement dated April 30, 2025 (the “Letter Agreement”) with Rodman &amp; Renshaw LLC as the exclusive financial advisor (the “Financial Advisor”) pursuant to which the Company has agreed to issue financial advisor warrants to purchase up to an aggregate of 21,212 shares of Common Stock (the “Financial Advisor Warrants," together with the Buyer Warrants, the “Private Placement Warrants”). Refer to </w:t>
      </w:r>
      <w:r>
        <w:rPr>
          <w:rFonts w:ascii="Times New Roman" w:cs="Times New Roman" w:eastAsia="Times New Roman" w:hAnsi="Times New Roman"/>
          <w:sz w:val="18"/>
          <w:szCs w:val="18"/>
          <w:i w:val="1"/>
          <w:iCs w:val="1"/>
          <w:color w:val="212529"/>
        </w:rPr>
        <w:t>Note 14 – Equity</w:t>
      </w:r>
      <w:r>
        <w:rPr>
          <w:rFonts w:ascii="Times New Roman" w:cs="Times New Roman" w:eastAsia="Times New Roman" w:hAnsi="Times New Roman"/>
          <w:sz w:val="18"/>
          <w:szCs w:val="18"/>
          <w:color w:val="212529"/>
        </w:rPr>
        <w:t>, for further description of the Warrants issued in the Private Placement Offering.</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12529"/>
        </w:rPr>
        <w:t>On June 30, 2025, the parties conducted the initial closing pursuant to the terms of the Purchase Agreement and the Company issued an initial Note (the "June 3i Note") and an initial warrant ("June Warrant") to acquire shares of the Company's Class A Common Stock. The parties conducted subsequent closings on August 19, 2025, October 8, 2025, and February 13, 2026 and the Company issued additional notes and warrants (the "August 3i Note" and the "August Warrant," the "October 3i Note" and the "October Warrant," and the "February 3i Note" and "February Warrant," respectively). The following table presents the maturity date, the original principal amount, the net proceeds received by the Company after original issue discount and issuance fees and costs, the initial conversion price per share, and the initial conversion floor price per share at the date of closing for each Note, and the number of warrants and the initial exercise price per share for each Buyer Warrant associated with the Private Placement Offering:</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7"/>
          </w:tcPr>
          <w:p>
            <w:pPr>
              <w:jc w:val="center"/>
              <w:ind w:right="497"/>
              <w:spacing w:after="0"/>
              <w:rPr>
                <w:sz w:val="20"/>
                <w:szCs w:val="20"/>
                <w:color w:val="auto"/>
              </w:rPr>
            </w:pPr>
            <w:r>
              <w:rPr>
                <w:rFonts w:ascii="Times New Roman" w:cs="Times New Roman" w:eastAsia="Times New Roman" w:hAnsi="Times New Roman"/>
                <w:sz w:val="14"/>
                <w:szCs w:val="14"/>
                <w:b w:val="1"/>
                <w:bCs w:val="1"/>
                <w:color w:val="auto"/>
              </w:rPr>
              <w:t>Private Placement Notes</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tcBorders>
              <w:bottom w:val="single" w:sz="8" w:color="auto"/>
            </w:tcBorders>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Private Placement Warrants</w:t>
            </w: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restart"/>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Original</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right="177"/>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vMerge w:val="restart"/>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jc w:val="center"/>
              <w:ind w:right="64"/>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040" w:type="dxa"/>
            <w:vAlign w:val="bottom"/>
            <w:gridSpan w:val="3"/>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Initial Buyer</w:t>
            </w: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77"/>
              <w:spacing w:after="0" w:line="149" w:lineRule="exact"/>
              <w:rPr>
                <w:sz w:val="20"/>
                <w:szCs w:val="20"/>
                <w:color w:val="auto"/>
              </w:rPr>
            </w:pPr>
            <w:r>
              <w:rPr>
                <w:rFonts w:ascii="Times New Roman" w:cs="Times New Roman" w:eastAsia="Times New Roman" w:hAnsi="Times New Roman"/>
                <w:sz w:val="14"/>
                <w:szCs w:val="14"/>
                <w:b w:val="1"/>
                <w:bCs w:val="1"/>
                <w:color w:val="auto"/>
              </w:rPr>
              <w:t>Proceeds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84"/>
              <w:spacing w:after="0" w:line="149" w:lineRule="exact"/>
              <w:rPr>
                <w:sz w:val="20"/>
                <w:szCs w:val="20"/>
                <w:color w:val="auto"/>
              </w:rPr>
            </w:pPr>
            <w:r>
              <w:rPr>
                <w:rFonts w:ascii="Times New Roman" w:cs="Times New Roman" w:eastAsia="Times New Roman" w:hAnsi="Times New Roman"/>
                <w:sz w:val="14"/>
                <w:szCs w:val="14"/>
                <w:b w:val="1"/>
                <w:bCs w:val="1"/>
                <w:color w:val="auto"/>
              </w:rPr>
              <w:t>Buyer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Warrant</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Note Issued by</w:t>
            </w:r>
          </w:p>
        </w:tc>
        <w:tc>
          <w:tcPr>
            <w:tcW w:w="120" w:type="dxa"/>
            <w:vAlign w:val="bottom"/>
          </w:tcPr>
          <w:p>
            <w:pPr>
              <w:spacing w:after="0"/>
              <w:rPr>
                <w:sz w:val="12"/>
                <w:szCs w:val="12"/>
                <w:color w:val="auto"/>
              </w:rPr>
            </w:pP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Maturity Date of</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Pr>
          <w:p>
            <w:pPr>
              <w:spacing w:after="0"/>
              <w:rPr>
                <w:sz w:val="12"/>
                <w:szCs w:val="12"/>
                <w:color w:val="auto"/>
              </w:rPr>
            </w:pPr>
          </w:p>
        </w:tc>
        <w:tc>
          <w:tcPr>
            <w:tcW w:w="9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Received by</w:t>
            </w:r>
          </w:p>
        </w:tc>
        <w:tc>
          <w:tcPr>
            <w:tcW w:w="100" w:type="dxa"/>
            <w:vAlign w:val="bottom"/>
          </w:tcPr>
          <w:p>
            <w:pPr>
              <w:spacing w:after="0"/>
              <w:rPr>
                <w:sz w:val="12"/>
                <w:szCs w:val="12"/>
                <w:color w:val="auto"/>
              </w:rPr>
            </w:pPr>
          </w:p>
        </w:tc>
        <w:tc>
          <w:tcPr>
            <w:tcW w:w="9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Conversion</w:t>
            </w:r>
          </w:p>
        </w:tc>
        <w:tc>
          <w:tcPr>
            <w:tcW w:w="100" w:type="dxa"/>
            <w:vAlign w:val="bottom"/>
          </w:tcPr>
          <w:p>
            <w:pPr>
              <w:spacing w:after="0"/>
              <w:rPr>
                <w:sz w:val="12"/>
                <w:szCs w:val="12"/>
                <w:color w:val="auto"/>
              </w:rPr>
            </w:pPr>
          </w:p>
        </w:tc>
        <w:tc>
          <w:tcPr>
            <w:tcW w:w="9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Conversion</w:t>
            </w:r>
          </w:p>
        </w:tc>
        <w:tc>
          <w:tcPr>
            <w:tcW w:w="100" w:type="dxa"/>
            <w:vAlign w:val="bottom"/>
          </w:tcPr>
          <w:p>
            <w:pPr>
              <w:spacing w:after="0"/>
              <w:rPr>
                <w:sz w:val="12"/>
                <w:szCs w:val="12"/>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Warrants Issued by</w:t>
            </w:r>
          </w:p>
        </w:tc>
        <w:tc>
          <w:tcPr>
            <w:tcW w:w="100" w:type="dxa"/>
            <w:vAlign w:val="bottom"/>
          </w:tcPr>
          <w:p>
            <w:pPr>
              <w:spacing w:after="0"/>
              <w:rPr>
                <w:sz w:val="12"/>
                <w:szCs w:val="12"/>
                <w:color w:val="auto"/>
              </w:rPr>
            </w:pPr>
          </w:p>
        </w:tc>
        <w:tc>
          <w:tcPr>
            <w:tcW w:w="94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199"/>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48"/>
        </w:trPr>
        <w:tc>
          <w:tcPr>
            <w:tcW w:w="11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Closing Date</w:t>
            </w:r>
          </w:p>
        </w:tc>
        <w:tc>
          <w:tcPr>
            <w:tcW w:w="120" w:type="dxa"/>
            <w:vAlign w:val="bottom"/>
            <w:vMerge w:val="restart"/>
          </w:tcPr>
          <w:p>
            <w:pPr>
              <w:spacing w:after="0"/>
              <w:rPr>
                <w:sz w:val="12"/>
                <w:szCs w:val="12"/>
                <w:color w:val="auto"/>
              </w:rPr>
            </w:pPr>
          </w:p>
        </w:tc>
        <w:tc>
          <w:tcPr>
            <w:tcW w:w="12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77"/>
              <w:spacing w:after="0" w:line="149" w:lineRule="exact"/>
              <w:rPr>
                <w:sz w:val="20"/>
                <w:szCs w:val="20"/>
                <w:color w:val="auto"/>
              </w:rPr>
            </w:pPr>
            <w:r>
              <w:rPr>
                <w:rFonts w:ascii="Times New Roman" w:cs="Times New Roman" w:eastAsia="Times New Roman" w:hAnsi="Times New Roman"/>
                <w:sz w:val="14"/>
                <w:szCs w:val="14"/>
                <w:b w:val="1"/>
                <w:bCs w:val="1"/>
                <w:color w:val="auto"/>
                <w:w w:val="96"/>
              </w:rPr>
              <w:t>the</w:t>
            </w:r>
          </w:p>
        </w:tc>
        <w:tc>
          <w:tcPr>
            <w:tcW w:w="100" w:type="dxa"/>
            <w:vAlign w:val="bottom"/>
          </w:tcPr>
          <w:p>
            <w:pPr>
              <w:spacing w:after="0"/>
              <w:rPr>
                <w:sz w:val="12"/>
                <w:szCs w:val="12"/>
                <w:color w:val="auto"/>
              </w:rPr>
            </w:pPr>
          </w:p>
        </w:tc>
        <w:tc>
          <w:tcPr>
            <w:tcW w:w="900" w:type="dxa"/>
            <w:vAlign w:val="bottom"/>
            <w:gridSpan w:val="2"/>
          </w:tcPr>
          <w:p>
            <w:pPr>
              <w:jc w:val="center"/>
              <w:ind w:right="96"/>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00" w:type="dxa"/>
            <w:vAlign w:val="bottom"/>
          </w:tcPr>
          <w:p>
            <w:pPr>
              <w:spacing w:after="0"/>
              <w:rPr>
                <w:sz w:val="12"/>
                <w:szCs w:val="12"/>
                <w:color w:val="auto"/>
              </w:rPr>
            </w:pPr>
          </w:p>
        </w:tc>
        <w:tc>
          <w:tcPr>
            <w:tcW w:w="9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Floor Price</w:t>
            </w:r>
          </w:p>
        </w:tc>
        <w:tc>
          <w:tcPr>
            <w:tcW w:w="1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Issued by the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0" w:type="dxa"/>
            <w:vAlign w:val="bottom"/>
          </w:tcPr>
          <w:p>
            <w:pPr>
              <w:spacing w:after="0"/>
              <w:rPr>
                <w:sz w:val="1"/>
                <w:szCs w:val="1"/>
                <w:color w:val="auto"/>
              </w:rPr>
            </w:pPr>
          </w:p>
        </w:tc>
      </w:tr>
      <w:tr>
        <w:trPr>
          <w:trHeight w:val="173"/>
        </w:trPr>
        <w:tc>
          <w:tcPr>
            <w:tcW w:w="11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2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the Company</w:t>
            </w:r>
          </w:p>
        </w:tc>
        <w:tc>
          <w:tcPr>
            <w:tcW w:w="120" w:type="dxa"/>
            <w:vAlign w:val="bottom"/>
          </w:tcPr>
          <w:p>
            <w:pPr>
              <w:spacing w:after="0"/>
              <w:rPr>
                <w:sz w:val="15"/>
                <w:szCs w:val="15"/>
                <w:color w:val="auto"/>
              </w:rPr>
            </w:pPr>
          </w:p>
        </w:tc>
        <w:tc>
          <w:tcPr>
            <w:tcW w:w="10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the Note</w:t>
            </w:r>
          </w:p>
        </w:tc>
        <w:tc>
          <w:tcPr>
            <w:tcW w:w="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the Note</w:t>
            </w:r>
          </w:p>
        </w:tc>
        <w:tc>
          <w:tcPr>
            <w:tcW w:w="100" w:type="dxa"/>
            <w:vAlign w:val="bottom"/>
          </w:tcPr>
          <w:p>
            <w:pPr>
              <w:spacing w:after="0"/>
              <w:rPr>
                <w:sz w:val="15"/>
                <w:szCs w:val="15"/>
                <w:color w:val="auto"/>
              </w:rPr>
            </w:pPr>
          </w:p>
        </w:tc>
        <w:tc>
          <w:tcPr>
            <w:tcW w:w="900" w:type="dxa"/>
            <w:vAlign w:val="bottom"/>
            <w:tcBorders>
              <w:bottom w:val="single" w:sz="8" w:color="auto"/>
            </w:tcBorders>
            <w:gridSpan w:val="2"/>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Pr>
          <w:p>
            <w:pPr>
              <w:spacing w:after="0"/>
              <w:rPr>
                <w:sz w:val="15"/>
                <w:szCs w:val="15"/>
                <w:color w:val="auto"/>
              </w:rPr>
            </w:pPr>
          </w:p>
        </w:tc>
        <w:tc>
          <w:tcPr>
            <w:tcW w:w="900" w:type="dxa"/>
            <w:vAlign w:val="bottom"/>
            <w:tcBorders>
              <w:bottom w:val="single" w:sz="8" w:color="auto"/>
            </w:tcBorders>
            <w:gridSpan w:val="2"/>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0" w:type="dxa"/>
            <w:vAlign w:val="bottom"/>
          </w:tcPr>
          <w:p>
            <w:pPr>
              <w:spacing w:after="0"/>
              <w:rPr>
                <w:sz w:val="15"/>
                <w:szCs w:val="15"/>
                <w:color w:val="auto"/>
              </w:rPr>
            </w:pPr>
          </w:p>
        </w:tc>
        <w:tc>
          <w:tcPr>
            <w:tcW w:w="12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the Company</w:t>
            </w:r>
          </w:p>
        </w:tc>
        <w:tc>
          <w:tcPr>
            <w:tcW w:w="100" w:type="dxa"/>
            <w:vAlign w:val="bottom"/>
          </w:tcPr>
          <w:p>
            <w:pPr>
              <w:spacing w:after="0"/>
              <w:rPr>
                <w:sz w:val="15"/>
                <w:szCs w:val="15"/>
                <w:color w:val="auto"/>
              </w:rPr>
            </w:pPr>
          </w:p>
        </w:tc>
        <w:tc>
          <w:tcPr>
            <w:tcW w:w="94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209"/>
        </w:trPr>
        <w:tc>
          <w:tcPr>
            <w:tcW w:w="1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30, 2025</w:t>
            </w:r>
          </w:p>
        </w:tc>
        <w:tc>
          <w:tcPr>
            <w:tcW w:w="1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3i Note</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30, 2026</w:t>
            </w:r>
          </w:p>
        </w:tc>
        <w:tc>
          <w:tcPr>
            <w:tcW w:w="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center"/>
              <w:ind w:left="55"/>
              <w:spacing w:after="0"/>
              <w:rPr>
                <w:sz w:val="20"/>
                <w:szCs w:val="20"/>
                <w:color w:val="auto"/>
              </w:rPr>
            </w:pPr>
            <w:r>
              <w:rPr>
                <w:rFonts w:ascii="Times New Roman" w:cs="Times New Roman" w:eastAsia="Times New Roman" w:hAnsi="Times New Roman"/>
                <w:sz w:val="18"/>
                <w:szCs w:val="18"/>
                <w:color w:val="auto"/>
              </w:rPr>
              <w:t>2,200</w:t>
            </w:r>
          </w:p>
        </w:tc>
        <w:tc>
          <w:tcPr>
            <w:tcW w:w="2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1,725</w:t>
            </w:r>
          </w:p>
        </w:tc>
        <w:tc>
          <w:tcPr>
            <w:tcW w:w="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50.00</w:t>
            </w:r>
          </w:p>
        </w:tc>
        <w:tc>
          <w:tcPr>
            <w:tcW w:w="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Warrant</w:t>
            </w:r>
          </w:p>
        </w:tc>
        <w:tc>
          <w:tcPr>
            <w:tcW w:w="104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3,357</w:t>
            </w:r>
          </w:p>
        </w:tc>
        <w:tc>
          <w:tcPr>
            <w:tcW w:w="2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198"/>
        </w:trPr>
        <w:tc>
          <w:tcPr>
            <w:tcW w:w="1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August 19,</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September 19,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August 3i Note</w:t>
            </w: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center"/>
              <w:ind w:left="55"/>
              <w:spacing w:after="0"/>
              <w:rPr>
                <w:sz w:val="20"/>
                <w:szCs w:val="20"/>
                <w:color w:val="auto"/>
              </w:rPr>
            </w:pPr>
            <w:r>
              <w:rPr>
                <w:rFonts w:ascii="Times New Roman" w:cs="Times New Roman" w:eastAsia="Times New Roman" w:hAnsi="Times New Roman"/>
                <w:sz w:val="18"/>
                <w:szCs w:val="18"/>
                <w:color w:val="auto"/>
              </w:rPr>
              <w:t>2,200</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1,762</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50.00</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22.00</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August Warrant</w:t>
            </w:r>
          </w:p>
        </w:tc>
        <w:tc>
          <w:tcPr>
            <w:tcW w:w="104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6,306</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198"/>
        </w:trPr>
        <w:tc>
          <w:tcPr>
            <w:tcW w:w="1280" w:type="dxa"/>
            <w:vAlign w:val="bottom"/>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October 8,</w:t>
            </w:r>
          </w:p>
        </w:tc>
        <w:tc>
          <w:tcPr>
            <w:tcW w:w="1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October 8,</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October 3i Note</w:t>
            </w:r>
          </w:p>
        </w:tc>
        <w:tc>
          <w:tcPr>
            <w:tcW w:w="12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jc w:val="center"/>
              <w:ind w:left="55"/>
              <w:spacing w:after="0"/>
              <w:rPr>
                <w:sz w:val="20"/>
                <w:szCs w:val="20"/>
                <w:color w:val="auto"/>
              </w:rPr>
            </w:pPr>
            <w:r>
              <w:rPr>
                <w:rFonts w:ascii="Times New Roman" w:cs="Times New Roman" w:eastAsia="Times New Roman" w:hAnsi="Times New Roman"/>
                <w:sz w:val="18"/>
                <w:szCs w:val="18"/>
                <w:color w:val="auto"/>
              </w:rPr>
              <w:t>2,500</w:t>
            </w:r>
          </w:p>
        </w:tc>
        <w:tc>
          <w:tcPr>
            <w:tcW w:w="2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2,011</w:t>
            </w:r>
          </w:p>
        </w:tc>
        <w:tc>
          <w:tcPr>
            <w:tcW w:w="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50.00</w:t>
            </w:r>
          </w:p>
        </w:tc>
        <w:tc>
          <w:tcPr>
            <w:tcW w:w="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12.40</w:t>
            </w:r>
          </w:p>
        </w:tc>
        <w:tc>
          <w:tcPr>
            <w:tcW w:w="10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October Warrant</w:t>
            </w:r>
          </w:p>
        </w:tc>
        <w:tc>
          <w:tcPr>
            <w:tcW w:w="104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20,000</w:t>
            </w:r>
          </w:p>
        </w:tc>
        <w:tc>
          <w:tcPr>
            <w:tcW w:w="2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198"/>
        </w:trPr>
        <w:tc>
          <w:tcPr>
            <w:tcW w:w="1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February 13,</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February 13,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vMerge w:val="restart"/>
          </w:tcPr>
          <w:p>
            <w:pPr>
              <w:jc w:val="center"/>
              <w:ind w:left="55"/>
              <w:spacing w:after="0"/>
              <w:rPr>
                <w:sz w:val="20"/>
                <w:szCs w:val="20"/>
                <w:color w:val="auto"/>
              </w:rPr>
            </w:pPr>
            <w:r>
              <w:rPr>
                <w:rFonts w:ascii="Times New Roman" w:cs="Times New Roman" w:eastAsia="Times New Roman" w:hAnsi="Times New Roman"/>
                <w:sz w:val="18"/>
                <w:szCs w:val="18"/>
                <w:color w:val="auto"/>
              </w:rPr>
              <w:t>2,333</w:t>
            </w:r>
          </w:p>
        </w:tc>
        <w:tc>
          <w:tcPr>
            <w:tcW w:w="100" w:type="dxa"/>
            <w:vAlign w:val="bottom"/>
            <w:vMerge w:val="restart"/>
          </w:tcPr>
          <w:p>
            <w:pPr>
              <w:spacing w:after="0"/>
              <w:rPr>
                <w:sz w:val="17"/>
                <w:szCs w:val="17"/>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vMerge w:val="restart"/>
          </w:tcPr>
          <w:p>
            <w:pPr>
              <w:jc w:val="right"/>
              <w:ind w:right="37"/>
              <w:spacing w:after="0"/>
              <w:rPr>
                <w:sz w:val="20"/>
                <w:szCs w:val="20"/>
                <w:color w:val="auto"/>
              </w:rPr>
            </w:pPr>
            <w:r>
              <w:rPr>
                <w:rFonts w:ascii="Times New Roman" w:cs="Times New Roman" w:eastAsia="Times New Roman" w:hAnsi="Times New Roman"/>
                <w:sz w:val="18"/>
                <w:szCs w:val="18"/>
                <w:color w:val="auto"/>
              </w:rPr>
              <w:t>1,879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February</w:t>
            </w:r>
          </w:p>
        </w:tc>
        <w:tc>
          <w:tcPr>
            <w:tcW w:w="100" w:type="dxa"/>
            <w:vAlign w:val="bottom"/>
            <w:vMerge w:val="restart"/>
          </w:tcPr>
          <w:p>
            <w:pPr>
              <w:spacing w:after="0"/>
              <w:rPr>
                <w:sz w:val="17"/>
                <w:szCs w:val="17"/>
                <w:color w:val="auto"/>
              </w:rPr>
            </w:pPr>
          </w:p>
        </w:tc>
        <w:tc>
          <w:tcPr>
            <w:tcW w:w="940" w:type="dxa"/>
            <w:vAlign w:val="bottom"/>
            <w:vMerge w:val="restart"/>
          </w:tcPr>
          <w:p>
            <w:pPr>
              <w:jc w:val="right"/>
              <w:ind w:right="44"/>
              <w:spacing w:after="0"/>
              <w:rPr>
                <w:sz w:val="20"/>
                <w:szCs w:val="20"/>
                <w:color w:val="auto"/>
              </w:rPr>
            </w:pPr>
            <w:r>
              <w:rPr>
                <w:rFonts w:ascii="Times New Roman" w:cs="Times New Roman" w:eastAsia="Times New Roman" w:hAnsi="Times New Roman"/>
                <w:sz w:val="18"/>
                <w:szCs w:val="18"/>
                <w:color w:val="auto"/>
              </w:rPr>
              <w:t>21,021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9"/>
                <w:szCs w:val="19"/>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February 3i Note</w:t>
            </w: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2027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00" w:type="dxa"/>
            <w:vAlign w:val="bottom"/>
            <w:tcBorders>
              <w:bottom w:val="single" w:sz="8" w:color="auto"/>
            </w:tcBorders>
            <w:vMerge w:val="continue"/>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22.20</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5.080</w:t>
            </w:r>
          </w:p>
        </w:tc>
        <w:tc>
          <w:tcPr>
            <w:tcW w:w="10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Warrant</w:t>
            </w:r>
          </w:p>
        </w:tc>
        <w:tc>
          <w:tcPr>
            <w:tcW w:w="100" w:type="dxa"/>
            <w:vAlign w:val="bottom"/>
            <w:vMerge w:val="continue"/>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22.20</w:t>
            </w:r>
          </w:p>
        </w:tc>
        <w:tc>
          <w:tcPr>
            <w:tcW w:w="0" w:type="dxa"/>
            <w:vAlign w:val="bottom"/>
          </w:tcPr>
          <w:p>
            <w:pPr>
              <w:spacing w:after="0"/>
              <w:rPr>
                <w:sz w:val="1"/>
                <w:szCs w:val="1"/>
                <w:color w:val="auto"/>
              </w:rPr>
            </w:pPr>
          </w:p>
        </w:tc>
      </w:tr>
      <w:tr>
        <w:trPr>
          <w:trHeight w:val="250"/>
        </w:trPr>
        <w:tc>
          <w:tcPr>
            <w:tcW w:w="12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gridSpan w:val="2"/>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FF0FC"/>
          </w:tcPr>
          <w:p>
            <w:pPr>
              <w:jc w:val="center"/>
              <w:ind w:left="55"/>
              <w:spacing w:after="0"/>
              <w:rPr>
                <w:sz w:val="20"/>
                <w:szCs w:val="20"/>
                <w:color w:val="auto"/>
              </w:rPr>
            </w:pPr>
            <w:r>
              <w:rPr>
                <w:rFonts w:ascii="Times New Roman" w:cs="Times New Roman" w:eastAsia="Times New Roman" w:hAnsi="Times New Roman"/>
                <w:sz w:val="18"/>
                <w:szCs w:val="18"/>
                <w:b w:val="1"/>
                <w:bCs w:val="1"/>
                <w:color w:val="auto"/>
              </w:rPr>
              <w:t>9,233</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7,377</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b w:val="1"/>
                <w:bCs w:val="1"/>
                <w:color w:val="auto"/>
              </w:rPr>
              <w:t>50,684</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-24765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-7620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-24765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-7620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-24765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-7620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The Private Placement Notes were issued with an original issue discount of 10.0% and accrue interest at a rate of 10.0% per annum.</w:t>
      </w:r>
    </w:p>
    <w:p>
      <w:pPr>
        <w:spacing w:after="0" w:line="27"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212529"/>
        </w:rPr>
        <w:t>The net proceeds received by the Company are after the original issue discount and issuance fees and costs, financial advisory fees and estimated offering expenses. The Private Placement Notes mature twelve (12) months from the respective date of issuance, unless extended pursuant to the terms thereof. The Notes are convertible (in whole or in part) at any time prior to the Maturity Date into the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12529"/>
        </w:rPr>
        <w:t>number of shares of Common Stock equal to quotient of the Conversion Amount divided by (y) the Conversion Price (the “Conversion Rate”). At no time may the Buyer hold more than 4.99% (or up to 9.99% at the election of the Buyers pursuant to the Notes) of the outstanding Common Stock. The Private Placement Notes have a respective conversion price that is subject to a floor price. In certain pricing conditions set by the conversion formula in the agreement, a conversion may result in the Company delivering both shares and cash to the Buyer. The Company intends to use the net proceeds received from the Private Placement Offering for general corporate purposes and working capital.</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2025, as per the terms of the Notes and Warrants, the conversion price and exercise price was adjusted to $2.50. On October 10, 2025, the Company and 3i, LP entered into a consent and waiver agreement (the "Waiver") on certain terms of the Purchase Agreement (as defined in </w:t>
      </w:r>
      <w:r>
        <w:rPr>
          <w:rFonts w:ascii="Times New Roman" w:cs="Times New Roman" w:eastAsia="Times New Roman" w:hAnsi="Times New Roman"/>
          <w:sz w:val="18"/>
          <w:szCs w:val="18"/>
          <w:i w:val="1"/>
          <w:iCs w:val="1"/>
          <w:color w:val="auto"/>
        </w:rPr>
        <w:t>Note 11 – Debt</w:t>
      </w:r>
      <w:r>
        <w:rPr>
          <w:rFonts w:ascii="Times New Roman" w:cs="Times New Roman" w:eastAsia="Times New Roman" w:hAnsi="Times New Roman"/>
          <w:sz w:val="18"/>
          <w:szCs w:val="18"/>
          <w:color w:val="auto"/>
        </w:rPr>
        <w:t xml:space="preserve"> in the notes to the condensed consolidated financial statements) to waive the downward adjustment prohibition in the Purchase Agreement and to provide 3i with certain Variable Rate Securities, as defined in the Purchase Agreement, solely to the extent it would otherwise be violated by the conversion price of CP BF Letter Agreement, as defined below. As such, the parties waived that the conversion price amendment of the CP BF Letter Agreement, as defined below, shall not trigger or constitute an event of default under the Purchase Agreement.</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12529"/>
        </w:rPr>
        <w:t>In addition, if an Event of Default (as defined in the Notes) has occurred, the Buyer may elect convert (each, an “Alternate Conversion," and the date of such Alternate Conversion, each, an “Alternate Conversion Date”) all, or any part of, the Conversion Amount (such portion of the Conversion Amount subject to such Alternate Conversion, the “Alternate Conversion Amount”) into shares of Common Stock at a conversion rate equal to the quotient of (x) the product of (A) the Redemption Premium and (B) the Alternate Conversion Amount, divided by (y) the Alternate Conversion Price (the “Alternate Conversion Rate”). Upon the occurrence of an Event of Default, the Company is required to deliver written notice to the Buyer within one (1) business day (an “Event of Default Notice”). At any time after the earlier of (a) the Buyer’s receipt of an Event of Default Notice, and (b) the Buyer becoming aware of an Event of Default, the Buyer may require the Company to redeem all or any portion of the Notes at a 15% premium. Beginning the earlier to occur of (x) the Effective Date (as defined in the Registration Rights Agreement) of the initial Registration Statement filed pursuant to the Registration Rights Agreement and (y) August 1, 2025, and thereafter, the first Trading Day of the calendar month immediately following (each an “Installment Date”) until the Maturity Date, the Company shall repay the Buyer approximately $183 towards the principal balance of the Notes and any accrued and unpaid interest in cash or, provided certain conditions are satisfied, shares of Common Stock, at the Company’s option (collectively, the “Installment Amount”). In connection with a “Change of Control," the Buyer shall have the right to require the Company to redeem part or all of the Notes outstanding in cash, at the highest calculation of the Change of Control Redemption Price, each of which is outlined in their entirety within the Notes.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Private Placement Convertible Notes include optional conversion rights to the holder upon an event of default, contingent redemption (put) rights which trigger mandatory prepayment upon event of default, and defaulted contingent interest upon an event of default.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Due to these embedded features within the Private Placement Convertible Notes, the Company elected to account for the Private Placement Convertible Notes at fair value at their respective dates of issuance and in subsequent reporting periods, pursuant to ASC 825. The Company will record changes in the fair value of the notes that relate to changes in credit risk to other comprehensive income. The remaining changes in fair value, including the component related to accrued interest, will be recorded through the other (income) expense section of the Company’s unaudited condensed consolidated statements of operations and comprehensive loss statement in a single line item.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3i, LP Conversions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Between August 12, 2025 and October 22, 2025, the Buyer exercised its contractual conversion options multiple times under the June 3i Note and received an aggregate of 30,823 shares of Class A Common Stock at conversion prices per share ranging from $38.20 to $51.60 in full satisfaction of the Company's remaining obligations under the June 3i Note totaling $1,420.</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Between September 10, 2025 and October 14, 2025, the Buyer exercised its contractual conversion option multiple times under the August 3i Note and received an aggregate of 30,883 shares of Class A Common Stock at conversion prices per share ranging from $38.20 to $48.40 in satisfaction of $1,412 of the Company's obligations under the August 3i Note.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Between October 16, 2025 and December 11, 2025, the Buyer exercised its contractual conversion option multiple times under the October 3i Note and received an aggregate of 66,584 shares of Class A Common Stock at conversion prices per share ranging from $20.60 to $50.00 in satisfaction of $1,677 of the Company's obligations under the October 3i Note.</w:t>
      </w:r>
    </w:p>
    <w:p>
      <w:pPr>
        <w:spacing w:after="0" w:line="176" w:lineRule="exact"/>
        <w:rPr>
          <w:sz w:val="20"/>
          <w:szCs w:val="20"/>
          <w:color w:val="auto"/>
        </w:rPr>
      </w:pPr>
    </w:p>
    <w:p>
      <w:pPr>
        <w:ind w:left="5540" w:right="1460" w:hanging="5525"/>
        <w:spacing w:after="0" w:line="282" w:lineRule="auto"/>
        <w:rPr>
          <w:sz w:val="20"/>
          <w:szCs w:val="20"/>
          <w:color w:val="auto"/>
        </w:rPr>
      </w:pPr>
      <w:r>
        <w:rPr>
          <w:rFonts w:ascii="Times New Roman" w:cs="Times New Roman" w:eastAsia="Times New Roman" w:hAnsi="Times New Roman"/>
          <w:sz w:val="18"/>
          <w:szCs w:val="18"/>
          <w:color w:val="auto"/>
        </w:rPr>
        <w:t>Between January 7, 2026 and February 10, 2026, the Buyer exercised its contractual conversion option multiple times under the August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3i Note and received an aggregate of 36,667 shares of Class A Common Stock at a conversion price per share of $22.20 in satisfaction of $807 of the Company's obligations under the August 3i Note.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Between January 8, 2026 and February 19, 2026, the Buyer exercised its contractual conversion option multiple times under the October 3i Note and received an aggregate of 60,764 shares of Class A Common Stock at conversion prices per share ranging from $17.20 to $20.40 in satisfaction of $1,073 of the Company's obligations under the October 3i Note.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Between March 2, 2026 and March 25, 2026, the Buyer exercised its contractual conversion option multiple times under the February 3i Note and received an aggregate of 46,371 shares of Class A Common Stock at conversion prices per share ranging from $16.60 to $19.60 in satisfaction of $856 of the Company's obligations under the October 3i Note.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on the Private Placement Convertible Notes totaled approximately $182 for the three months ended March 31, 2026.</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Private Placement Convertible Notes as of March 31, 2026:</w:t>
            </w: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432"/>
        </w:trPr>
        <w:tc>
          <w:tcPr>
            <w:tcW w:w="7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3i, LP Notes</w:t>
            </w: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4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1,856</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Private Placement Convertible Notes</w:t>
            </w: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2,121</w:t>
            </w: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debt issuance</w:t>
            </w:r>
          </w:p>
        </w:tc>
        <w:tc>
          <w:tcPr>
            <w:tcW w:w="10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1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1,039</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r>
      <w:tr>
        <w:trPr>
          <w:trHeight w:val="216"/>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Conversions</w:t>
            </w:r>
          </w:p>
        </w:tc>
        <w:tc>
          <w:tcPr>
            <w:tcW w:w="10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2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(2,735)</w:t>
            </w: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1,890</w:t>
            </w:r>
          </w:p>
        </w:tc>
      </w:tr>
      <w:tr>
        <w:trPr>
          <w:trHeight w:val="20"/>
        </w:trPr>
        <w:tc>
          <w:tcPr>
            <w:tcW w:w="7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7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principal balance as of March 31, 2026</w:t>
            </w:r>
          </w:p>
        </w:tc>
        <w:tc>
          <w:tcPr>
            <w:tcW w:w="14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1,556</w:t>
            </w:r>
          </w:p>
        </w:tc>
      </w:tr>
      <w:tr>
        <w:trPr>
          <w:trHeight w:val="234"/>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 as of March 31, 2026</w:t>
            </w: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155</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Boot Capital</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3, 2025, the Company issued a promissory note (the “Boot Capital Note”) for an aggregate principal amount of $115 and received $100 of proceeds, net of an original discount of $15, with a maturity date of August 30, 2026. The stated interest rate on the Boot Capital Note is 14% per annum, and interest shall accrue on the Boot Capital Note commencing on and including the issuance date pursuant to the agreement’s repayment and amortization schedule.</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Upon an event of default, as defined in the agreement, all or any portion of the Boot Capital Note that is then outstanding, may become convertible at the option of the Lender into fully paid and non-assessable shares of the Company’s Common Stock up to 4.99% of the Company’s outstanding shares of Common Stock. The Boot Capital Note becomes convertible at the Lender’s option upon an event of default, at a conversion price equal to the quotient resulting from dividing the Conversion Amount, measured as the sum of (1) the principal amount of the note being converted in such conversion, plus (2) at the Lender’s option, accrued and unpaid interest, if any, on such principal amount at the interest rates to the respective note being converted through the conversion date, plus (3) at the Lender’s option, the default interest, divided by the “Conversion Price” then in effect on the date specified in the notice of conversion (the conversion date). The Conversion Price will be measured as seventy-five percent (75%) multiplied by the market price, which means the lowest trading price for the Company’s Common Stock during the ten (10) trading day period ending on the latest complete trading day prior to the conversion date.</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Boot Capital Note include optional conversion rights to the holder upon an event of default, contingent redemption (put) rights which trigger mandatory prepayment upon event of default, and defaulted contingent interest upon an event of default.</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 xml:space="preserve">Due to these embedded features, the Company elected to account for the Boot Capital Note at fair value pursuant to ASC 825. For further discussion of fair value, see </w:t>
      </w:r>
      <w:r>
        <w:rPr>
          <w:rFonts w:ascii="Times New Roman" w:cs="Times New Roman" w:eastAsia="Times New Roman" w:hAnsi="Times New Roman"/>
          <w:sz w:val="18"/>
          <w:szCs w:val="18"/>
          <w:i w:val="1"/>
          <w:iCs w:val="1"/>
          <w:color w:val="auto"/>
        </w:rPr>
        <w:t>Note 7 – Fair Value Measurements.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16"/>
        </w:trPr>
        <w:tc>
          <w:tcPr>
            <w:tcW w:w="9020" w:type="dxa"/>
            <w:vAlign w:val="bottom"/>
          </w:tcPr>
          <w:p>
            <w:pPr>
              <w:jc w:val="center"/>
              <w:ind w:left="2130"/>
              <w:spacing w:after="0"/>
              <w:rPr>
                <w:sz w:val="20"/>
                <w:szCs w:val="20"/>
                <w:color w:val="auto"/>
              </w:rPr>
            </w:pPr>
            <w:r>
              <w:rPr>
                <w:rFonts w:ascii="Times New Roman" w:cs="Times New Roman" w:eastAsia="Times New Roman" w:hAnsi="Times New Roman"/>
                <w:sz w:val="18"/>
                <w:szCs w:val="18"/>
                <w:b w:val="1"/>
                <w:bCs w:val="1"/>
                <w:color w:val="auto"/>
              </w:rPr>
              <w:t>BANZAI INTERNATIONAL, INC.</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8"/>
        </w:trPr>
        <w:tc>
          <w:tcPr>
            <w:tcW w:w="9020" w:type="dxa"/>
            <w:vAlign w:val="bottom"/>
          </w:tcPr>
          <w:p>
            <w:pPr>
              <w:jc w:val="center"/>
              <w:ind w:left="2130"/>
              <w:spacing w:after="0"/>
              <w:rPr>
                <w:sz w:val="20"/>
                <w:szCs w:val="20"/>
                <w:color w:val="auto"/>
              </w:rPr>
            </w:pPr>
            <w:r>
              <w:rPr>
                <w:rFonts w:ascii="Times New Roman" w:cs="Times New Roman" w:eastAsia="Times New Roman" w:hAnsi="Times New Roman"/>
                <w:sz w:val="18"/>
                <w:szCs w:val="18"/>
                <w:b w:val="1"/>
                <w:bCs w:val="1"/>
                <w:color w:val="auto"/>
                <w:w w:val="99"/>
              </w:rPr>
              <w:t>Unaudited Notes to Condensed Consolidated Financial Statements</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6"/>
        </w:trPr>
        <w:tc>
          <w:tcPr>
            <w:tcW w:w="9020" w:type="dxa"/>
            <w:vAlign w:val="bottom"/>
          </w:tcPr>
          <w:p>
            <w:pPr>
              <w:jc w:val="center"/>
              <w:ind w:left="2150"/>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32"/>
        </w:trPr>
        <w:tc>
          <w:tcPr>
            <w:tcW w:w="90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Boot Capital Convertible Note</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92"/>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Boot Capital Convertible Note as of March 31, 2026:</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32"/>
        </w:trPr>
        <w:tc>
          <w:tcPr>
            <w:tcW w:w="9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Boot Capital</w:t>
            </w:r>
          </w:p>
        </w:tc>
      </w:tr>
      <w:tr>
        <w:trPr>
          <w:trHeight w:val="209"/>
        </w:trPr>
        <w:tc>
          <w:tcPr>
            <w:tcW w:w="9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500" w:type="dxa"/>
            <w:vAlign w:val="bottom"/>
            <w:gridSpan w:val="2"/>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90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2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r>
      <w:tr>
        <w:trPr>
          <w:trHeight w:val="250"/>
        </w:trPr>
        <w:tc>
          <w:tcPr>
            <w:tcW w:w="9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March 31, 2026</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123</w:t>
            </w:r>
          </w:p>
        </w:tc>
      </w:tr>
      <w:tr>
        <w:trPr>
          <w:trHeight w:val="413"/>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principal balance as of March 31, 2026</w:t>
            </w:r>
          </w:p>
        </w:tc>
        <w:tc>
          <w:tcPr>
            <w:tcW w:w="50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9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interest as of March 31, 2026</w:t>
            </w:r>
          </w:p>
        </w:tc>
        <w:tc>
          <w:tcPr>
            <w:tcW w:w="500" w:type="dxa"/>
            <w:vAlign w:val="bottom"/>
            <w:gridSpan w:val="2"/>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Warrant Liabilities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Warrants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assumed Public Warrants in the Merger, exercisable into 1,150 shares of Common Stock of the Company, and which remained outstanding as of March 31, 2026. The Public Warrants have an exercise price of $115,000.00 per share, subject to adjustments, and will expire five years from the Merger Closing Date (in December 2028). The exercise price and number of shares of Class A Common Stock issuable upon exercise of the warrants may be adjusted in certain circumstances including in the event of a share dividend, or recapitalization, reorganization, merger or consolidation.</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will not be obligated to deliver any shares of Class A Common Stock pursuant to the exercise of a Public Warrant and will have no obligation to settle such Public Warrant exercise unless a registration statement under the Securities Act with respect to the shares of Class A Common Stock underlying the Public Warrants is then effective and a prospectus relating thereto is current, subject to the Company’s satisfying its obligations described below with respect to registration, or a valid exemption from registration is available. No Public Warrant will be exercisable and the Company will not be obligated to issue a share of Class A Common Stock upon exercise of a Public Warrant unless the shares of Class A Common Stock issuable upon such Public Warrant exercise has been registered, qualified, or deemed to be exempt under the securities laws of the state of the registered holder of the Public Warrants.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no event will the Company be required to net cash settle any Public Warrant. The Resale Registration statement went effective on February 14, 2024 (Registration No. 333-276307) and since it was declared effective within the contractual 60-day term upon closing of the Merger, no "cashless basis" exercises were triggered during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of Public Warrants When the price per Share of Class A Common Stock Equals or Exceeds $180,000.00</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Once the Public Warrants become exercisable, the Company may redeem the outstanding Public Warrants:</w:t>
      </w:r>
    </w:p>
    <w:p>
      <w:pPr>
        <w:spacing w:after="0" w:line="185"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$100.00 per Warrant;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(the "30-day redemption period"); and</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per share of Class A Common Stock equals or exceeds $180,000.00 per share (as adjusted for adjustments to the number of shares issuable upon exercise or the exercise price of a Public Warrant as described under the heading “</w:t>
      </w:r>
      <w:r>
        <w:rPr>
          <w:rFonts w:ascii="Times New Roman" w:cs="Times New Roman" w:eastAsia="Times New Roman" w:hAnsi="Times New Roman"/>
          <w:sz w:val="18"/>
          <w:szCs w:val="18"/>
          <w:i w:val="1"/>
          <w:iCs w:val="1"/>
          <w:color w:val="auto"/>
        </w:rPr>
        <w:t>—Warrants—Public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Stockholder Warrants—Anti-dilution Adjustments</w:t>
      </w:r>
      <w:r>
        <w:rPr>
          <w:rFonts w:ascii="Times New Roman" w:cs="Times New Roman" w:eastAsia="Times New Roman" w:hAnsi="Times New Roman"/>
          <w:sz w:val="18"/>
          <w:szCs w:val="18"/>
          <w:color w:val="auto"/>
        </w:rPr>
        <w:t>” in the Resale Registration Statement) for any 20 trading days within a 30-trading day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ending three trading days before the Company sends the notice of redemption to the warrant holders.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will not redeem the Public Warrants as described above unless a registration statement under the Securities Act covering the issuance of shares of Class A Common Stock issuable upon exercise of the Public Warrants is then effective and a current prospectus relating to those shares of Class A Common Stock is available throughout the 30-day redemption period. If and when the Public Warrants become redeemable by the Company, the Company may not exercise its redemption right if the Company is unable to register or qualify the underlying securities for sale under all applicable state securities laws.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established the last of the redemption criterion discussed above to prevent a redemption call unless there is at the time of the call a significant premium to the Public Warrant exercise price. If the foregoing conditions are satisfied and the Company issues a notice of redemption of the Public Warrants, each warrant holder will be entitled to exercise his, her or its Public Warrant prior to the scheduled redemption date. However, the price per share of Class A Common Stock may fall below the $180,000.00 redemption trigger price (as adjusted for adjustments to the number of shares issuable upon exercise or the exercise price of a Public Warrant as described under the heading “</w:t>
      </w:r>
      <w:r>
        <w:rPr>
          <w:rFonts w:ascii="Times New Roman" w:cs="Times New Roman" w:eastAsia="Times New Roman" w:hAnsi="Times New Roman"/>
          <w:sz w:val="18"/>
          <w:szCs w:val="18"/>
          <w:i w:val="1"/>
          <w:iCs w:val="1"/>
          <w:color w:val="auto"/>
        </w:rPr>
        <w:t>—Warrants—Public Stockholder Warrants—Anti-dilution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Adjustments</w:t>
      </w:r>
      <w:r>
        <w:rPr>
          <w:rFonts w:ascii="Times New Roman" w:cs="Times New Roman" w:eastAsia="Times New Roman" w:hAnsi="Times New Roman"/>
          <w:sz w:val="18"/>
          <w:szCs w:val="18"/>
          <w:color w:val="auto"/>
        </w:rPr>
        <w:t>” in the Resale Registration Statement) as well as the $115,000.00 per share (for whole shares) Public Warrant exercise price after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redemption notice is issued.</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 fractional shares of Class A Common Stock will be issued upon exercise. If, upon exercise, a holder would be entitled to receive a fractional interest in a share, the Company will round down to the nearest whole number of the number of shares of Class A Common Stock to be issued to the holder.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GEM Financing Arrangement</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association with the GEM Letter, see </w:t>
      </w:r>
      <w:r>
        <w:rPr>
          <w:rFonts w:ascii="Times New Roman" w:cs="Times New Roman" w:eastAsia="Times New Roman" w:hAnsi="Times New Roman"/>
          <w:sz w:val="18"/>
          <w:szCs w:val="18"/>
          <w:i w:val="1"/>
          <w:iCs w:val="1"/>
          <w:color w:val="auto"/>
        </w:rPr>
        <w:t>Note 11 – Debt</w:t>
      </w:r>
      <w:r>
        <w:rPr>
          <w:rFonts w:ascii="Times New Roman" w:cs="Times New Roman" w:eastAsia="Times New Roman" w:hAnsi="Times New Roman"/>
          <w:sz w:val="18"/>
          <w:szCs w:val="18"/>
          <w:color w:val="auto"/>
        </w:rPr>
        <w:t xml:space="preserve"> for further details, at Closing, the GEM Warrant automatically became an obligation of the Company, and on December 15, 2023, the Company issued the GEM Warrant granting GEM the right to purchase 83 shares at an exercise price of $65,120.00 per share. GEM may exercise the GEM Warrant at any time and from time to time until December 14, 2026. The terms of the GEM Warrant provide that the exercise price of the GEM Warrant, and the number of shares of Class A Common Stock for which the GEM Warrant may be exercised, are subject to adjustment to account for increases or decreases in the number of outstanding shares of New Banzai Common Stock resulting from stock splits, reverse stock splits, consolidations, combinations and reclassifications. Additionally, the GEM Warrant contains weighted average anti-dilution provisions that provide that if the Company issues shares of Common Stock, or securities convertible into or exercisable or exchange for, shares of Common Stock at a price per share that is less than 90% of the exercise price then in effect or without consideration, then the exercise price of the GEM Warrant upon each such issuance will be adjusted to the price equal to 105% of the consideration per share paid for such Common Stock or other securities. In the event of a Change of Control, if the Surviving Corporation does not have registered class of equity securities and common shares listed on a U.S. national securities exchange, then the Holder is entitled to receive one percent of the total consideration received by the Company’s stockholders and the GEM Warrants will expire upon payment. Upon the closing of the OpenReel Merger, the exercise price of the GEM Warrants were adjusted to the price equal to 105% of the consideration per share paid which resulted in a strike price of $366.00.</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 per share market value of one share of Class A Common Stock is greater than the then-current exercise price, then GEM will have the option to exercise the GEM Warrant on a cashless basis and receive a number of shares of Class A Common Stock equal to (x) the number of shares of Class A Common Stock purchasable upon exercise of all of the GEM Warrant or, if only a portion of the GEM Warrant is being exercised, the portion of the GEM Warrant being exercised, less (y) the product of the then-current exercise price and the number of shares of Class A Common Stock purchasable upon exercise of all of the GEM Warrant or, if only a portion of the GEM Warrant is being exercised, the portion of the GEM Warrant being exercised, divided by the per share market value of one share of Class A Common Stock.</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GEM Warrant may not be exercised if such exercise would result in the beneficial ownership of the holder and its affiliates in excess of 9.99% of the then-issued and outstanding shares of Common Stock.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 Offering Warrants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association with the Private Placement Convertible Notes, see </w:t>
      </w:r>
      <w:r>
        <w:rPr>
          <w:rFonts w:ascii="Times New Roman" w:cs="Times New Roman" w:eastAsia="Times New Roman" w:hAnsi="Times New Roman"/>
          <w:sz w:val="18"/>
          <w:szCs w:val="18"/>
          <w:i w:val="1"/>
          <w:iCs w:val="1"/>
          <w:color w:val="auto"/>
        </w:rPr>
        <w:t>Note 11 – Debt</w:t>
      </w:r>
      <w:r>
        <w:rPr>
          <w:rFonts w:ascii="Times New Roman" w:cs="Times New Roman" w:eastAsia="Times New Roman" w:hAnsi="Times New Roman"/>
          <w:sz w:val="18"/>
          <w:szCs w:val="18"/>
          <w:color w:val="auto"/>
        </w:rPr>
        <w:t xml:space="preserve"> for further details, at Closing, the Company issued Private Placement Warrants. Holders of the Private Placement Warrants may exercise the Private Placement Warrants at any time and from time to time until the three years from the date of issuance for the June issuance and five years from the date of issuance for the August issuance. The terms of the Private Placement Warrants provide that the exercise price of the Private Placement Warrants, and the number of shares of Class A Common Stock for which the Private Placement Warrants may be exercised, are subject to adjustment to account for increases or decreases in the number of outstanding shares of Banzai Common Stock resulting from stock splits, reverse stock splits, consolidations, combinations, and reclassifications. Additionally, the Private Placement Warrants contain anti-dilution and change in option price or rate of conversion price ("Variable Price") provisions that provide that if the Company issues shares of Common Stock, or securities convertible into or exercisable or exchange for, shares of Common Stock after the Private Placement Offering, at a price per share that varies or may vary with the market price of the shares of Common Stock, including by way of one or more reset(s) to a fixed price, then the Holders of Private Placement Warrants have the right, but not the obligation, at their sole discretion, to elect to substitute the Variable Price for the Exercise Price upon exercise of the Private Placement Warrants. For further discussion of the accounting treatment and fair value of the Private Placement Warrants, see </w:t>
      </w:r>
      <w:r>
        <w:rPr>
          <w:rFonts w:ascii="Times New Roman" w:cs="Times New Roman" w:eastAsia="Times New Roman" w:hAnsi="Times New Roman"/>
          <w:sz w:val="18"/>
          <w:szCs w:val="18"/>
          <w:i w:val="1"/>
          <w:iCs w:val="1"/>
          <w:color w:val="auto"/>
        </w:rPr>
        <w:t>Note 7 – Fair Value Measurements.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an operating lease for its office space. Supplemental cash flow information related to leases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r>
      <w:tr>
        <w:trPr>
          <w:trHeight w:val="209"/>
        </w:trPr>
        <w:tc>
          <w:tcPr>
            <w:tcW w:w="6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r>
      <w:tr>
        <w:trPr>
          <w:trHeight w:val="216"/>
        </w:trPr>
        <w:tc>
          <w:tcPr>
            <w:tcW w:w="6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Non-cash lease expense (operating cash flow)</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63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Change in lease liabilities (operating cash flow)</w:t>
            </w: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Repayment Agreement with Sidley Austin LLP</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19, 2024, the Company entered into a Repayment Agreement with Sidley Austin LLP (“Sidley”) for previously provided legal services (the “Sidley Repayment Agreement”). Under the Sidley Repayment Agreement, the Company’s outstanding fees have been lowered from $4,816 to $1,605 (the “Sidley Unpaid Fee”). Under the Sidley Repayment Agreement, the Company agrees to 12 monthly payments that Sidley applies to the balance of the Sidley Unpaid Fee on a 2 for 1 basis, such that for every one dollar ($1.00) paid by Company, Sidley shall reduce the Sidley Unpaid Fee Amount by an additional two dollars ($2.00). If payments are not made in accordance with the Sidley Repayment Agreement, the shortfall shall accrue interest at a rate of 12% per annum, compounded daily, until such payment is made. As such, in accordance with ASC 470-60, no gain on settlement will be recorded until all payments have been made as required and the potential obligation to pay the amounts written off are eliminated. The Company made all required payments as of March 31, 2025 and accordingly recognized a gain on settlement of approximately $3.2 million, recognized within gain on extinguishment of liabilities on the unaudited condensed consolidated statements of operations for the three months ended March 31, 2025.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Repayment Agreement with Donnelley Financial LLC</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13, 2024, the Company entered into a Repayment Agreement with Donnelley Financial LLC (“Donnelley”) for previously provided services (the “Donnelley Repayment Agreement”). Under the Donnelley Repayment Agreement, the Company’s outstanding fees have been lowered from $1,072 to $357 (the “Donnelley Unpaid Fee”). The Donnelley Unpaid Fee will be paid in 12 monthly installments, with the first monthly payment of $45 due on October 1, 2024; the remaining 11 payments shall each be in the amount of $28. Under the Donnelly Repayment Agreement, the original outstanding fee balance shall become immediately due and payable upon the occurrence of certain events, including failure to make a payment of the Donnelly Unpaid Fee when due and failure to pay for any additional services. As such, in accordance with ASC 470-60, no gain on settlement will be recorded until all payments have been made as required and the potential obligation to pay the amounts written off are eliminated. The remaining unpaid balance of $85 is included in accrued expenses and other current liabilities on the condensed consolidated balance sheets as of March 31, 2026.</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Repayment Agreement with Verista Partners, Inc.</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26, 2024, the Company entered into a Repayment Agreement with Verista Partners, Inc. aka Winterberry Group, (“Verista” or “Winterberry”) for previously provided services (the “Verista Repayment Agreement”). Under the Verista Repayment Agreement, the Company’s outstanding fees are $197 (the “Verista Unpaid Fee”). The Company and Verista have agreed that the Verista Unpaid Fee will be repaid with $67 worth of shares of the Company, and $130 in 16 equal cash installment payments of $8 beginning on October 1, 2024, and on the first day of each month thereafter through January 1, 2026. As of March 31, 2026, the Company had issued 3,000 shares and made aggregate installment payments of $78 to Verista. The remaining unpaid balance of $46 is included in Accounts Payable on the condensed consolidated balance sheets as of March 31,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Matters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regular course of business affairs and operations, the Company is subject to possible loss contingencies arising from third-party litigation and federal, state, and local environmental, labor, health and safety laws and regulations. The Company assesses the probability that they may incur a liability in connection with certain of these lawsuits. The Company's assessments are made in accordance with generally accepted accounting principles, as codified in ASC 450-20, and is not an admission of any liability on the part of the Company or any of its subsidiaries. In certain cases that are in the early stages and in light of the uncertainties surrounding them, the Company does not currently possess sufficient information to determine a range of reasonably possible liability.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Equity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capital stock consists of Class A Common Stock, Class B Common Stock, Preferred Stock and Series FE Preferred Stock. All classes of stock have a par value of $0.0001 per share. The table below sets forth information about the Company’s equity, as of March 31, 2026:</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60" w:type="dxa"/>
            <w:vAlign w:val="bottom"/>
          </w:tcPr>
          <w:p>
            <w:pPr>
              <w:spacing w:after="0"/>
              <w:rPr>
                <w:sz w:val="20"/>
                <w:szCs w:val="20"/>
                <w:color w:val="auto"/>
              </w:rPr>
            </w:pPr>
          </w:p>
        </w:tc>
        <w:tc>
          <w:tcPr>
            <w:tcW w:w="13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Authorized</w:t>
            </w: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Issued</w:t>
            </w:r>
          </w:p>
        </w:tc>
        <w:tc>
          <w:tcPr>
            <w:tcW w:w="100" w:type="dxa"/>
            <w:vAlign w:val="bottom"/>
          </w:tcPr>
          <w:p>
            <w:pPr>
              <w:spacing w:after="0"/>
              <w:rPr>
                <w:sz w:val="20"/>
                <w:szCs w:val="20"/>
                <w:color w:val="auto"/>
              </w:rPr>
            </w:pPr>
          </w:p>
        </w:tc>
        <w:tc>
          <w:tcPr>
            <w:tcW w:w="1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Outstanding</w:t>
            </w:r>
          </w:p>
        </w:tc>
      </w:tr>
      <w:tr>
        <w:trPr>
          <w:trHeight w:val="209"/>
        </w:trPr>
        <w:tc>
          <w:tcPr>
            <w:tcW w:w="68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Preferred Stock</w:t>
            </w: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75,000,000</w:t>
            </w: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Series FE Preferred Stock</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Class A Common Stock</w:t>
            </w: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250,000,000</w:t>
            </w:r>
          </w:p>
        </w:tc>
        <w:tc>
          <w:tcPr>
            <w:tcW w:w="15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855,799</w:t>
            </w:r>
          </w:p>
        </w:tc>
        <w:tc>
          <w:tcPr>
            <w:tcW w:w="15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855,799</w:t>
            </w:r>
          </w:p>
        </w:tc>
      </w:tr>
      <w:tr>
        <w:trPr>
          <w:trHeight w:val="216"/>
        </w:trPr>
        <w:tc>
          <w:tcPr>
            <w:tcW w:w="6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Class B Common Stock</w:t>
            </w: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25,000,000</w:t>
            </w: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11,556</w:t>
            </w:r>
          </w:p>
        </w:tc>
        <w:tc>
          <w:tcPr>
            <w:tcW w:w="100" w:type="dxa"/>
            <w:vAlign w:val="bottom"/>
          </w:tcPr>
          <w:p>
            <w:pPr>
              <w:spacing w:after="0"/>
              <w:rPr>
                <w:sz w:val="18"/>
                <w:szCs w:val="18"/>
                <w:color w:val="auto"/>
              </w:rPr>
            </w:pPr>
          </w:p>
        </w:tc>
        <w:tc>
          <w:tcPr>
            <w:tcW w:w="1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11,556</w:t>
            </w:r>
          </w:p>
        </w:tc>
      </w:tr>
      <w:tr>
        <w:trPr>
          <w:trHeight w:val="249"/>
        </w:trPr>
        <w:tc>
          <w:tcPr>
            <w:tcW w:w="68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350,000,001</w:t>
            </w:r>
          </w:p>
        </w:tc>
        <w:tc>
          <w:tcPr>
            <w:tcW w:w="12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867,355</w:t>
            </w: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867,355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-25400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-7620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-25400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-7620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and B Common Stock</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Class A Common Stock and Class B Common Stock entitle their holders to one vote per share and ten votes per share, respectively, on each matter properly submitted to the stockholders entitled to vote thereon. The holders of shares of Common Stock shall be entitled to receive dividends declared by the Board of Directors ("Board"), on a pro rata basis based on the number of shares of Common Stock held by each such holder, assuming conversion of all Class B Common Stock into Class A Common Stock at a one to one conversion ratio.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02" w:lineRule="exact"/>
        <w:rPr>
          <w:sz w:val="20"/>
          <w:szCs w:val="20"/>
          <w:color w:val="auto"/>
        </w:rPr>
      </w:pPr>
    </w:p>
    <w:p>
      <w:pPr>
        <w:ind w:right="460"/>
        <w:spacing w:after="0" w:line="453" w:lineRule="auto"/>
        <w:rPr>
          <w:sz w:val="20"/>
          <w:szCs w:val="20"/>
          <w:color w:val="auto"/>
        </w:rPr>
      </w:pPr>
      <w:r>
        <w:rPr>
          <w:rFonts w:ascii="Times New Roman" w:cs="Times New Roman" w:eastAsia="Times New Roman" w:hAnsi="Times New Roman"/>
          <w:sz w:val="18"/>
          <w:szCs w:val="18"/>
          <w:color w:val="auto"/>
        </w:rPr>
        <w:t xml:space="preserve">The Board has the authority to issue preferred stock and to determine the rights, privileges, preferences, restrictions, and voting rights of those shares. </w:t>
      </w:r>
      <w:r>
        <w:rPr>
          <w:rFonts w:ascii="Times New Roman" w:cs="Times New Roman" w:eastAsia="Times New Roman" w:hAnsi="Times New Roman"/>
          <w:sz w:val="18"/>
          <w:szCs w:val="18"/>
          <w:b w:val="1"/>
          <w:bCs w:val="1"/>
          <w:i w:val="1"/>
          <w:iCs w:val="1"/>
          <w:color w:val="auto"/>
        </w:rPr>
        <w:t>Series FE Preferred Stock</w:t>
      </w:r>
    </w:p>
    <w:p>
      <w:pPr>
        <w:spacing w:after="0" w:line="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and as a condition to closing under the Merger Agreement during 2024, on the Closing Date, the Company issued one (1) share of series FE preferred stock (the “Series FE Preferred Stock”), to one of the OpenReel Stockholders, FE IV OR Aggregator, LLC. The Series FE Preferred Stock has a two (2) year term and from the issue date to the second anniversary of the issue date, the holder is granted the right upon a subsequent financing resulting in the issuance of new securities by the Company, to participate on a pro-rata basis in such subsequent financing up to the holder's fully-diluted ownership percentage of the Company. Upon the two-year anniversary of the issue date of the Series FE Preferred Stock, the Series FE Preferred Stock will automatically be canceled and return to the status of authorized but unissued. The Series FE Preferred Stock does not participate in dividends of the Company, is not convertible into any other class of equity securities of the Company, has no voting rights with the Common Stock or other equity securities of the Company, and is not redeemable.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Yorkville Standby Equity Purchase Agreement ("SEPA")</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14, 2023, the Company entered into the SEPA with YA II PN, LTD, a Cayman Islands exempt limited partnership managed by Yorkville Advisors Global, LP (“Yorkville”) in connection with the Merger. Pursuant to the SEPA, subject to certain conditions, the Company shall have the option, but not the obligation, to sell to Yorkville, and Yorkville shall subscribe for, an aggregate amount of up to $100 million of the Company’s shares of Class A common stock, par value $0.0001 per share, at the Company’s request any time during the commitment period commencing on December 14, 2023 and terminating on the 36-month anniversary of the SEPA (the “SEPA Option”).</w:t>
      </w:r>
    </w:p>
    <w:p>
      <w:pPr>
        <w:spacing w:after="0" w:line="1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advance (each, an “Advance”) the Company requests under the SEPA (notice of such request, an “Advance Notice”) may be for a number of shares of Class A common stock up to the greater of (i) 500 shares or (ii) such amount as is equal to 100% of the average daily volume traded of the Class A common stock during the five trading days immediately prior to the date the Company requests each Advance; provided, in no event shall the number of shares of Class A common stock issued cause the aggregate shares of Class A common stock held by Yorkville and its affiliates as of any such date to exceed 9.99% of the total number of shares of Class A common stock outstanding as of the date of the Advance Notice (less any such shares held by Yorkville and its affiliates as of such date) (the “Exchange Cap”). The shares would be purchased, at the Company’s election, at a purchase price equal to either:</w:t>
      </w:r>
    </w:p>
    <w:p>
      <w:pPr>
        <w:spacing w:after="0" w:line="148"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95% of the average daily Volume Weighted Average Price (“VWAP”) of the Class A Common Stock on the Nasdaq Stock Market</w:t>
      </w:r>
    </w:p>
    <w:p>
      <w:pPr>
        <w:spacing w:after="0" w:line="27" w:lineRule="exact"/>
        <w:rPr>
          <w:sz w:val="20"/>
          <w:szCs w:val="20"/>
          <w:color w:val="auto"/>
        </w:rPr>
      </w:pPr>
    </w:p>
    <w:p>
      <w:pPr>
        <w:ind w:left="5540" w:right="3840" w:hanging="4507"/>
        <w:spacing w:after="0" w:line="260" w:lineRule="auto"/>
        <w:rPr>
          <w:sz w:val="20"/>
          <w:szCs w:val="20"/>
          <w:color w:val="auto"/>
        </w:rPr>
      </w:pPr>
      <w:r>
        <w:rPr>
          <w:rFonts w:ascii="Times New Roman" w:cs="Times New Roman" w:eastAsia="Times New Roman" w:hAnsi="Times New Roman"/>
          <w:sz w:val="18"/>
          <w:szCs w:val="18"/>
          <w:color w:val="auto"/>
        </w:rPr>
        <w:t>(“Nasdaq”), subject to certain conditions per the SEPA (the “Option 1 Pricing Period; or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315" w:lineRule="exact"/>
        <w:rPr>
          <w:sz w:val="20"/>
          <w:szCs w:val="20"/>
          <w:color w:val="auto"/>
        </w:rPr>
      </w:pPr>
    </w:p>
    <w:p>
      <w:pPr>
        <w:ind w:left="10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 of the lowest daily VWAP of the Class A Common Stock during the three trading days commencing on the Advance Notice date, subject to certain conditions per the SEPA (the “Option 2 Pricing Period”).</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purchase under an Advance would be subject to certain limitations, including that Yorkville shall not purchase or acquire any shares that would result in it and its affiliates beneficially owning more than 9.99% of the then outstanding voting power or number of shares of Class A common stock or any shares that, aggregated with shares issued under all other earlier Advances, would exceed 19.99% of all shares of Class A Common Stock and Class B Common Stock of the Company, par value $0.0001 per share, outstanding on the date of the SEPA, unless Company shareholder approval was obtained allowing for issuances in excess of such amount.</w:t>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SEPA Option was determined to be a freestanding financial instrument which did not meet the criteria to be accounted for as a derivative instrument or to be recognized within equity. Pursuant to ASC 815, the Company will therefore recognize the SEPA Option as an asset or liability, measured at fair value at the date of issuance, December 14, 2023, and in subsequent reporting periods, with changes in fair value recognized in earnings.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execution of the SEPA, the Company agreed to pay a commitment fee of $500 to Yorkville at the earlier of (i) March 14, 2024 or</w:t>
      </w:r>
    </w:p>
    <w:p>
      <w:pPr>
        <w:spacing w:after="0" w:line="27" w:lineRule="exact"/>
        <w:rPr>
          <w:sz w:val="20"/>
          <w:szCs w:val="20"/>
          <w:color w:val="auto"/>
        </w:rPr>
      </w:pPr>
    </w:p>
    <w:p>
      <w:pPr>
        <w:ind w:firstLine="8"/>
        <w:spacing w:after="0" w:line="260" w:lineRule="auto"/>
        <w:tabs>
          <w:tab w:leader="none" w:pos="27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the SEPA, which will be payable, at the option of the Company, in cash or shares of Class A Common Stock through an Advance (the “Deferred Fee”). In March 2024 the Company issued 71 shares of Class A Common Stock as payment for the Deferred Fee.</w:t>
      </w:r>
    </w:p>
    <w:p>
      <w:pPr>
        <w:spacing w:after="0" w:line="14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terms of the SEPA, at any time that there is a balance outstanding under the Yorkville Promissory Notes or Yorkville Note, Yorkville has the right to receive shares to pay down the principal balance, and may select the timing and delivery of such shares (via an “Investor Notice”), in an amount up to the outstanding principal balance on the Yorkville Promissory Notes at a purchase price equal to the lower of (i) $100,000.00 per share of Class A common stock (the “Fixed Price”), or (ii) 90% of the lowest daily Volume Weighted Average Price (“VWAP”) of the Class A common stock on Nasdaq during the 10 consecutive Trading Days immediately preceding the Investor Notice date or other date of determination (the “Variable Price”). The Variable Price shall not be lower than $20,000.00 per share (the “Floor Price”). The Floor Price shall be adjusted (downwards only) to equal 20% of the average VWAP for the five trading days immediately prior to the date of effectiveness of the initial Registration Statement. Notwithstanding the foregoing, the Company may reduce the Floor Price to any amount via written notice to Yorkville, provided that such amount is no more than 75% of the closing price on the Trading Day immediately prior to the time of such reduction and no greater than $20,000.00 per share of Class A common stock (the “Conversion Price”). At any time that there is a balance outstanding under the Yorkville Promissory Notes, the Company is not permitted to issue Advance Notices under the SEPA unless an Amortization Event has occurred under the terms of the Yorkville Promissory Notes agreement.</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the Company issued Advance Notices to Yorkville pursuant to the SEPA requesting the purchase of shares of the Company’s Class A common stock. The Company elected to issue Advance Notices subject to both the Option 1 Pricing Period (the “Option 1 Advances”) and the Option 2 Pricing Period (the “Option 2 Advances”).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the Company requested the purchase of a total of 15,875 shares of the Company’s Class A common stock in connection with the Option 1 Advances, which Yorkville purchased for a total purchase price of approximately $336. The Company recognized a loss of approximately $14 on the sales during the three months ended March 31, 2026, which represents the difference between the fair value of the shares issued and the proceeds received from the sales.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three months ended March 31, 2026 the Company requested the purchase of a total of 15,875 shares of the Company’s Class A common stock in connection the Option 2 Advances. The issuance of the Advance Notices subject to the Option 2 Pricing Period represents the creation of forward share sales contracts, which were determined to meet the definition of a derivative pursuant to ASC 815. As such, upon issuance of the Advance Notices for the Option 2 Advances, the Company recognized derivative liabilities totaling approximately $14 in the aggregate, the fair values of which represented the intrinsic value of the requested number of shares of Class A common stock on the Advance Notice dates. The Company recognized a loss of approximately $14 during the three months ended March 31, 2026 representing the change in fair value of the derivative liabilities during the period from the Advance Notice dates and the settlement dates of the Option 2 Advances. Upon settlement of the Option 2 Advances, the Company sold an aggregate of 15,875 shares of the Company’s Class A common stock to Yorkville for total proceeds of approximately $336.</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during the three months ended March 31, 2026, the Company settled five Advance Notices subject to the Option 2 Pricing Period issued on December 30, 2024, and accordingly sold 31,750 of the Company’s Class A common stock to Yorkville for proceeds of approximately $701.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Issued under ATM Agreement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27, 2025, the Company entered into an At The Market Offering Agreement (the “ATM Agreement”) with H.C. Wainwright &amp; Co., LLC, as sales agent (“Wainwright”), to sell its shares of Class A Common Stock, par value $0.0001 per share, from time to time, in an “at the market offering” program through Wainwright, with certain limitations on the amount of Class A Common Stock that may be offered and sold thereunder. The sales of the Shares made under the ATM Agreement ("the ATM Shares") will be made by any method permitted by law deemed to be an “at the market offering” as defined in Rule 415(a)(4) promulgated under the Securities Act of 1933, as amended, including sales made directly on or through the Nasdaq Capital Market or on any other existing trading market for the Company’s Class A Common Stock, directly to Wainwright as principal, in negotiated transactions at market prices prevailing at the time of sale or at prices related to such prevailing market prices, and/or in any other method permitted by law.</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Offers and sales of the ATM shares by the Company will be made through a prospectus supplement, dated August 27, 2025 and an accompanying base prospectus, dated August 8, 2025 (the “ATM Prospectus Supplement”), which ATM Prospectus Supplement forms a part of the Company’s shelf registration statement on Form S-3 (File 333-288908), as amended, initially filed with the SEC on July 23, 2025 (the “Registration Statement”) and declared effective by the SEC on August 8, 2025. The aggregate market value of the shares of Class A Common Stock eligible for sale under the ATM Prospectus Supplement is approximately $8.2 million as of December 5, 2025, which is based on the limitations of General Instruction I.B.6 of Form S-3.</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ATM Agreement, the Company will set the parameters for the sale of the ATM Shares, including the number of ATM Shares to be issued, the time period during which sales are requested to be made, limitation on the number of ATM Shares that may be sold in any one trading day and any minimum price below which sales may not be made. Upon delivery of a placement notice and subject to the terms and conditions of the ATM Agreement, the Manager will use its commercially reasonable efforts, consistent with its normal trading and sales practices, applicable state and federal law, rules and regulations, and the rules of Nasdaq, to sell the ATM Shares from time to time based upon the Company’s instructions. The Company has no obligation to sell any the ATM Shares under the ATM Agreement and may at any time suspend solicitation and offers under the ATM Agreement. The Manager is not obligated to purchase any ATM Shares on a principal basis pursuant to the ATM Agreement.</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ATM Agreement provides that the Company will pay the Manager commissions for its services for acting as agent in the sale of the ATM Shares. The Manager will be entitled to compensation at a fixed commission rate equal to up to 3.0% of the gross proceeds from the sale of the ATM Shares. The Company has agreed to provide the Manager and certain affiliates of the Manager with customary indemnification and contribution rights, including for liabilities under the Securities Act. Pursuant to the ATM Agreement terms, the Company has agreed to reimburse Wainwright for the reasonable fees and expenses of its legal counsel not to exceed $100 (excluding any periodic due diligence fees) incurred in connection with entering into the transactions contemplated by the ATM Agreement and has agreed to reimburse Wainwright up to a maximum of $5 per Representation Date (as defined in the ATM Agreement) in connection with a new Registration Statement or the filing of the Company’s Annual Report on Form 10-K and approximately $3 in connection with each other Representation Date, plus any incidental expense incurred by the Manager in connection therewith.</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ATM Agreement contains customary representations and warranties and conditions regarding the placements of the Shares pursuant thereto, obligations to sell Shares under the ATM Agreement are subject to satisfaction of certain conditions, including the effectiveness of the Registration Statement.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ATM and the ATM Prospectus Supplement will terminate upon the earlier of (i) the sale of the Maximum Amount (as defined in the ATM Agreement) of Shares pursuant to the ATM Agreement, or (b) the termination of the ATM Agreement by us or the Manager as permitted therein.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2025, the Company entered into a private placement agreement with certain investors to sell 1,595 shares of Class A common stock at $138.00 per share and 1,618 prefunded warrants (the “May 2025 Prefunded Warrants”) at $68.00 per warrant. The May 2025 Prefunded Warrants were immediately exercised, resulting in the issuance of 1,618 shares of Class A common stock. The Company collected in aggregate $330 of gross proceeds from this private placement.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2026, the Company issued 107,258 shares under the ATM Agreement for net proceeds of approximately $2,636.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Issued to Hudson</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January 3, 2025, the Company issued 750 restricted shares of its Common Stock, with a determined fair value of $231, partially in exchange for the business advisory services outlined in the consulting agreement with Hudson Global Ventures, LLC, a Nevada limited liability company ("Hudson"). On April 25, 2025, July 1, 2025 and September 3, 2025, the Company issued 2,000, 1,180, and 2,600,</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respectively, restricted shares of its Class A Common Stock to Hudson, in exchange for certain business advisory services as outlined in a consulting agreement with Hudson, executed on April 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Issued to Verista</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On August 26, 2024, the Company issued 150 shares of its Common Stock, with a determined fair value of $50, in partial settlement of amounts owing to Verista. Refer to </w:t>
      </w:r>
      <w:r>
        <w:rPr>
          <w:rFonts w:ascii="Times New Roman" w:cs="Times New Roman" w:eastAsia="Times New Roman" w:hAnsi="Times New Roman"/>
          <w:sz w:val="18"/>
          <w:szCs w:val="18"/>
          <w:i w:val="1"/>
          <w:iCs w:val="1"/>
          <w:color w:val="auto"/>
        </w:rPr>
        <w:t>Note 13 – Commitments and Contingencies</w:t>
      </w:r>
      <w:r>
        <w:rPr>
          <w:rFonts w:ascii="Times New Roman" w:cs="Times New Roman" w:eastAsia="Times New Roman" w:hAnsi="Times New Roman"/>
          <w:sz w:val="18"/>
          <w:szCs w:val="18"/>
          <w:color w:val="auto"/>
        </w:rPr>
        <w:t xml:space="preserve"> for further detail.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Issued for RSU</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2026 and 2025, 38,304 and 1,689 RSUs vested into shares of Class A Common Stock of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Issued for Vidello Acquisition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As disclosed above, on January 31, 2025, the Company closed a previously announced merger with Vidello. As part of the consideration paid to the Vidello Shareholders, the Company issued 4,491 shares of Class A Common Stock, with a determined fair value of $1,662. Refer to </w:t>
      </w:r>
      <w:r>
        <w:rPr>
          <w:rFonts w:ascii="Times New Roman" w:cs="Times New Roman" w:eastAsia="Times New Roman" w:hAnsi="Times New Roman"/>
          <w:sz w:val="18"/>
          <w:szCs w:val="18"/>
          <w:i w:val="1"/>
          <w:iCs w:val="1"/>
          <w:color w:val="auto"/>
        </w:rPr>
        <w:t>Note 4 – Acquisitions</w:t>
      </w:r>
      <w:r>
        <w:rPr>
          <w:rFonts w:ascii="Times New Roman" w:cs="Times New Roman" w:eastAsia="Times New Roman" w:hAnsi="Times New Roman"/>
          <w:sz w:val="18"/>
          <w:szCs w:val="18"/>
          <w:color w:val="auto"/>
        </w:rPr>
        <w:t xml:space="preserve"> for further detail.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Issued for pre-funded warrant exercise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On January 7, 2025, the Company issued 4 shares of Class A Common Stock to CP BF, resulting from the exercise by CP BF of exercise of four (4) pre-funded warrants under the CP BF Pre-Funded Warrant. See </w:t>
      </w:r>
      <w:r>
        <w:rPr>
          <w:rFonts w:ascii="Times New Roman" w:cs="Times New Roman" w:eastAsia="Times New Roman" w:hAnsi="Times New Roman"/>
          <w:sz w:val="18"/>
          <w:szCs w:val="18"/>
          <w:i w:val="1"/>
          <w:iCs w:val="1"/>
          <w:color w:val="auto"/>
        </w:rPr>
        <w:t>Note 12 – Warrant Liabilities.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April 21, 2025, the Company issued 5,244 shares of Class A Common Stock to Alco, resulting from the exercise by Alco of pre-funded warrants purchased during September 2024.</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26, 2025, the Company issued 58,832 shares of Class A Common Stock to FE IV Aggregator, resulting from the exercise by FE IV Aggregator of Pre-Funded Warrants held by FE Aggregator as part of the OpenReel Merger Consideration.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Issued for private placement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2025, the Company entered into a private placement agreement with certain investors to sell 1,594 shares of Class A common stock at $138.00 per share and 1,618 prefunded warrants (the "May 2025 Prefunded Warrants") at $68.00 per warrant. The May 2025 Prefunded Warrants were immediately exercised, resulting in the issuance of 1,618 shares of Class A common stock. The Company collected in aggregate $330 of gross proceeds from this private placement.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Stock-Based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option activity under the 2021 Equity Incentive Plan ("Plan") during the three months ended March 31, 2026 is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8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820" w:type="dxa"/>
            <w:vAlign w:val="bottom"/>
          </w:tcPr>
          <w:p>
            <w:pPr>
              <w:spacing w:after="0"/>
              <w:rPr>
                <w:sz w:val="17"/>
                <w:szCs w:val="17"/>
                <w:color w:val="auto"/>
              </w:rPr>
            </w:pPr>
          </w:p>
        </w:tc>
        <w:tc>
          <w:tcPr>
            <w:tcW w:w="130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center"/>
              <w:ind w:right="193"/>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20" w:type="dxa"/>
            <w:vAlign w:val="bottom"/>
          </w:tcPr>
          <w:p>
            <w:pPr>
              <w:spacing w:after="0"/>
              <w:rPr>
                <w:sz w:val="17"/>
                <w:szCs w:val="17"/>
                <w:color w:val="auto"/>
              </w:rPr>
            </w:pPr>
          </w:p>
        </w:tc>
        <w:tc>
          <w:tcPr>
            <w:tcW w:w="1300" w:type="dxa"/>
            <w:vAlign w:val="bottom"/>
          </w:tcPr>
          <w:p>
            <w:pPr>
              <w:jc w:val="center"/>
              <w:ind w:right="96"/>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820" w:type="dxa"/>
            <w:vAlign w:val="bottom"/>
          </w:tcPr>
          <w:p>
            <w:pPr>
              <w:spacing w:after="0"/>
              <w:rPr>
                <w:sz w:val="17"/>
                <w:szCs w:val="17"/>
                <w:color w:val="auto"/>
              </w:rPr>
            </w:pPr>
          </w:p>
        </w:tc>
        <w:tc>
          <w:tcPr>
            <w:tcW w:w="130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Underlying</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center"/>
              <w:ind w:right="193"/>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20" w:type="dxa"/>
            <w:vAlign w:val="bottom"/>
          </w:tcPr>
          <w:p>
            <w:pPr>
              <w:spacing w:after="0"/>
              <w:rPr>
                <w:sz w:val="17"/>
                <w:szCs w:val="17"/>
                <w:color w:val="auto"/>
              </w:rPr>
            </w:pPr>
          </w:p>
        </w:tc>
        <w:tc>
          <w:tcPr>
            <w:tcW w:w="1300" w:type="dxa"/>
            <w:vAlign w:val="bottom"/>
          </w:tcPr>
          <w:p>
            <w:pPr>
              <w:jc w:val="center"/>
              <w:ind w:right="96"/>
              <w:spacing w:after="0"/>
              <w:rPr>
                <w:sz w:val="20"/>
                <w:szCs w:val="20"/>
                <w:color w:val="auto"/>
              </w:rPr>
            </w:pPr>
            <w:r>
              <w:rPr>
                <w:rFonts w:ascii="Times New Roman" w:cs="Times New Roman" w:eastAsia="Times New Roman" w:hAnsi="Times New Roman"/>
                <w:sz w:val="16"/>
                <w:szCs w:val="16"/>
                <w:b w:val="1"/>
                <w:bCs w:val="1"/>
                <w:color w:val="auto"/>
              </w:rPr>
              <w:t>Contractual</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15"/>
        </w:trPr>
        <w:tc>
          <w:tcPr>
            <w:tcW w:w="5820" w:type="dxa"/>
            <w:vAlign w:val="bottom"/>
          </w:tcPr>
          <w:p>
            <w:pPr>
              <w:spacing w:after="0"/>
              <w:rPr>
                <w:sz w:val="18"/>
                <w:szCs w:val="18"/>
                <w:color w:val="auto"/>
              </w:rPr>
            </w:pPr>
          </w:p>
        </w:tc>
        <w:tc>
          <w:tcPr>
            <w:tcW w:w="130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120" w:type="dxa"/>
            <w:vAlign w:val="bottom"/>
          </w:tcPr>
          <w:p>
            <w:pPr>
              <w:spacing w:after="0"/>
              <w:rPr>
                <w:sz w:val="18"/>
                <w:szCs w:val="18"/>
                <w:color w:val="auto"/>
              </w:rPr>
            </w:pPr>
          </w:p>
        </w:tc>
        <w:tc>
          <w:tcPr>
            <w:tcW w:w="1200" w:type="dxa"/>
            <w:vAlign w:val="bottom"/>
            <w:tcBorders>
              <w:bottom w:val="single" w:sz="8" w:color="auto"/>
            </w:tcBorders>
            <w:gridSpan w:val="2"/>
          </w:tcPr>
          <w:p>
            <w:pPr>
              <w:jc w:val="center"/>
              <w:ind w:right="13"/>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20" w:type="dxa"/>
            <w:vAlign w:val="bottom"/>
          </w:tcPr>
          <w:p>
            <w:pPr>
              <w:spacing w:after="0"/>
              <w:rPr>
                <w:sz w:val="18"/>
                <w:szCs w:val="18"/>
                <w:color w:val="auto"/>
              </w:rPr>
            </w:pPr>
          </w:p>
        </w:tc>
        <w:tc>
          <w:tcPr>
            <w:tcW w:w="13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rPr>
              <w:t>Term (in years)</w:t>
            </w:r>
          </w:p>
        </w:tc>
        <w:tc>
          <w:tcPr>
            <w:tcW w:w="120" w:type="dxa"/>
            <w:vAlign w:val="bottom"/>
          </w:tcPr>
          <w:p>
            <w:pPr>
              <w:spacing w:after="0"/>
              <w:rPr>
                <w:sz w:val="18"/>
                <w:szCs w:val="18"/>
                <w:color w:val="auto"/>
              </w:rPr>
            </w:pPr>
          </w:p>
        </w:tc>
        <w:tc>
          <w:tcPr>
            <w:tcW w:w="12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Intrinsic Value</w:t>
            </w:r>
          </w:p>
        </w:tc>
      </w:tr>
      <w:tr>
        <w:trPr>
          <w:trHeight w:val="213"/>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3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628</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6,874.80</w:t>
            </w:r>
          </w:p>
        </w:tc>
        <w:tc>
          <w:tcPr>
            <w:tcW w:w="142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8.64</w:t>
            </w:r>
          </w:p>
        </w:tc>
        <w:tc>
          <w:tcPr>
            <w:tcW w:w="640" w:type="dxa"/>
            <w:vAlign w:val="bottom"/>
            <w:gridSpan w:val="2"/>
            <w:shd w:val="clear" w:color="auto" w:fill="CFF0FC"/>
          </w:tcPr>
          <w:p>
            <w:pPr>
              <w:jc w:val="right"/>
              <w:ind w:right="33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1,170.00</w:t>
            </w:r>
          </w:p>
        </w:tc>
        <w:tc>
          <w:tcPr>
            <w:tcW w:w="120" w:type="dxa"/>
            <w:vAlign w:val="bottom"/>
          </w:tcPr>
          <w:p>
            <w:pPr>
              <w:spacing w:after="0"/>
              <w:rPr>
                <w:sz w:val="18"/>
                <w:szCs w:val="18"/>
                <w:color w:val="auto"/>
              </w:rPr>
            </w:pPr>
          </w:p>
        </w:tc>
        <w:tc>
          <w:tcPr>
            <w:tcW w:w="13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March 31, 2026</w:t>
            </w:r>
          </w:p>
        </w:tc>
        <w:tc>
          <w:tcPr>
            <w:tcW w:w="13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628</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6,901.20</w:t>
            </w:r>
          </w:p>
        </w:tc>
        <w:tc>
          <w:tcPr>
            <w:tcW w:w="12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8.40</w:t>
            </w:r>
          </w:p>
        </w:tc>
        <w:tc>
          <w:tcPr>
            <w:tcW w:w="12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March 31, 2026</w:t>
            </w: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12,959.60</w:t>
            </w:r>
          </w:p>
        </w:tc>
        <w:tc>
          <w:tcPr>
            <w:tcW w:w="14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7.90</w:t>
            </w:r>
          </w:p>
        </w:tc>
        <w:tc>
          <w:tcPr>
            <w:tcW w:w="640" w:type="dxa"/>
            <w:vAlign w:val="bottom"/>
            <w:gridSpan w:val="2"/>
          </w:tcPr>
          <w:p>
            <w:pPr>
              <w:jc w:val="right"/>
              <w:ind w:right="33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8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-170815</wp:posOffset>
            </wp:positionV>
            <wp:extent cx="7683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-170815</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-170815</wp:posOffset>
            </wp:positionV>
            <wp:extent cx="7683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17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For the three months ended March 31, 2026 and 2025, the Company recorded stock-based compensation expense related to stock options of $23 and $22, which is included in general and administrative expense. As of March 31, 2026 and 2025, $203 and $191 of unrecognized compensation expense related to non-vested awards is expected to be recognized over the weighted average period of 8.87 and 9.25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7" w:lineRule="exact"/>
        <w:rPr>
          <w:sz w:val="20"/>
          <w:szCs w:val="20"/>
          <w:color w:val="auto"/>
        </w:rPr>
      </w:pPr>
    </w:p>
    <w:p>
      <w:pPr>
        <w:jc w:val="both"/>
        <w:ind w:firstLine="48"/>
        <w:spacing w:after="0" w:line="282" w:lineRule="auto"/>
        <w:rPr>
          <w:sz w:val="20"/>
          <w:szCs w:val="20"/>
          <w:color w:val="auto"/>
        </w:rPr>
      </w:pPr>
      <w:r>
        <w:rPr>
          <w:rFonts w:ascii="Times New Roman" w:cs="Times New Roman" w:eastAsia="Times New Roman" w:hAnsi="Times New Roman"/>
          <w:sz w:val="18"/>
          <w:szCs w:val="18"/>
          <w:color w:val="auto"/>
        </w:rPr>
        <w:t>years, respectively. The aggregate intrinsic value is calculated as the difference between the fair value of the Company’s stock price and the exercise price of the options.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RSUs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measures the fair value of RSUs using the stock price on the date of grant. Stock-based compensation expense for employee-granted RSUs is generally recorded ratably over their vesting period of (a) four years, with 25% of the RSUs vesting on each anniversary, or (b) one year, with 25% vesting quarterly, or (c) one year, with 100% vesting on the first anniversary of the vesting commencement date until the RSU is fully vested. Stock-based compensation expense for RSUs granted to non-employee directors is recorded ratably over the vesting period which is the earlier of the one (1) year anniversary of the respective grant date, or the next annual meeting of stockholders following the respective grant date.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RSU activity during the three months ended March 31, 2026 is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jc w:val="center"/>
              <w:ind w:right="173"/>
              <w:spacing w:after="0"/>
              <w:rPr>
                <w:sz w:val="20"/>
                <w:szCs w:val="20"/>
                <w:color w:val="auto"/>
              </w:rPr>
            </w:pPr>
            <w:r>
              <w:rPr>
                <w:rFonts w:ascii="Times New Roman" w:cs="Times New Roman" w:eastAsia="Times New Roman" w:hAnsi="Times New Roman"/>
                <w:sz w:val="16"/>
                <w:szCs w:val="16"/>
                <w:b w:val="1"/>
                <w:bCs w:val="1"/>
                <w:color w:val="auto"/>
              </w:rPr>
              <w:t>Weighted Average</w:t>
            </w:r>
          </w:p>
        </w:tc>
      </w:tr>
      <w:tr>
        <w:trPr>
          <w:trHeight w:val="203"/>
        </w:trPr>
        <w:tc>
          <w:tcPr>
            <w:tcW w:w="7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jc w:val="center"/>
              <w:ind w:right="173"/>
              <w:spacing w:after="0"/>
              <w:rPr>
                <w:sz w:val="20"/>
                <w:szCs w:val="20"/>
                <w:color w:val="auto"/>
              </w:rPr>
            </w:pPr>
            <w:r>
              <w:rPr>
                <w:rFonts w:ascii="Times New Roman" w:cs="Times New Roman" w:eastAsia="Times New Roman" w:hAnsi="Times New Roman"/>
                <w:sz w:val="16"/>
                <w:szCs w:val="16"/>
                <w:b w:val="1"/>
                <w:bCs w:val="1"/>
                <w:color w:val="auto"/>
              </w:rPr>
              <w:t>Grant Date Fair</w:t>
            </w:r>
          </w:p>
        </w:tc>
      </w:tr>
      <w:tr>
        <w:trPr>
          <w:trHeight w:val="215"/>
        </w:trPr>
        <w:tc>
          <w:tcPr>
            <w:tcW w:w="7700" w:type="dxa"/>
            <w:vAlign w:val="bottom"/>
          </w:tcPr>
          <w:p>
            <w:pPr>
              <w:spacing w:after="0"/>
              <w:rPr>
                <w:sz w:val="18"/>
                <w:szCs w:val="18"/>
                <w:color w:val="auto"/>
              </w:rPr>
            </w:pPr>
          </w:p>
        </w:tc>
        <w:tc>
          <w:tcPr>
            <w:tcW w:w="10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6"/>
                <w:szCs w:val="16"/>
                <w:b w:val="1"/>
                <w:bCs w:val="1"/>
                <w:color w:val="auto"/>
              </w:rPr>
              <w:t>Units</w:t>
            </w:r>
          </w:p>
        </w:tc>
        <w:tc>
          <w:tcPr>
            <w:tcW w:w="7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212"/>
        </w:trPr>
        <w:tc>
          <w:tcPr>
            <w:tcW w:w="8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20,695</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149.00</w:t>
            </w: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44,557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21.96</w:t>
            </w:r>
          </w:p>
        </w:tc>
      </w:tr>
      <w:tr>
        <w:trPr>
          <w:trHeight w:val="216"/>
        </w:trPr>
        <w:tc>
          <w:tcPr>
            <w:tcW w:w="8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(38,304)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36.84</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0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206.00</w:t>
            </w:r>
          </w:p>
        </w:tc>
      </w:tr>
      <w:tr>
        <w:trPr>
          <w:trHeight w:val="249"/>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March 31, 2026</w:t>
            </w:r>
          </w:p>
        </w:tc>
        <w:tc>
          <w:tcPr>
            <w:tcW w:w="100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26,708</w:t>
            </w:r>
          </w:p>
        </w:tc>
        <w:tc>
          <w:tcPr>
            <w:tcW w:w="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71.77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-25400</wp:posOffset>
            </wp:positionV>
            <wp:extent cx="1028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028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2026 and 2025, the Company recorded total stock-based compensation expense related to RSUs of $1,065 and $315, respectively, which is included in general and administrative expense. As of March 31, 2026 and 2025, unrecognized compensation cost related to the grant of RSUs was $1,542 and $191, respectively. Unvested outstanding RSUs as of March 31, 2026 and 2025 had a weighted average remaining vesting period of 1.73 and 2.25 years,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CEO Award</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November 2025, the Board granted an equity award to the Company’s CEO ("CEO Award") that includes a market condition based on specified market capitalization thresholds ranging from $15.0 million to $30.0 million, which result in stock grants ranging from $250 to $750, up to $2.0 million in the aggregate. The CEO Award is equity-classified and the grant-date fair value was estimated using a Monte Carlo simulation model, using historical volatility as a key input. The Company recognized $220 of stock-based compensation expense related to this award for the three months ended March 31, 2026.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Income Taxes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estimates an annual effective tax rate of 19% for the year ended December 31, 2026. The effective tax rate for the three months ended March 31, 2026 is 0.63%. The effective tax rate is due to the Company’s operations in England and Wales derived by the Vidello Merger. The Vidello operations in England and Wales are subject to a statutory corporate tax rate of 25%. Due to the Company’s history of net losses from historical operations in the U.S., there is no income tax benefit being recorded in relation to the Company’s pre-tax book loss in the U.S. taxing jurisdiction. Therefore, no U.S. federal or state income taxes are expected, and none have been recorded at this time. Income taxes have been accounted for using the liability method in accordance with FASB ASC 740.</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Due to the Company's history of losses since inception, there is not enough evidence at this time to support that the Company will generate future income of a sufficient amount and nature to utilize the benefits of its net deferred tax assets in the U.S. taxing jurisdiction. Accordingly, the deferred tax assets in the US taxing jurisdiction have been reduced by a full valuation allowance, since the Company cannot currently support that realization of its deferred tax assets is more likely than not.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2026, the Company had no unrecognized tax benefits that would reduce the Company’s effective tax rate if recognized.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Segment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three reportable operating segments, Banzai Operating Co, Inc., OpenReel, and Vidello. The Company’s segments deliver SaaS tools that leverage data, analytics, and AI to provide marketing and sales solutions, including video production and editing, for businesses of all sizes.</w:t>
      </w:r>
    </w:p>
    <w:p>
      <w:pPr>
        <w:sectPr>
          <w:pgSz w:w="11900" w:h="16838" w:orient="portrait"/>
          <w:cols w:equalWidth="0" w:num="1">
            <w:col w:w="11240"/>
          </w:cols>
          <w:pgMar w:left="320" w:top="765" w:right="33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Chief Executive Officer, who serves as the Company's chief operating decision maker ("CODM"), primarily uses segment revenue, gross profit, and adjusted EBITDA to allocate resources and assess performance. Segment revenue and gross profit are determined on the same basis as consolidated revenue and consolidated gross profit as shown in the Company’s consolidated statements of operations. Segment adjusted EBITDA is defined as revenue less the following expenses associated with each segment: cost of revenue, people, marketing and advertising, technology, and other segment expenses. Segment adjusted EBITDA excludes certain non-cash items or items that management does not consider reflective of ongoing core operations. Currently, the CODM does not review assets in evaluating the results of the operating segments, and therefore, such information is not presented.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information about segments for the three months ended March 31, 2026:</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2026</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Banzai</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OpenReel</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Vidello</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1,026</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1,376</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294</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5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1,312</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2,175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Expenses</w:t>
            </w:r>
          </w:p>
        </w:tc>
        <w:tc>
          <w:tcPr>
            <w:tcW w:w="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People</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Marketing and advertising</w:t>
            </w:r>
          </w:p>
        </w:tc>
        <w:tc>
          <w:tcPr>
            <w:tcW w:w="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Technology</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Borders>
              <w:bottom w:val="single" w:sz="8" w:color="CFF0FC"/>
            </w:tcBorders>
            <w:shd w:val="clear" w:color="auto" w:fill="CFF0FC"/>
          </w:tcPr>
          <w:p>
            <w:pPr>
              <w:ind w:left="40"/>
              <w:spacing w:after="0" w:line="216" w:lineRule="exact"/>
              <w:rPr>
                <w:sz w:val="20"/>
                <w:szCs w:val="20"/>
                <w:color w:val="auto"/>
              </w:rPr>
            </w:pPr>
            <w:r>
              <w:rPr>
                <w:rFonts w:ascii="Times New Roman" w:cs="Times New Roman" w:eastAsia="Times New Roman" w:hAnsi="Times New Roman"/>
                <w:sz w:val="18"/>
                <w:szCs w:val="18"/>
                <w:color w:val="auto"/>
              </w:rPr>
              <w:t>Other segment expenses</w:t>
            </w:r>
            <w:r>
              <w:rPr>
                <w:rFonts w:ascii="Times New Roman" w:cs="Times New Roman" w:eastAsia="Times New Roman" w:hAnsi="Times New Roman"/>
                <w:sz w:val="24"/>
                <w:szCs w:val="24"/>
                <w:color w:val="auto"/>
                <w:vertAlign w:val="superscript"/>
              </w:rPr>
              <w:t>1</w:t>
            </w:r>
          </w:p>
        </w:tc>
        <w:tc>
          <w:tcPr>
            <w:tcW w:w="5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expenses</w:t>
            </w:r>
          </w:p>
        </w:tc>
        <w:tc>
          <w:tcPr>
            <w:tcW w:w="5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2,677</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1,157</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4,083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Segment Adjusted EBITDA</w:t>
            </w:r>
          </w:p>
        </w:tc>
        <w:tc>
          <w:tcPr>
            <w:tcW w:w="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Transaction, PubCo. Expenses and Stock-based compensation</w:t>
            </w:r>
          </w:p>
        </w:tc>
        <w:tc>
          <w:tcPr>
            <w:tcW w:w="5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3,567</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3,567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Adjusted EBITDA</w:t>
            </w: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(5,608)</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155</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-599440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-599440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-599440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-25400</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-8255</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-25400</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-8255</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-25400</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-8255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1" w:lineRule="exact"/>
        <w:rPr>
          <w:sz w:val="20"/>
          <w:szCs w:val="20"/>
          <w:color w:val="auto"/>
        </w:rPr>
      </w:pPr>
    </w:p>
    <w:p>
      <w:pPr>
        <w:ind w:firstLine="8"/>
        <w:spacing w:after="0" w:line="223" w:lineRule="auto"/>
        <w:tabs>
          <w:tab w:leader="none" w:pos="90" w:val="left"/>
        </w:tabs>
        <w:numPr>
          <w:ilvl w:val="0"/>
          <w:numId w:val="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Other segment expenses for each reportable segment includes provision for credit losses, foreign currency exchange rate changes, travel and entertainment expenses, professional expenses other than those included in transaction and PubCo expenses, insurance expenses, and expenses related to licenses.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information about segments for the three months ended March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Banzai</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94"/>
        </w:trPr>
        <w:tc>
          <w:tcPr>
            <w:tcW w:w="50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Vidello</w:t>
            </w:r>
            <w:r>
              <w:rPr>
                <w:rFonts w:ascii="Times New Roman" w:cs="Times New Roman" w:eastAsia="Times New Roman" w:hAnsi="Times New Roman"/>
                <w:sz w:val="24"/>
                <w:szCs w:val="24"/>
                <w:color w:val="auto"/>
                <w:vertAlign w:val="superscript"/>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OpenReel</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c>
          <w:tcPr>
            <w:tcW w:w="0" w:type="dxa"/>
            <w:vAlign w:val="bottom"/>
          </w:tcPr>
          <w:p>
            <w:pPr>
              <w:spacing w:after="0"/>
              <w:rPr>
                <w:sz w:val="1"/>
                <w:szCs w:val="1"/>
                <w:color w:val="auto"/>
              </w:rPr>
            </w:pPr>
          </w:p>
        </w:tc>
      </w:tr>
      <w:tr>
        <w:trPr>
          <w:trHeight w:val="210"/>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7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1,160</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1,441</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778</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3,379</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5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606</w:t>
            </w:r>
          </w:p>
        </w:tc>
        <w:tc>
          <w:tcPr>
            <w:tcW w:w="0" w:type="dxa"/>
            <w:vAlign w:val="bottom"/>
          </w:tcPr>
          <w:p>
            <w:pPr>
              <w:spacing w:after="0"/>
              <w:rPr>
                <w:sz w:val="1"/>
                <w:szCs w:val="1"/>
                <w:color w:val="auto"/>
              </w:rPr>
            </w:pPr>
          </w:p>
        </w:tc>
      </w:tr>
      <w:tr>
        <w:trPr>
          <w:trHeight w:val="210"/>
        </w:trPr>
        <w:tc>
          <w:tcPr>
            <w:tcW w:w="5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Gross profit</w:t>
            </w:r>
          </w:p>
        </w:tc>
        <w:tc>
          <w:tcPr>
            <w:tcW w:w="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783</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1,367</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2,773</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Expenses</w:t>
            </w:r>
          </w:p>
        </w:tc>
        <w:tc>
          <w:tcPr>
            <w:tcW w:w="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People</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2,204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2,294</w:t>
            </w: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Marketing and advertising</w:t>
            </w:r>
          </w:p>
        </w:tc>
        <w:tc>
          <w:tcPr>
            <w:tcW w:w="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795</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937</w:t>
            </w:r>
          </w:p>
        </w:tc>
        <w:tc>
          <w:tcPr>
            <w:tcW w:w="0" w:type="dxa"/>
            <w:vAlign w:val="bottom"/>
          </w:tcPr>
          <w:p>
            <w:pPr>
              <w:spacing w:after="0"/>
              <w:rPr>
                <w:sz w:val="1"/>
                <w:szCs w:val="1"/>
                <w:color w:val="auto"/>
              </w:rPr>
            </w:pPr>
          </w:p>
        </w:tc>
      </w:tr>
      <w:tr>
        <w:trPr>
          <w:trHeight w:val="216"/>
        </w:trPr>
        <w:tc>
          <w:tcPr>
            <w:tcW w:w="5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Technology</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822</w:t>
            </w:r>
          </w:p>
        </w:tc>
        <w:tc>
          <w:tcPr>
            <w:tcW w:w="0" w:type="dxa"/>
            <w:vAlign w:val="bottom"/>
          </w:tcPr>
          <w:p>
            <w:pPr>
              <w:spacing w:after="0"/>
              <w:rPr>
                <w:sz w:val="1"/>
                <w:szCs w:val="1"/>
                <w:color w:val="auto"/>
              </w:rPr>
            </w:pPr>
          </w:p>
        </w:tc>
      </w:tr>
      <w:tr>
        <w:trPr>
          <w:trHeight w:val="216"/>
        </w:trPr>
        <w:tc>
          <w:tcPr>
            <w:tcW w:w="50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 segment expenses</w:t>
            </w:r>
            <w:r>
              <w:rPr>
                <w:rFonts w:ascii="Times New Roman" w:cs="Times New Roman" w:eastAsia="Times New Roman" w:hAnsi="Times New Roman"/>
                <w:sz w:val="9"/>
                <w:szCs w:val="9"/>
                <w:color w:val="auto"/>
              </w:rPr>
              <w:t>2</w:t>
            </w:r>
          </w:p>
        </w:tc>
        <w:tc>
          <w:tcPr>
            <w:tcW w:w="5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369</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10"/>
        </w:trPr>
        <w:tc>
          <w:tcPr>
            <w:tcW w:w="5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expenses</w:t>
            </w:r>
          </w:p>
        </w:tc>
        <w:tc>
          <w:tcPr>
            <w:tcW w:w="5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3,644</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668</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4,515</w:t>
            </w:r>
          </w:p>
        </w:tc>
        <w:tc>
          <w:tcPr>
            <w:tcW w:w="0" w:type="dxa"/>
            <w:vAlign w:val="bottom"/>
          </w:tcPr>
          <w:p>
            <w:pPr>
              <w:spacing w:after="0"/>
              <w:rPr>
                <w:sz w:val="1"/>
                <w:szCs w:val="1"/>
                <w:color w:val="auto"/>
              </w:rPr>
            </w:pPr>
          </w:p>
        </w:tc>
      </w:tr>
      <w:tr>
        <w:trPr>
          <w:trHeight w:val="210"/>
        </w:trPr>
        <w:tc>
          <w:tcPr>
            <w:tcW w:w="5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Segment Adjusted EBITDA</w:t>
            </w:r>
          </w:p>
        </w:tc>
        <w:tc>
          <w:tcPr>
            <w:tcW w:w="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699</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0" w:type="dxa"/>
            <w:vAlign w:val="bottom"/>
          </w:tcPr>
          <w:p>
            <w:pPr>
              <w:spacing w:after="0"/>
              <w:rPr>
                <w:sz w:val="1"/>
                <w:szCs w:val="1"/>
                <w:color w:val="auto"/>
              </w:rPr>
            </w:pPr>
          </w:p>
        </w:tc>
      </w:tr>
      <w:tr>
        <w:trPr>
          <w:trHeight w:val="216"/>
        </w:trPr>
        <w:tc>
          <w:tcPr>
            <w:tcW w:w="5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Transaction, PubCo. Expenses and Stock-based compensation</w:t>
            </w:r>
          </w:p>
        </w:tc>
        <w:tc>
          <w:tcPr>
            <w:tcW w:w="5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2,616</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2,918</w:t>
            </w: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Adjusted EBITDA</w:t>
            </w: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(5,477)</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397</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420</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(4,660)</w:t>
            </w:r>
          </w:p>
        </w:tc>
        <w:tc>
          <w:tcPr>
            <w:tcW w:w="0" w:type="dxa"/>
            <w:vAlign w:val="bottom"/>
          </w:tcPr>
          <w:p>
            <w:pPr>
              <w:spacing w:after="0"/>
              <w:rPr>
                <w:sz w:val="1"/>
                <w:szCs w:val="1"/>
                <w:color w:val="auto"/>
              </w:rPr>
            </w:pPr>
          </w:p>
        </w:tc>
      </w:tr>
      <w:tr>
        <w:trPr>
          <w:trHeight w:val="20"/>
        </w:trPr>
        <w:tc>
          <w:tcPr>
            <w:tcW w:w="502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-599440</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-599440</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-599440</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-24765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-8255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-24765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-8255</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-24765</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-8255</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9" w:lineRule="exact"/>
        <w:rPr>
          <w:sz w:val="20"/>
          <w:szCs w:val="20"/>
          <w:color w:val="auto"/>
        </w:rPr>
      </w:pPr>
    </w:p>
    <w:p>
      <w:pPr>
        <w:ind w:firstLine="8"/>
        <w:spacing w:after="0" w:line="224" w:lineRule="auto"/>
        <w:tabs>
          <w:tab w:leader="none" w:pos="104" w:val="left"/>
        </w:tabs>
        <w:numPr>
          <w:ilvl w:val="0"/>
          <w:numId w:val="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 xml:space="preserve">The Vidello acquisition occurred on January 31, 2025 (refer to </w:t>
      </w:r>
      <w:r>
        <w:rPr>
          <w:rFonts w:ascii="Times New Roman" w:cs="Times New Roman" w:eastAsia="Times New Roman" w:hAnsi="Times New Roman"/>
          <w:sz w:val="18"/>
          <w:szCs w:val="18"/>
          <w:i w:val="1"/>
          <w:iCs w:val="1"/>
          <w:color w:val="auto"/>
        </w:rPr>
        <w:t>Note 4 – Acquisitions</w:t>
      </w:r>
      <w:r>
        <w:rPr>
          <w:rFonts w:ascii="Times New Roman" w:cs="Times New Roman" w:eastAsia="Times New Roman" w:hAnsi="Times New Roman"/>
          <w:sz w:val="18"/>
          <w:szCs w:val="18"/>
          <w:color w:val="auto"/>
        </w:rPr>
        <w:t xml:space="preserve"> and therefore does not represent activity for the full three month period.</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20" w:lineRule="exact"/>
        <w:rPr>
          <w:sz w:val="20"/>
          <w:szCs w:val="20"/>
          <w:color w:val="auto"/>
        </w:rPr>
      </w:pPr>
    </w:p>
    <w:p>
      <w:pPr>
        <w:jc w:val="both"/>
        <w:ind w:firstLine="8"/>
        <w:spacing w:after="0" w:line="231" w:lineRule="auto"/>
        <w:tabs>
          <w:tab w:leader="none" w:pos="104" w:val="left"/>
        </w:tabs>
        <w:numPr>
          <w:ilvl w:val="0"/>
          <w:numId w:val="1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Other segment expenses for each reportable segment includes travel and entertainment expenses, professional expenses other than those included in transaction and PubCo expenses, the SEPA commitment fee expense and deferred fee expense, the GEM warrant expense, and the GEM commitment fee expense.</w:t>
      </w:r>
    </w:p>
    <w:p>
      <w:pPr>
        <w:spacing w:after="0" w:line="20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 reconciliation between EBITDA by reportable segment to consolidated net loss before income taxes for the three months ended March 31, 2026, and 2025 is as follows:</w:t>
      </w:r>
    </w:p>
    <w:tbl>
      <w:tblPr>
        <w:tblLayout w:type="fixed"/>
        <w:tblInd w:w="0" w:type="dxa"/>
        <w:tblCellMar>
          <w:top w:w="0" w:type="dxa"/>
          <w:left w:w="0" w:type="dxa"/>
          <w:bottom w:w="0" w:type="dxa"/>
          <w:right w:w="0" w:type="dxa"/>
        </w:tblCellMar>
      </w:tblPr>
      <w:tr>
        <w:trPr>
          <w:trHeight w:val="216"/>
        </w:trPr>
        <w:tc>
          <w:tcPr>
            <w:tcW w:w="7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10"/>
        </w:trPr>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EBITDA by segment</w:t>
            </w:r>
          </w:p>
        </w:tc>
        <w:tc>
          <w:tcPr>
            <w:tcW w:w="20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r>
      <w:tr>
        <w:trPr>
          <w:trHeight w:val="216"/>
        </w:trPr>
        <w:tc>
          <w:tcPr>
            <w:tcW w:w="7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Banzai Operating Co.</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(5,608)</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(5,477)</w:t>
            </w:r>
          </w:p>
        </w:tc>
      </w:tr>
      <w:tr>
        <w:trPr>
          <w:trHeight w:val="216"/>
        </w:trPr>
        <w:tc>
          <w:tcPr>
            <w:tcW w:w="71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OpenReel</w:t>
            </w:r>
          </w:p>
        </w:tc>
        <w:tc>
          <w:tcPr>
            <w:tcW w:w="200" w:type="dxa"/>
            <w:vAlign w:val="bottom"/>
            <w:shd w:val="clear" w:color="auto" w:fill="CFF0FC"/>
          </w:tcPr>
          <w:p>
            <w:pPr>
              <w:spacing w:after="0"/>
              <w:rPr>
                <w:sz w:val="18"/>
                <w:szCs w:val="18"/>
                <w:color w:val="auto"/>
              </w:rPr>
            </w:pPr>
          </w:p>
        </w:tc>
        <w:tc>
          <w:tcPr>
            <w:tcW w:w="1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155</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397</w:t>
            </w:r>
          </w:p>
        </w:tc>
      </w:tr>
      <w:tr>
        <w:trPr>
          <w:trHeight w:val="216"/>
        </w:trPr>
        <w:tc>
          <w:tcPr>
            <w:tcW w:w="7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Vidello</w:t>
            </w: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420</w:t>
            </w:r>
          </w:p>
        </w:tc>
      </w:tr>
      <w:tr>
        <w:trPr>
          <w:trHeight w:val="209"/>
        </w:trPr>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(5,475)</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(4,660)</w:t>
            </w:r>
          </w:p>
        </w:tc>
      </w:tr>
      <w:tr>
        <w:trPr>
          <w:trHeight w:val="216"/>
        </w:trPr>
        <w:tc>
          <w:tcPr>
            <w:tcW w:w="7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Reconciliation to loss before income taxes:</w:t>
            </w:r>
          </w:p>
        </w:tc>
        <w:tc>
          <w:tcPr>
            <w:tcW w:w="20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r>
      <w:tr>
        <w:trPr>
          <w:trHeight w:val="216"/>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FF0FC"/>
          </w:tcPr>
          <w:p>
            <w:pPr>
              <w:spacing w:after="0"/>
              <w:rPr>
                <w:sz w:val="18"/>
                <w:szCs w:val="18"/>
                <w:color w:val="auto"/>
              </w:rPr>
            </w:pPr>
          </w:p>
        </w:tc>
        <w:tc>
          <w:tcPr>
            <w:tcW w:w="1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 related party</w:t>
            </w:r>
          </w:p>
        </w:tc>
        <w:tc>
          <w:tcPr>
            <w:tcW w:w="200" w:type="dxa"/>
            <w:vAlign w:val="bottom"/>
          </w:tcPr>
          <w:p>
            <w:pPr>
              <w:spacing w:after="0"/>
              <w:rPr>
                <w:sz w:val="18"/>
                <w:szCs w:val="18"/>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358</w:t>
            </w:r>
          </w:p>
        </w:tc>
      </w:tr>
      <w:tr>
        <w:trPr>
          <w:trHeight w:val="216"/>
        </w:trPr>
        <w:tc>
          <w:tcPr>
            <w:tcW w:w="7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00" w:type="dxa"/>
            <w:vAlign w:val="bottom"/>
            <w:shd w:val="clear" w:color="auto" w:fill="CFF0FC"/>
          </w:tcPr>
          <w:p>
            <w:pPr>
              <w:spacing w:after="0"/>
              <w:rPr>
                <w:sz w:val="18"/>
                <w:szCs w:val="18"/>
                <w:color w:val="auto"/>
              </w:rPr>
            </w:pPr>
          </w:p>
        </w:tc>
        <w:tc>
          <w:tcPr>
            <w:tcW w:w="1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305</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247</w:t>
            </w:r>
          </w:p>
        </w:tc>
      </w:tr>
      <w:tr>
        <w:trPr>
          <w:trHeight w:val="216"/>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extinguishment of liabilities, net</w:t>
            </w:r>
          </w:p>
        </w:tc>
        <w:tc>
          <w:tcPr>
            <w:tcW w:w="200" w:type="dxa"/>
            <w:vAlign w:val="bottom"/>
          </w:tcPr>
          <w:p>
            <w:pPr>
              <w:spacing w:after="0"/>
              <w:rPr>
                <w:sz w:val="18"/>
                <w:szCs w:val="18"/>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(2,573)</w:t>
            </w:r>
          </w:p>
        </w:tc>
      </w:tr>
      <w:tr>
        <w:trPr>
          <w:trHeight w:val="216"/>
        </w:trPr>
        <w:tc>
          <w:tcPr>
            <w:tcW w:w="7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Loss on Yorkville SEPA advances</w:t>
            </w:r>
          </w:p>
        </w:tc>
        <w:tc>
          <w:tcPr>
            <w:tcW w:w="200" w:type="dxa"/>
            <w:vAlign w:val="bottom"/>
            <w:shd w:val="clear" w:color="auto" w:fill="CFF0FC"/>
          </w:tcPr>
          <w:p>
            <w:pPr>
              <w:spacing w:after="0"/>
              <w:rPr>
                <w:sz w:val="18"/>
                <w:szCs w:val="18"/>
                <w:color w:val="auto"/>
              </w:rPr>
            </w:pPr>
          </w:p>
        </w:tc>
        <w:tc>
          <w:tcPr>
            <w:tcW w:w="1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385</w:t>
            </w:r>
          </w:p>
        </w:tc>
      </w:tr>
      <w:tr>
        <w:trPr>
          <w:trHeight w:val="216"/>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debt issuance</w:t>
            </w:r>
          </w:p>
        </w:tc>
        <w:tc>
          <w:tcPr>
            <w:tcW w:w="200" w:type="dxa"/>
            <w:vAlign w:val="bottom"/>
          </w:tcPr>
          <w:p>
            <w:pPr>
              <w:spacing w:after="0"/>
              <w:rPr>
                <w:sz w:val="18"/>
                <w:szCs w:val="18"/>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1,647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274</w:t>
            </w:r>
          </w:p>
        </w:tc>
      </w:tr>
      <w:tr>
        <w:trPr>
          <w:trHeight w:val="216"/>
        </w:trPr>
        <w:tc>
          <w:tcPr>
            <w:tcW w:w="7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Changes in fair value of financial instruments</w:t>
            </w:r>
          </w:p>
        </w:tc>
        <w:tc>
          <w:tcPr>
            <w:tcW w:w="200" w:type="dxa"/>
            <w:vAlign w:val="bottom"/>
            <w:shd w:val="clear" w:color="auto" w:fill="CFF0FC"/>
          </w:tcPr>
          <w:p>
            <w:pPr>
              <w:spacing w:after="0"/>
              <w:rPr>
                <w:sz w:val="18"/>
                <w:szCs w:val="18"/>
                <w:color w:val="auto"/>
              </w:rPr>
            </w:pPr>
          </w:p>
        </w:tc>
        <w:tc>
          <w:tcPr>
            <w:tcW w:w="1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258</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344</w:t>
            </w: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550</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50"/>
        </w:trPr>
        <w:tc>
          <w:tcPr>
            <w:tcW w:w="7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(8,469)</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-24765</wp:posOffset>
            </wp:positionV>
            <wp:extent cx="9461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-8255</wp:posOffset>
            </wp:positionV>
            <wp:extent cx="9461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94615"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percentage of revenue generated by SaaS product for the three months ended March 31, 2026 and 2025:</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Revenue %</w:t>
            </w:r>
          </w:p>
        </w:tc>
        <w:tc>
          <w:tcPr>
            <w:tcW w:w="3900" w:type="dxa"/>
            <w:vAlign w:val="bottom"/>
            <w:tcBorders>
              <w:bottom w:val="single" w:sz="8" w:color="auto"/>
            </w:tcBorders>
            <w:gridSpan w:val="3"/>
          </w:tcPr>
          <w:p>
            <w:pPr>
              <w:jc w:val="right"/>
              <w:ind w:right="870"/>
              <w:spacing w:after="0"/>
              <w:rPr>
                <w:sz w:val="20"/>
                <w:szCs w:val="20"/>
                <w:color w:val="auto"/>
              </w:rPr>
            </w:pPr>
            <w:r>
              <w:rPr>
                <w:rFonts w:ascii="Times New Roman" w:cs="Times New Roman" w:eastAsia="Times New Roman" w:hAnsi="Times New Roman"/>
                <w:sz w:val="16"/>
                <w:szCs w:val="16"/>
                <w:b w:val="1"/>
                <w:bCs w:val="1"/>
                <w:i w:val="1"/>
                <w:iCs w:val="1"/>
                <w:color w:val="auto"/>
              </w:rPr>
              <w:t>Three Months Ended March 31,</w:t>
            </w:r>
          </w:p>
        </w:tc>
        <w:tc>
          <w:tcPr>
            <w:tcW w:w="0" w:type="dxa"/>
            <w:vAlign w:val="bottom"/>
          </w:tcPr>
          <w:p>
            <w:pPr>
              <w:spacing w:after="0"/>
              <w:rPr>
                <w:sz w:val="1"/>
                <w:szCs w:val="1"/>
                <w:color w:val="auto"/>
              </w:rPr>
            </w:pPr>
          </w:p>
        </w:tc>
      </w:tr>
      <w:tr>
        <w:trPr>
          <w:trHeight w:val="172"/>
        </w:trPr>
        <w:tc>
          <w:tcPr>
            <w:tcW w:w="7340" w:type="dxa"/>
            <w:vAlign w:val="bottom"/>
            <w:gridSpan w:val="2"/>
            <w:vMerge w:val="continue"/>
          </w:tcPr>
          <w:p>
            <w:pPr>
              <w:spacing w:after="0"/>
              <w:rPr>
                <w:sz w:val="14"/>
                <w:szCs w:val="14"/>
                <w:color w:val="auto"/>
              </w:rPr>
            </w:pPr>
          </w:p>
        </w:tc>
        <w:tc>
          <w:tcPr>
            <w:tcW w:w="1880" w:type="dxa"/>
            <w:vAlign w:val="bottom"/>
          </w:tcPr>
          <w:p>
            <w:pPr>
              <w:jc w:val="right"/>
              <w:ind w:right="773"/>
              <w:spacing w:after="0" w:line="172" w:lineRule="exact"/>
              <w:rPr>
                <w:sz w:val="20"/>
                <w:szCs w:val="20"/>
                <w:color w:val="auto"/>
              </w:rPr>
            </w:pPr>
            <w:r>
              <w:rPr>
                <w:rFonts w:ascii="Times New Roman" w:cs="Times New Roman" w:eastAsia="Times New Roman" w:hAnsi="Times New Roman"/>
                <w:sz w:val="16"/>
                <w:szCs w:val="16"/>
                <w:b w:val="1"/>
                <w:bCs w:val="1"/>
                <w:i w:val="1"/>
                <w:iCs w:val="1"/>
                <w:color w:val="auto"/>
              </w:rPr>
              <w:t>2026</w:t>
            </w:r>
          </w:p>
        </w:tc>
        <w:tc>
          <w:tcPr>
            <w:tcW w:w="2020" w:type="dxa"/>
            <w:vAlign w:val="bottom"/>
            <w:gridSpan w:val="2"/>
          </w:tcPr>
          <w:p>
            <w:pPr>
              <w:jc w:val="right"/>
              <w:ind w:right="790"/>
              <w:spacing w:after="0" w:line="172" w:lineRule="exact"/>
              <w:rPr>
                <w:sz w:val="20"/>
                <w:szCs w:val="20"/>
                <w:color w:val="auto"/>
              </w:rPr>
            </w:pPr>
            <w:r>
              <w:rPr>
                <w:rFonts w:ascii="Times New Roman" w:cs="Times New Roman" w:eastAsia="Times New Roman" w:hAnsi="Times New Roman"/>
                <w:sz w:val="16"/>
                <w:szCs w:val="16"/>
                <w:b w:val="1"/>
                <w:bCs w:val="1"/>
                <w:i w:val="1"/>
                <w:iCs w:val="1"/>
                <w:color w:val="auto"/>
              </w:rPr>
              <w:t>2025</w:t>
            </w:r>
          </w:p>
        </w:tc>
        <w:tc>
          <w:tcPr>
            <w:tcW w:w="0" w:type="dxa"/>
            <w:vAlign w:val="bottom"/>
          </w:tcPr>
          <w:p>
            <w:pPr>
              <w:spacing w:after="0"/>
              <w:rPr>
                <w:sz w:val="1"/>
                <w:szCs w:val="1"/>
                <w:color w:val="auto"/>
              </w:rPr>
            </w:pPr>
          </w:p>
        </w:tc>
      </w:tr>
      <w:tr>
        <w:trPr>
          <w:trHeight w:val="20"/>
        </w:trPr>
        <w:tc>
          <w:tcPr>
            <w:tcW w:w="820" w:type="dxa"/>
            <w:vAlign w:val="bottom"/>
            <w:tcBorders>
              <w:top w:val="single" w:sz="8" w:color="auto"/>
            </w:tcBorders>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4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Reach</w:t>
            </w:r>
          </w:p>
        </w:tc>
        <w:tc>
          <w:tcPr>
            <w:tcW w:w="18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202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Demio</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0" w:type="dxa"/>
            <w:vAlign w:val="bottom"/>
          </w:tcPr>
          <w:p>
            <w:pPr>
              <w:spacing w:after="0"/>
              <w:rPr>
                <w:sz w:val="1"/>
                <w:szCs w:val="1"/>
                <w:color w:val="auto"/>
              </w:rPr>
            </w:pPr>
          </w:p>
        </w:tc>
      </w:tr>
      <w:tr>
        <w:trPr>
          <w:trHeight w:val="216"/>
        </w:trPr>
        <w:tc>
          <w:tcPr>
            <w:tcW w:w="7340" w:type="dxa"/>
            <w:vAlign w:val="bottom"/>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OpenReel </w:t>
            </w:r>
            <w:r>
              <w:rPr>
                <w:rFonts w:ascii="Times New Roman" w:cs="Times New Roman" w:eastAsia="Times New Roman" w:hAnsi="Times New Roman"/>
                <w:sz w:val="21"/>
                <w:szCs w:val="21"/>
                <w:color w:val="auto"/>
                <w:vertAlign w:val="superscript"/>
              </w:rPr>
              <w:t>1</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7340" w:type="dxa"/>
            <w:vAlign w:val="bottom"/>
            <w:tcBorders>
              <w:bottom w:val="single" w:sz="8" w:color="CFF0FC"/>
            </w:tcBorders>
            <w:gridSpan w:val="2"/>
          </w:tcPr>
          <w:p>
            <w:pPr>
              <w:spacing w:after="0" w:line="216" w:lineRule="exact"/>
              <w:rPr>
                <w:sz w:val="20"/>
                <w:szCs w:val="20"/>
                <w:color w:val="auto"/>
              </w:rPr>
            </w:pPr>
            <w:r>
              <w:rPr>
                <w:rFonts w:ascii="Times New Roman" w:cs="Times New Roman" w:eastAsia="Times New Roman" w:hAnsi="Times New Roman"/>
                <w:sz w:val="18"/>
                <w:szCs w:val="18"/>
                <w:color w:val="auto"/>
              </w:rPr>
              <w:t xml:space="preserve">Vidello </w:t>
            </w:r>
            <w:r>
              <w:rPr>
                <w:rFonts w:ascii="Times New Roman" w:cs="Times New Roman" w:eastAsia="Times New Roman" w:hAnsi="Times New Roman"/>
                <w:sz w:val="21"/>
                <w:szCs w:val="21"/>
                <w:color w:val="auto"/>
                <w:vertAlign w:val="superscript"/>
              </w:rPr>
              <w:t>2</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Borders>
              <w:bottom w:val="single" w:sz="8" w:color="CFF0FC"/>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73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bottom w:val="single" w:sz="8" w:color="CFF0FC"/>
            </w:tcBorders>
            <w:shd w:val="clear" w:color="auto" w:fill="CFF0FC"/>
          </w:tcPr>
          <w:p>
            <w:pPr>
              <w:spacing w:after="0"/>
              <w:rPr>
                <w:sz w:val="21"/>
                <w:szCs w:val="21"/>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-24765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-8255</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-170815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disaggregation of revenue by geographic area, refer to </w:t>
      </w:r>
      <w:r>
        <w:rPr>
          <w:rFonts w:ascii="Times New Roman" w:cs="Times New Roman" w:eastAsia="Times New Roman" w:hAnsi="Times New Roman"/>
          <w:sz w:val="18"/>
          <w:szCs w:val="18"/>
          <w:i w:val="1"/>
          <w:iCs w:val="1"/>
          <w:color w:val="auto"/>
        </w:rPr>
        <w:t>Note 6 – Revenue</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Subsequent Events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Reverse Stock Split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28, 2026, the stockholders of the Company collectively approved an amendment to the Company’s Certificate of Incorporation, as amended and restated, to effect a reverse stock split (the “Reverse Stock Split”) of the Company’s outstanding Class A Common Stock and Class B Common Stock at a ratio of 1-for-20 effective on May 8, 2026.</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No cash or fractional shares were issued in connection with the Reverse Stock Split, and instead the Company rounded up to the next whole share in lieu of issuing fractional shares that would have been issued in the reverse split. </w:t>
      </w:r>
      <w:r>
        <w:rPr>
          <w:rFonts w:ascii="Times New Roman" w:cs="Times New Roman" w:eastAsia="Times New Roman" w:hAnsi="Times New Roman"/>
          <w:sz w:val="18"/>
          <w:szCs w:val="18"/>
          <w:color w:val="212529"/>
        </w:rPr>
        <w:t>Proportional adjustments were made to the number of shares of Class A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Stock issuable upon exercise or conversion of the Company’s outstanding stock options and warrants, the exercise price or conversion price (as applicable) of the Company’s outstanding stock options and warrants, and the number of shares reserved for issuance under the Company’s equity incentive plan. All Class A and Class B Common Stock share and per share information included in this Quarterly Report on Form 10-Q has been retroactively adjusted to reflect the impact of the Reverse Stock Split.</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4" w:name="page45"/>
    <w:bookmarkEnd w:id="4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 Agreements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Subsequent to March 31, 2026, on April 15, 2026, April 29, 2026 and May 8, 2026, the Company entered into exchange agreements with Agile on substantially similar terms as the Agile Exchange Agreement pursuant to which the Company issued an aggregate of approximately 74,948 shares of its Class A Common Stock at conversion prices per share of $5.82 and $12.40, respectively, in exchange for aggregate reductions of approximately $540 in the outstanding balance of the March Agile Note. Following these exchanges, the outstanding balance of the March Agile Note was reduced to approximately $639.</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Vesting of Employee Awards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April 2, 2026 the Company modified the terms of the CEO Award and issued 22,300 shares of Class B Common Stock to the Company’s CEO, of which, approximately 14,867 shares relate to a tranche of the CEO Award vesting upon achieving a market capitalization threshold, and the remaining 7,433 shares relate to the CEO's 2025 bonus payment. See </w:t>
      </w:r>
      <w:r>
        <w:rPr>
          <w:rFonts w:ascii="Times New Roman" w:cs="Times New Roman" w:eastAsia="Times New Roman" w:hAnsi="Times New Roman"/>
          <w:sz w:val="18"/>
          <w:szCs w:val="18"/>
          <w:i w:val="1"/>
          <w:iCs w:val="1"/>
          <w:color w:val="auto"/>
        </w:rPr>
        <w:t>Note 15 – Stock-Based Compensation</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Yorkville Advanced Notice Settlements and Conversions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Between April 24, 2026 and May 6, 2026, the Company issued Advance Notices to Yorkville pursuant to the SEPA in which the Company requested the purchase of approximately 155,000 shares of the Company's Class A Common Stock at an aggregate gross value of approximately $896, and net proceeds of approximately $368 were applied against the outstanding Yorkville Convertible Notes.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CP BF Letter Agreement</w:t>
      </w:r>
    </w:p>
    <w:p>
      <w:pPr>
        <w:spacing w:after="0" w:line="200" w:lineRule="exact"/>
        <w:rPr>
          <w:sz w:val="20"/>
          <w:szCs w:val="20"/>
          <w:color w:val="auto"/>
        </w:rPr>
      </w:pPr>
    </w:p>
    <w:p>
      <w:pPr>
        <w:spacing w:after="0" w:line="2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Conversion Price of CP BF Convertible Note was proportionately adjusted to reflect the Reverse Stock Split effective at the close of business on May 8, 2026, pursuant to Section 2.3(a)(i) of the Note. On May 15, 2026, the Company, the Guarantors and CP BF entered into a letter agreement (the "Floor Price Amendment"), further amending the Loan Agreement and the Note. Pursuant to the Floor Price Amendment, the Floor Price applicable to the Conversion Price under the Note was reduced from $50.00 (as adjusted for the Reverse Stock Split) to $4.50 (on a post-Reverse Stock Split basis). For the avoidance of doubt, the Conversion Price remains equal to 95% of the price of the Class A Common Stock on the Trading Day immediately preceding delivery of any Conversion Notice, subject to the Floor Price as amended by the Floor Price Amendment.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1800 Diagonal Issuance</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May 4, 2026, the Company issued the thirteenth promissory note for an aggregate principal amount of approximately $206 and received net proceeds of approximately $150, after discount and transaction fees. The note has a maturity date of January 30, 2027, and bears interest at 14%.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Venture Issuance and Payoff</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31, 2026, the Company executed a promissory note for an aggregate principal amount of approximately $487 and on April 8, 2026 received net proceeds of approximately $333, after discount and transaction fees. The note has a maturity date of August 18, 2026, and bears interest at 198.5% per annum. The Company paid off this note on May 6, 2026.</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TVT Capital Issuance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28, 2026, the Company executed a promissory note for an aggregate principal amount of approximately $834 and received net proceeds of approximately $579, after discount and transaction fees. The note has a maturity date of January 5, 2027, and bears interest at 106.71% per annum.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Issuances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3i, LP Conversions</w:t>
      </w:r>
    </w:p>
    <w:p>
      <w:pPr>
        <w:spacing w:after="0" w:line="227"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Between April 2, 2026 and May 12, 2026, the Buyer exercised its contractual conversion option multiple times under the February 3i Note and received an aggregate of approximately 145 thousand shares of Class A Common Stock at conversion prices per share ranging from $5.08 to $15.39 in satisfaction of approximately $1.2 million of the Company's obligations under the respective Notes.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5" w:name="page46"/>
    <w:bookmarkEnd w:id="4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1800 Diagonal Conversions</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Between May 5, 2026 and May 11, 2026, the Lender exercised its contractual conversion option multiple times under the November 1800 Diagonal Note and September 1800 Diagonal Note and received an aggregate of approximately 36 thousand shares of Class A Common Stock at conversion prices ranging from $3.303 to $4.520 in satisfaction of approximately $136 thousand of the Company's obligations under the respective Notes.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consolidated financial statements and related notes that are included elsewhere in this Quarterly Report on Form 10-Q ("Report"). In addition to historical condensed consolidated financial information, the following discussion contains forward-looking statements that reflect our plans, estimates and beliefs. Our actual results could differ materially from those discussed in the forward-looking statements. Factors that could cause or contribute to these differences include those more fully described in this report and those more fully described elsewhere in this Report and in the "Risk Factors" section of our Annual Report on Form 10-K for the year ended December 31, 2025.</w:t>
      </w:r>
    </w:p>
    <w:p>
      <w:pPr>
        <w:spacing w:after="0" w:line="182"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i w:val="1"/>
          <w:iCs w:val="1"/>
          <w:color w:val="auto"/>
        </w:rPr>
        <w:t>Unless otherwise indicated, all dollar amounts included in this Management’s Discussion and Analysis are presented in thousands. Certain figures, such as interest rates and other percentages, included in this section have been rounded for ease of presentation. Percentage figures included in this section have not in all cases been calculated on the basis of such rounded figures but on the basis of such amounts prior to rounding. For this reason, percentage amounts in this section may vary slightly from those obtained by performing the same calculations using the figures in our condensed consolidated financial statements or in the associated text. Certain other amounts that appear in this section may similarly not sum due to rounding.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Banzai is a Marketing Technology (MarTech) company that produces data-driven marketing and sales solutions for businesses of all sizes. Our mission is to help our customers accomplish their mission - by enabling better marketing, sales, and customer engagement outcomes. Banzai endeavors to acquire companies strategically positioned to enhance our product and service offerings, increasing the value provided to current and prospective customers.</w:t>
      </w:r>
    </w:p>
    <w:p>
      <w:pPr>
        <w:spacing w:after="0" w:line="180"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Banzai was founded in 2015. The first product Banzai launched was Reach, a SaaS and managed services offering designed to increase registration and attendance of marketing events, followed by the acquisition of Demio, a SaaS solution for webinars designed for marketing, sales, and customer success teams, in 2021 and the launch of Boost, a SaaS solution for social sharing designed to increase attendance for Demio-hosted events by enabling easy social sharing by event registrants, in 2023. We acquired OpenReel in 2024, and both Vidello and the assets of Superblocks in 2025, further expanding our platform and customer base.</w:t>
      </w:r>
    </w:p>
    <w:p>
      <w:pPr>
        <w:spacing w:after="0" w:line="183"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Our customer base comes from a variety of industries, including (among others) healthcare, financial services, e-commerce, technology and media, in over 90 countries. Our customers range in size from solo entrepreneurs and small businesses to Fortune 500 companies. No single customer represents more than 10% of our revenue. Since 2021, we have focused on increasing mid-market and enterprise customers for Demio.</w:t>
      </w:r>
    </w:p>
    <w:p>
      <w:pPr>
        <w:spacing w:after="0" w:line="176"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We sell our products using a recurring subscription license model typical in SaaS businesses. Pricing tiers for our main product, Demio, are based on the number of host-capable users, desired feature sets, and maximum audience size. Boost pricing tiers are based on the Demio plan to which the customer subscribes. Reach pricing is based on the number of event campaigns a customer has access to run simultaneously or the maximum number of registrations a customer is allowed to generate per subscription period. Our customer contracts vary in term length from single months to multiple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Quarter 2026 Financial and Operational Highlights</w:t>
      </w:r>
    </w:p>
    <w:p>
      <w:pPr>
        <w:spacing w:after="0" w:line="121" w:lineRule="exact"/>
        <w:rPr>
          <w:sz w:val="20"/>
          <w:szCs w:val="20"/>
          <w:color w:val="auto"/>
        </w:rPr>
      </w:pPr>
    </w:p>
    <w:p>
      <w:pPr>
        <w:ind w:left="1020" w:right="3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decreased 20.2% to $2.7 million for first quarter 2026 compared to first quarter 2025. Total cost of revenue decreased by 14.0% quarter over quarter.</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reached $2.2 million for first quarter 2026, compared to $2.8 million in first quarter 2025. Gross profit was 80.7% in first quarter 2026 compared to 82.1% in first quarter 2025.</w:t>
      </w:r>
    </w:p>
    <w:p>
      <w:pPr>
        <w:spacing w:after="0" w:line="53"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increased to $8.4 million for first quarter 2026, compared to $3.6 million in first quarter 2025, which represents a $4.8 million decline quarter over quarter.</w:t>
      </w:r>
    </w:p>
    <w:p>
      <w:pPr>
        <w:spacing w:after="0" w:line="54" w:lineRule="exact"/>
        <w:rPr>
          <w:sz w:val="20"/>
          <w:szCs w:val="20"/>
          <w:color w:val="auto"/>
        </w:rPr>
      </w:pPr>
    </w:p>
    <w:p>
      <w:pPr>
        <w:ind w:left="1020" w:right="34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equity remained at $8.1 million as of March 31, 2026; we converted $3.8 million of debt to equity, and raised an additional $3.3 million from the SEPA and ATM during first quarter 2026.</w:t>
      </w:r>
    </w:p>
    <w:p>
      <w:pPr>
        <w:spacing w:after="0" w:line="54" w:lineRule="exact"/>
        <w:rPr>
          <w:sz w:val="20"/>
          <w:szCs w:val="20"/>
          <w:color w:val="auto"/>
        </w:rPr>
      </w:pPr>
    </w:p>
    <w:p>
      <w:pPr>
        <w:ind w:left="1020" w:right="3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Closed an additional tranche of $2.3 million debt in February 2026 as part of our $11 million debt facility with an institutional investor to support ongoing operations and solidify the foundation for future growth.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Announcement</w:t>
      </w:r>
    </w:p>
    <w:p>
      <w:pPr>
        <w:spacing w:after="0" w:line="229" w:lineRule="exact"/>
        <w:rPr>
          <w:sz w:val="20"/>
          <w:szCs w:val="20"/>
          <w:color w:val="auto"/>
        </w:rPr>
      </w:pPr>
    </w:p>
    <w:p>
      <w:pPr>
        <w:ind w:left="5540" w:right="1560" w:hanging="5076"/>
        <w:spacing w:after="0" w:line="282" w:lineRule="auto"/>
        <w:rPr>
          <w:sz w:val="20"/>
          <w:szCs w:val="20"/>
          <w:color w:val="auto"/>
        </w:rPr>
      </w:pPr>
      <w:r>
        <w:rPr>
          <w:rFonts w:ascii="Times New Roman" w:cs="Times New Roman" w:eastAsia="Times New Roman" w:hAnsi="Times New Roman"/>
          <w:sz w:val="18"/>
          <w:szCs w:val="18"/>
          <w:color w:val="auto"/>
        </w:rPr>
        <w:t>As previously disclosed, on March 23, 2026, the Company announced that it reached an agreement on terms to acquire assets of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7" w:name="page48"/>
    <w:bookmarkEnd w:id="47"/>
    <w:p>
      <w:pPr>
        <w:jc w:val="both"/>
        <w:spacing w:after="0" w:line="261" w:lineRule="auto"/>
        <w:rPr>
          <w:sz w:val="20"/>
          <w:szCs w:val="20"/>
          <w:color w:val="auto"/>
        </w:rPr>
      </w:pPr>
      <w:r>
        <w:rPr>
          <w:rFonts w:ascii="Times New Roman" w:cs="Times New Roman" w:eastAsia="Times New Roman" w:hAnsi="Times New Roman"/>
          <w:sz w:val="18"/>
          <w:szCs w:val="18"/>
          <w:color w:val="auto"/>
        </w:rPr>
        <w:t>ConnectAndSell, Inc. (“ConnectAndSell”), an AI-powered sales enablement platform serving B2B organizations across financial services, healthcare, technology, and other industries. The acquisition is expected to increase Banzai’s annual revenue. The two companies have executed a non-binding letter of intent and continue to negotiate material terms of the transaction. Since the transaction is subject to execution of a definitive agreement and closing conditions, we cannot accurately estimate the closing date at this time. There can be no assurance that we will be able to complete this acquisition.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Listing Compliance</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As more fully described herein, we effected a 1-for-20 reverse stock split of our Class A Common Stock as of May 8, 2026 in an effort to remain compliant with Nasdaq Rule 5550(a)(2), which pertains to the minimum required bid price of our Class A Common Stock. Although we believe the reverse stock split allowed us to be in compliance with such Nasdaq rule, there can be no assurance that we will be able to maintain compliance with that or any other Nasdaq listing standard.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Business Combination and Public Company Costs</w:t>
      </w:r>
    </w:p>
    <w:p>
      <w:pPr>
        <w:spacing w:after="0" w:line="22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Business Combination was accounted for as a reverse recapitalization. Under this method of accounting, 7GC was treated as the acquired company for financial statement reporting purposes. Accordingly, for accounting purposes, the financial statements of Banzai represent a continuation of the financial statements of Legacy Banzai with the Business Combination treated as the equivalent of Legacy Banzai issuing stock for the net assets of 7GC, accompanied by a recapitalization. The net assets of 7GC were stated at historical cost, with no goodwill or other intangible assets recorded. Operations prior to the Business Combination are those of Legacy Banzai in this and future reports of Banzai.</w:t>
      </w:r>
    </w:p>
    <w:p>
      <w:pPr>
        <w:spacing w:after="0" w:line="183"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Due to the Business Combination, we became the successor to an SEC-registered and Nasdaq-listed company, which required Banzai to hire additional personnel and implement procedures and processes to address public company regulatory requirements and customary practices. We incurred and expect to incur additional annual expenses as a public company for, among other things, directors’ and officers’ liability insurance, director fees and additional internal and external accounting, legal and administrative resources, including increased audit and legal fees. We are classified as a “smaller reporting company.” As a result, we have been provided with certain disclosure and regulatory relief. Our future results of operations and financial position may not be comparable to Legacy Banzai’s historical results of operations and financial position as a result of the Business Combination.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in Thousands)</w:t>
            </w:r>
          </w:p>
        </w:tc>
        <w:tc>
          <w:tcPr>
            <w:tcW w:w="22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6"/>
                <w:szCs w:val="16"/>
                <w:b w:val="1"/>
                <w:bCs w:val="1"/>
                <w:i w:val="1"/>
                <w:iCs w:val="1"/>
                <w:color w:val="auto"/>
              </w:rPr>
              <w:t>Three Months Ended March 31,</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3"/>
          </w:tcPr>
          <w:p>
            <w:pPr>
              <w:jc w:val="right"/>
              <w:ind w:right="790"/>
              <w:spacing w:after="0"/>
              <w:rPr>
                <w:sz w:val="20"/>
                <w:szCs w:val="20"/>
                <w:color w:val="auto"/>
              </w:rPr>
            </w:pPr>
            <w:r>
              <w:rPr>
                <w:rFonts w:ascii="Times New Roman" w:cs="Times New Roman" w:eastAsia="Times New Roman" w:hAnsi="Times New Roman"/>
                <w:sz w:val="16"/>
                <w:szCs w:val="16"/>
                <w:b w:val="1"/>
                <w:bCs w:val="1"/>
                <w:i w:val="1"/>
                <w:iCs w:val="1"/>
                <w:color w:val="auto"/>
              </w:rPr>
              <w:t>Period-over-Period</w:t>
            </w:r>
          </w:p>
        </w:tc>
        <w:tc>
          <w:tcPr>
            <w:tcW w:w="0" w:type="dxa"/>
            <w:vAlign w:val="bottom"/>
          </w:tcPr>
          <w:p>
            <w:pPr>
              <w:spacing w:after="0"/>
              <w:rPr>
                <w:sz w:val="1"/>
                <w:szCs w:val="1"/>
                <w:color w:val="auto"/>
              </w:rPr>
            </w:pPr>
          </w:p>
        </w:tc>
      </w:tr>
      <w:tr>
        <w:trPr>
          <w:trHeight w:val="172"/>
        </w:trPr>
        <w:tc>
          <w:tcPr>
            <w:tcW w:w="53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right"/>
              <w:ind w:right="511"/>
              <w:spacing w:after="0" w:line="172" w:lineRule="exact"/>
              <w:rPr>
                <w:sz w:val="20"/>
                <w:szCs w:val="20"/>
                <w:color w:val="auto"/>
              </w:rPr>
            </w:pPr>
            <w:r>
              <w:rPr>
                <w:rFonts w:ascii="Times New Roman" w:cs="Times New Roman" w:eastAsia="Times New Roman" w:hAnsi="Times New Roman"/>
                <w:sz w:val="16"/>
                <w:szCs w:val="16"/>
                <w:b w:val="1"/>
                <w:bCs w:val="1"/>
                <w:i w:val="1"/>
                <w:iCs w:val="1"/>
                <w:color w:val="auto"/>
              </w:rPr>
              <w:t>2026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right"/>
              <w:ind w:right="530"/>
              <w:spacing w:after="0" w:line="172" w:lineRule="exact"/>
              <w:rPr>
                <w:sz w:val="20"/>
                <w:szCs w:val="20"/>
                <w:color w:val="auto"/>
              </w:rPr>
            </w:pPr>
            <w:r>
              <w:rPr>
                <w:rFonts w:ascii="Times New Roman" w:cs="Times New Roman" w:eastAsia="Times New Roman" w:hAnsi="Times New Roman"/>
                <w:sz w:val="16"/>
                <w:szCs w:val="16"/>
                <w:b w:val="1"/>
                <w:bCs w:val="1"/>
                <w:i w:val="1"/>
                <w:iCs w:val="1"/>
                <w:color w:val="auto"/>
              </w:rPr>
              <w:t>2025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551"/>
              <w:spacing w:after="0" w:line="172" w:lineRule="exact"/>
              <w:rPr>
                <w:sz w:val="20"/>
                <w:szCs w:val="20"/>
                <w:color w:val="auto"/>
              </w:rPr>
            </w:pPr>
            <w:r>
              <w:rPr>
                <w:rFonts w:ascii="Times New Roman" w:cs="Times New Roman" w:eastAsia="Times New Roman" w:hAnsi="Times New Roman"/>
                <w:sz w:val="16"/>
                <w:szCs w:val="16"/>
                <w:b w:val="1"/>
                <w:bCs w:val="1"/>
                <w:i w:val="1"/>
                <w:iCs w:val="1"/>
                <w:color w:val="auto"/>
              </w:rPr>
              <w:t>$</w:t>
            </w:r>
          </w:p>
        </w:tc>
        <w:tc>
          <w:tcPr>
            <w:tcW w:w="1560" w:type="dxa"/>
            <w:vAlign w:val="bottom"/>
            <w:gridSpan w:val="2"/>
          </w:tcPr>
          <w:p>
            <w:pPr>
              <w:jc w:val="right"/>
              <w:ind w:right="690"/>
              <w:spacing w:after="0" w:line="172" w:lineRule="exact"/>
              <w:rPr>
                <w:sz w:val="20"/>
                <w:szCs w:val="20"/>
                <w:color w:val="auto"/>
              </w:rPr>
            </w:pPr>
            <w:r>
              <w:rPr>
                <w:rFonts w:ascii="Times New Roman" w:cs="Times New Roman" w:eastAsia="Times New Roman" w:hAnsi="Times New Roman"/>
                <w:sz w:val="16"/>
                <w:szCs w:val="16"/>
                <w:b w:val="1"/>
                <w:bCs w:val="1"/>
                <w:i w:val="1"/>
                <w:iCs w:val="1"/>
                <w:color w:val="auto"/>
              </w:rPr>
              <w:t>%</w:t>
            </w:r>
          </w:p>
        </w:tc>
        <w:tc>
          <w:tcPr>
            <w:tcW w:w="0" w:type="dxa"/>
            <w:vAlign w:val="bottom"/>
          </w:tcPr>
          <w:p>
            <w:pPr>
              <w:spacing w:after="0"/>
              <w:rPr>
                <w:sz w:val="1"/>
                <w:szCs w:val="1"/>
                <w:color w:val="auto"/>
              </w:rPr>
            </w:pPr>
          </w:p>
        </w:tc>
      </w:tr>
      <w:tr>
        <w:trPr>
          <w:trHeight w:val="20"/>
        </w:trPr>
        <w:tc>
          <w:tcPr>
            <w:tcW w:w="1220" w:type="dxa"/>
            <w:vAlign w:val="bottom"/>
            <w:tcBorders>
              <w:top w:val="single" w:sz="8" w:color="auto"/>
            </w:tcBorders>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6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2,696</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3,379</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16"/>
        </w:trPr>
        <w:tc>
          <w:tcPr>
            <w:tcW w:w="536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revenue</w:t>
            </w:r>
          </w:p>
        </w:tc>
        <w:tc>
          <w:tcPr>
            <w:tcW w:w="2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606</w:t>
            </w: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09"/>
        </w:trPr>
        <w:tc>
          <w:tcPr>
            <w:tcW w:w="53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2,175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2,773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09"/>
        </w:trPr>
        <w:tc>
          <w:tcPr>
            <w:tcW w:w="5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2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7,650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7,433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536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09"/>
        </w:trPr>
        <w:tc>
          <w:tcPr>
            <w:tcW w:w="53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7,955</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7,680</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9"/>
        </w:trPr>
        <w:tc>
          <w:tcPr>
            <w:tcW w:w="53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loss</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(5,780)</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(4,907)</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10"/>
        </w:trPr>
        <w:tc>
          <w:tcPr>
            <w:tcW w:w="536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Other expenses (income):</w:t>
            </w: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5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1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 – related party</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164</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16"/>
        </w:trPr>
        <w:tc>
          <w:tcPr>
            <w:tcW w:w="5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Gain on extinguishment of liabilities</w:t>
            </w:r>
          </w:p>
        </w:tc>
        <w:tc>
          <w:tcPr>
            <w:tcW w:w="22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(4,343)</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on debt issuance</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225</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0" w:type="dxa"/>
            <w:vAlign w:val="bottom"/>
          </w:tcPr>
          <w:p>
            <w:pPr>
              <w:spacing w:after="0"/>
              <w:rPr>
                <w:sz w:val="1"/>
                <w:szCs w:val="1"/>
                <w:color w:val="auto"/>
              </w:rPr>
            </w:pPr>
          </w:p>
        </w:tc>
      </w:tr>
      <w:tr>
        <w:trPr>
          <w:trHeight w:val="216"/>
        </w:trPr>
        <w:tc>
          <w:tcPr>
            <w:tcW w:w="5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Loss on Private Placement Issuance</w:t>
            </w:r>
          </w:p>
        </w:tc>
        <w:tc>
          <w:tcPr>
            <w:tcW w:w="22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1,598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100" w:type="dxa"/>
            <w:vAlign w:val="bottom"/>
          </w:tcPr>
          <w:p>
            <w:pPr>
              <w:spacing w:after="0"/>
              <w:rPr>
                <w:sz w:val="18"/>
                <w:szCs w:val="18"/>
                <w:color w:val="auto"/>
              </w:rPr>
            </w:pPr>
          </w:p>
        </w:tc>
        <w:tc>
          <w:tcPr>
            <w:tcW w:w="1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on extinguishment of debt, net</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1,770</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1,764</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0" w:type="dxa"/>
            <w:vAlign w:val="bottom"/>
          </w:tcPr>
          <w:p>
            <w:pPr>
              <w:spacing w:after="0"/>
              <w:rPr>
                <w:sz w:val="1"/>
                <w:szCs w:val="1"/>
                <w:color w:val="auto"/>
              </w:rPr>
            </w:pPr>
          </w:p>
        </w:tc>
      </w:tr>
      <w:tr>
        <w:trPr>
          <w:trHeight w:val="216"/>
        </w:trPr>
        <w:tc>
          <w:tcPr>
            <w:tcW w:w="5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Change in fair value of financial instruments</w:t>
            </w:r>
          </w:p>
        </w:tc>
        <w:tc>
          <w:tcPr>
            <w:tcW w:w="22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(334.3%)</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fair value of financial instruments – related party</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216"/>
        </w:trPr>
        <w:tc>
          <w:tcPr>
            <w:tcW w:w="5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531</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on Yorkville SEPA advances</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385</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357</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0" w:type="dxa"/>
            <w:vAlign w:val="bottom"/>
          </w:tcPr>
          <w:p>
            <w:pPr>
              <w:spacing w:after="0"/>
              <w:rPr>
                <w:sz w:val="1"/>
                <w:szCs w:val="1"/>
                <w:color w:val="auto"/>
              </w:rPr>
            </w:pPr>
          </w:p>
        </w:tc>
      </w:tr>
      <w:tr>
        <w:trPr>
          <w:trHeight w:val="216"/>
        </w:trPr>
        <w:tc>
          <w:tcPr>
            <w:tcW w:w="5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0" w:type="dxa"/>
            <w:vAlign w:val="bottom"/>
          </w:tcPr>
          <w:p>
            <w:pPr>
              <w:spacing w:after="0"/>
              <w:rPr>
                <w:sz w:val="1"/>
                <w:szCs w:val="1"/>
                <w:color w:val="auto"/>
              </w:rPr>
            </w:pPr>
          </w:p>
        </w:tc>
      </w:tr>
      <w:tr>
        <w:trPr>
          <w:trHeight w:val="210"/>
        </w:trPr>
        <w:tc>
          <w:tcPr>
            <w:tcW w:w="536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other expenses, net</w:t>
            </w:r>
          </w:p>
        </w:tc>
        <w:tc>
          <w:tcPr>
            <w:tcW w:w="2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2,689</w:t>
            </w: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(4,026)</w:t>
            </w:r>
          </w:p>
        </w:tc>
        <w:tc>
          <w:tcPr>
            <w:tcW w:w="10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(301.1%)</w:t>
            </w:r>
          </w:p>
        </w:tc>
        <w:tc>
          <w:tcPr>
            <w:tcW w:w="0" w:type="dxa"/>
            <w:vAlign w:val="bottom"/>
          </w:tcPr>
          <w:p>
            <w:pPr>
              <w:spacing w:after="0"/>
              <w:rPr>
                <w:sz w:val="1"/>
                <w:szCs w:val="1"/>
                <w:color w:val="auto"/>
              </w:rPr>
            </w:pPr>
          </w:p>
        </w:tc>
      </w:tr>
      <w:tr>
        <w:trPr>
          <w:trHeight w:val="210"/>
        </w:trPr>
        <w:tc>
          <w:tcPr>
            <w:tcW w:w="5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(8,469)</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(3,570)</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(4,899)</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0" w:type="dxa"/>
            <w:vAlign w:val="bottom"/>
          </w:tcPr>
          <w:p>
            <w:pPr>
              <w:spacing w:after="0"/>
              <w:rPr>
                <w:sz w:val="1"/>
                <w:szCs w:val="1"/>
                <w:color w:val="auto"/>
              </w:rPr>
            </w:pPr>
          </w:p>
        </w:tc>
      </w:tr>
      <w:tr>
        <w:trPr>
          <w:trHeight w:val="209"/>
        </w:trPr>
        <w:tc>
          <w:tcPr>
            <w:tcW w:w="536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0" w:type="dxa"/>
            <w:vAlign w:val="bottom"/>
          </w:tcPr>
          <w:p>
            <w:pPr>
              <w:spacing w:after="0"/>
              <w:rPr>
                <w:sz w:val="1"/>
                <w:szCs w:val="1"/>
                <w:color w:val="auto"/>
              </w:rPr>
            </w:pPr>
          </w:p>
        </w:tc>
      </w:tr>
      <w:tr>
        <w:trPr>
          <w:trHeight w:val="210"/>
        </w:trPr>
        <w:tc>
          <w:tcPr>
            <w:tcW w:w="5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(8,417)</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(3,644)</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(4,773)</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-3256915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-3256915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-3256915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-2691130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-2691130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-2691130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-2399665</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-2399665</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-2399665</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-462280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-462280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-462280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-170815</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-170815</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-170815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percentage changes included in the tables herein present favorable period-over-period amounts and percentages as positive and unfavorable as negative, and percentages not considered meaningful as “NM."</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March 31, 2026 and 2025</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 Analysis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in Thousands)</w:t>
            </w:r>
          </w:p>
        </w:tc>
        <w:tc>
          <w:tcPr>
            <w:tcW w:w="20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jc w:val="right"/>
              <w:ind w:right="375"/>
              <w:spacing w:after="0"/>
              <w:rPr>
                <w:sz w:val="20"/>
                <w:szCs w:val="20"/>
                <w:color w:val="auto"/>
              </w:rPr>
            </w:pPr>
            <w:r>
              <w:rPr>
                <w:rFonts w:ascii="Times New Roman" w:cs="Times New Roman" w:eastAsia="Times New Roman" w:hAnsi="Times New Roman"/>
                <w:sz w:val="16"/>
                <w:szCs w:val="16"/>
                <w:b w:val="1"/>
                <w:bCs w:val="1"/>
                <w:i w:val="1"/>
                <w:iCs w:val="1"/>
                <w:color w:val="auto"/>
              </w:rPr>
              <w:t>Three Months Ended March 31,</w:t>
            </w:r>
          </w:p>
        </w:tc>
        <w:tc>
          <w:tcPr>
            <w:tcW w:w="12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i w:val="1"/>
                <w:iCs w:val="1"/>
                <w:color w:val="auto"/>
              </w:rPr>
              <w:t>Period-over-Period</w:t>
            </w: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300" w:type="dxa"/>
            <w:vAlign w:val="bottom"/>
            <w:gridSpan w:val="2"/>
            <w:vMerge w:val="continue"/>
          </w:tcPr>
          <w:p>
            <w:pPr>
              <w:spacing w:after="0"/>
              <w:rPr>
                <w:sz w:val="15"/>
                <w:szCs w:val="15"/>
                <w:color w:val="auto"/>
              </w:rPr>
            </w:pPr>
          </w:p>
        </w:tc>
        <w:tc>
          <w:tcPr>
            <w:tcW w:w="2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ind w:right="516"/>
              <w:spacing w:after="0" w:line="175" w:lineRule="exact"/>
              <w:rPr>
                <w:sz w:val="20"/>
                <w:szCs w:val="20"/>
                <w:color w:val="auto"/>
              </w:rPr>
            </w:pPr>
            <w:r>
              <w:rPr>
                <w:rFonts w:ascii="Times New Roman" w:cs="Times New Roman" w:eastAsia="Times New Roman" w:hAnsi="Times New Roman"/>
                <w:sz w:val="16"/>
                <w:szCs w:val="16"/>
                <w:b w:val="1"/>
                <w:bCs w:val="1"/>
                <w:i w:val="1"/>
                <w:iCs w:val="1"/>
                <w:color w:val="auto"/>
              </w:rPr>
              <w:t>2026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ind w:right="535"/>
              <w:spacing w:after="0" w:line="175" w:lineRule="exact"/>
              <w:rPr>
                <w:sz w:val="20"/>
                <w:szCs w:val="20"/>
                <w:color w:val="auto"/>
              </w:rPr>
            </w:pPr>
            <w:r>
              <w:rPr>
                <w:rFonts w:ascii="Times New Roman" w:cs="Times New Roman" w:eastAsia="Times New Roman" w:hAnsi="Times New Roman"/>
                <w:sz w:val="16"/>
                <w:szCs w:val="16"/>
                <w:b w:val="1"/>
                <w:bCs w:val="1"/>
                <w:i w:val="1"/>
                <w:iCs w:val="1"/>
                <w:color w:val="auto"/>
              </w:rPr>
              <w:t>2025</w:t>
            </w:r>
          </w:p>
        </w:tc>
        <w:tc>
          <w:tcPr>
            <w:tcW w:w="120" w:type="dxa"/>
            <w:vAlign w:val="bottom"/>
          </w:tcPr>
          <w:p>
            <w:pPr>
              <w:spacing w:after="0"/>
              <w:rPr>
                <w:sz w:val="15"/>
                <w:szCs w:val="15"/>
                <w:color w:val="auto"/>
              </w:rPr>
            </w:pPr>
          </w:p>
        </w:tc>
        <w:tc>
          <w:tcPr>
            <w:tcW w:w="6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b w:val="1"/>
                <w:bCs w:val="1"/>
                <w:i w:val="1"/>
                <w:iCs w:val="1"/>
                <w:color w:val="auto"/>
              </w:rPr>
              <w:t>$</w:t>
            </w:r>
          </w:p>
        </w:tc>
        <w:tc>
          <w:tcPr>
            <w:tcW w:w="1480" w:type="dxa"/>
            <w:vAlign w:val="bottom"/>
            <w:gridSpan w:val="3"/>
          </w:tcPr>
          <w:p>
            <w:pPr>
              <w:jc w:val="right"/>
              <w:ind w:right="80"/>
              <w:spacing w:after="0" w:line="175" w:lineRule="exact"/>
              <w:rPr>
                <w:sz w:val="20"/>
                <w:szCs w:val="20"/>
                <w:color w:val="auto"/>
              </w:rPr>
            </w:pPr>
            <w:r>
              <w:rPr>
                <w:rFonts w:ascii="Times New Roman" w:cs="Times New Roman" w:eastAsia="Times New Roman" w:hAnsi="Times New Roman"/>
                <w:sz w:val="16"/>
                <w:szCs w:val="16"/>
                <w:b w:val="1"/>
                <w:bCs w:val="1"/>
                <w:i w:val="1"/>
                <w:iCs w:val="1"/>
                <w:color w:val="auto"/>
              </w:rPr>
              <w:t>%</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20" w:type="dxa"/>
            <w:vAlign w:val="bottom"/>
            <w:tcBorders>
              <w:top w:val="single" w:sz="8" w:color="auto"/>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0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228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6"/>
              <w:spacing w:after="0" w:line="196" w:lineRule="exact"/>
              <w:rPr>
                <w:sz w:val="20"/>
                <w:szCs w:val="20"/>
                <w:color w:val="auto"/>
              </w:rPr>
            </w:pPr>
            <w:r>
              <w:rPr>
                <w:rFonts w:ascii="Times New Roman" w:cs="Times New Roman" w:eastAsia="Times New Roman" w:hAnsi="Times New Roman"/>
                <w:sz w:val="18"/>
                <w:szCs w:val="18"/>
                <w:color w:val="auto"/>
              </w:rPr>
              <w:t>2,696</w:t>
            </w:r>
          </w:p>
        </w:tc>
        <w:tc>
          <w:tcPr>
            <w:tcW w:w="400" w:type="dxa"/>
            <w:vAlign w:val="bottom"/>
            <w:gridSpan w:val="2"/>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5"/>
              <w:spacing w:after="0" w:line="196" w:lineRule="exact"/>
              <w:rPr>
                <w:sz w:val="20"/>
                <w:szCs w:val="20"/>
                <w:color w:val="auto"/>
              </w:rPr>
            </w:pPr>
            <w:r>
              <w:rPr>
                <w:rFonts w:ascii="Times New Roman" w:cs="Times New Roman" w:eastAsia="Times New Roman" w:hAnsi="Times New Roman"/>
                <w:sz w:val="18"/>
                <w:szCs w:val="18"/>
                <w:color w:val="auto"/>
              </w:rPr>
              <w:t>3,379</w:t>
            </w:r>
          </w:p>
        </w:tc>
        <w:tc>
          <w:tcPr>
            <w:tcW w:w="740" w:type="dxa"/>
            <w:vAlign w:val="bottom"/>
            <w:gridSpan w:val="2"/>
            <w:shd w:val="clear" w:color="auto" w:fill="CFF0FC"/>
          </w:tcPr>
          <w:p>
            <w:pPr>
              <w:jc w:val="right"/>
              <w:ind w:right="459"/>
              <w:spacing w:after="0" w:line="196"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(683)</w:t>
            </w: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Revenue from Banzai Operating, OpenReel and Vidello decreased by approximately $134, $65, and $484 respectively, for the three months ended March 31, 2026.</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Analysis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in Thousands)</w:t>
            </w:r>
          </w:p>
        </w:tc>
        <w:tc>
          <w:tcPr>
            <w:tcW w:w="2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375"/>
              <w:spacing w:after="0"/>
              <w:rPr>
                <w:sz w:val="20"/>
                <w:szCs w:val="20"/>
                <w:color w:val="auto"/>
              </w:rPr>
            </w:pPr>
            <w:r>
              <w:rPr>
                <w:rFonts w:ascii="Times New Roman" w:cs="Times New Roman" w:eastAsia="Times New Roman" w:hAnsi="Times New Roman"/>
                <w:sz w:val="16"/>
                <w:szCs w:val="16"/>
                <w:b w:val="1"/>
                <w:bCs w:val="1"/>
                <w:i w:val="1"/>
                <w:iCs w:val="1"/>
                <w:color w:val="auto"/>
              </w:rPr>
              <w:t>Three Months Ended March 31,</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3"/>
          </w:tcPr>
          <w:p>
            <w:pPr>
              <w:jc w:val="right"/>
              <w:ind w:right="840"/>
              <w:spacing w:after="0"/>
              <w:rPr>
                <w:sz w:val="20"/>
                <w:szCs w:val="20"/>
                <w:color w:val="auto"/>
              </w:rPr>
            </w:pPr>
            <w:r>
              <w:rPr>
                <w:rFonts w:ascii="Times New Roman" w:cs="Times New Roman" w:eastAsia="Times New Roman" w:hAnsi="Times New Roman"/>
                <w:sz w:val="16"/>
                <w:szCs w:val="16"/>
                <w:b w:val="1"/>
                <w:bCs w:val="1"/>
                <w:i w:val="1"/>
                <w:iCs w:val="1"/>
                <w:color w:val="auto"/>
              </w:rPr>
              <w:t>Period-over-Period</w:t>
            </w:r>
          </w:p>
        </w:tc>
        <w:tc>
          <w:tcPr>
            <w:tcW w:w="0" w:type="dxa"/>
            <w:vAlign w:val="bottom"/>
          </w:tcPr>
          <w:p>
            <w:pPr>
              <w:spacing w:after="0"/>
              <w:rPr>
                <w:sz w:val="1"/>
                <w:szCs w:val="1"/>
                <w:color w:val="auto"/>
              </w:rPr>
            </w:pPr>
          </w:p>
        </w:tc>
      </w:tr>
      <w:tr>
        <w:trPr>
          <w:trHeight w:val="172"/>
        </w:trPr>
        <w:tc>
          <w:tcPr>
            <w:tcW w:w="3320" w:type="dxa"/>
            <w:vAlign w:val="bottom"/>
            <w:gridSpan w:val="2"/>
            <w:vMerge w:val="continue"/>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right"/>
              <w:ind w:right="515"/>
              <w:spacing w:after="0" w:line="172" w:lineRule="exact"/>
              <w:rPr>
                <w:sz w:val="20"/>
                <w:szCs w:val="20"/>
                <w:color w:val="auto"/>
              </w:rPr>
            </w:pPr>
            <w:r>
              <w:rPr>
                <w:rFonts w:ascii="Times New Roman" w:cs="Times New Roman" w:eastAsia="Times New Roman" w:hAnsi="Times New Roman"/>
                <w:sz w:val="16"/>
                <w:szCs w:val="16"/>
                <w:b w:val="1"/>
                <w:bCs w:val="1"/>
                <w:i w:val="1"/>
                <w:iCs w:val="1"/>
                <w:color w:val="auto"/>
              </w:rPr>
              <w:t>2026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right"/>
              <w:ind w:right="535"/>
              <w:spacing w:after="0" w:line="172" w:lineRule="exact"/>
              <w:rPr>
                <w:sz w:val="20"/>
                <w:szCs w:val="20"/>
                <w:color w:val="auto"/>
              </w:rPr>
            </w:pPr>
            <w:r>
              <w:rPr>
                <w:rFonts w:ascii="Times New Roman" w:cs="Times New Roman" w:eastAsia="Times New Roman" w:hAnsi="Times New Roman"/>
                <w:sz w:val="16"/>
                <w:szCs w:val="16"/>
                <w:b w:val="1"/>
                <w:bCs w:val="1"/>
                <w:i w:val="1"/>
                <w:iCs w:val="1"/>
                <w:color w:val="auto"/>
              </w:rPr>
              <w:t>2025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ind w:right="556"/>
              <w:spacing w:after="0" w:line="172" w:lineRule="exact"/>
              <w:rPr>
                <w:sz w:val="20"/>
                <w:szCs w:val="20"/>
                <w:color w:val="auto"/>
              </w:rPr>
            </w:pPr>
            <w:r>
              <w:rPr>
                <w:rFonts w:ascii="Times New Roman" w:cs="Times New Roman" w:eastAsia="Times New Roman" w:hAnsi="Times New Roman"/>
                <w:sz w:val="16"/>
                <w:szCs w:val="16"/>
                <w:b w:val="1"/>
                <w:bCs w:val="1"/>
                <w:i w:val="1"/>
                <w:iCs w:val="1"/>
                <w:color w:val="auto"/>
              </w:rPr>
              <w:t>$</w:t>
            </w:r>
          </w:p>
        </w:tc>
        <w:tc>
          <w:tcPr>
            <w:tcW w:w="1520" w:type="dxa"/>
            <w:vAlign w:val="bottom"/>
            <w:gridSpan w:val="2"/>
          </w:tcPr>
          <w:p>
            <w:pPr>
              <w:jc w:val="right"/>
              <w:ind w:right="720"/>
              <w:spacing w:after="0" w:line="172" w:lineRule="exact"/>
              <w:rPr>
                <w:sz w:val="20"/>
                <w:szCs w:val="20"/>
                <w:color w:val="auto"/>
              </w:rPr>
            </w:pPr>
            <w:r>
              <w:rPr>
                <w:rFonts w:ascii="Times New Roman" w:cs="Times New Roman" w:eastAsia="Times New Roman" w:hAnsi="Times New Roman"/>
                <w:sz w:val="16"/>
                <w:szCs w:val="16"/>
                <w:b w:val="1"/>
                <w:bCs w:val="1"/>
                <w:i w:val="1"/>
                <w:iCs w:val="1"/>
                <w:color w:val="auto"/>
              </w:rPr>
              <w:t>%</w:t>
            </w:r>
          </w:p>
        </w:tc>
        <w:tc>
          <w:tcPr>
            <w:tcW w:w="0" w:type="dxa"/>
            <w:vAlign w:val="bottom"/>
          </w:tcPr>
          <w:p>
            <w:pPr>
              <w:spacing w:after="0"/>
              <w:rPr>
                <w:sz w:val="1"/>
                <w:szCs w:val="1"/>
                <w:color w:val="auto"/>
              </w:rPr>
            </w:pPr>
          </w:p>
        </w:tc>
      </w:tr>
      <w:tr>
        <w:trPr>
          <w:trHeight w:val="20"/>
        </w:trPr>
        <w:tc>
          <w:tcPr>
            <w:tcW w:w="1220" w:type="dxa"/>
            <w:vAlign w:val="bottom"/>
            <w:tcBorders>
              <w:top w:val="single" w:sz="8" w:color="auto"/>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2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Cost of revenue</w:t>
            </w:r>
          </w:p>
        </w:tc>
        <w:tc>
          <w:tcPr>
            <w:tcW w:w="220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5"/>
              <w:spacing w:after="0" w:line="196" w:lineRule="exact"/>
              <w:rPr>
                <w:sz w:val="20"/>
                <w:szCs w:val="20"/>
                <w:color w:val="auto"/>
              </w:rPr>
            </w:pPr>
            <w:r>
              <w:rPr>
                <w:rFonts w:ascii="Times New Roman" w:cs="Times New Roman" w:eastAsia="Times New Roman" w:hAnsi="Times New Roman"/>
                <w:sz w:val="18"/>
                <w:szCs w:val="18"/>
                <w:color w:val="auto"/>
              </w:rPr>
              <w:t>521</w:t>
            </w:r>
          </w:p>
        </w:tc>
        <w:tc>
          <w:tcPr>
            <w:tcW w:w="400" w:type="dxa"/>
            <w:vAlign w:val="bottom"/>
            <w:gridSpan w:val="2"/>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5"/>
              <w:spacing w:after="0" w:line="196" w:lineRule="exact"/>
              <w:rPr>
                <w:sz w:val="20"/>
                <w:szCs w:val="20"/>
                <w:color w:val="auto"/>
              </w:rPr>
            </w:pPr>
            <w:r>
              <w:rPr>
                <w:rFonts w:ascii="Times New Roman" w:cs="Times New Roman" w:eastAsia="Times New Roman" w:hAnsi="Times New Roman"/>
                <w:sz w:val="18"/>
                <w:szCs w:val="18"/>
                <w:color w:val="auto"/>
              </w:rPr>
              <w:t>606</w:t>
            </w:r>
          </w:p>
        </w:tc>
        <w:tc>
          <w:tcPr>
            <w:tcW w:w="42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6"/>
              <w:spacing w:after="0" w:line="196" w:lineRule="exact"/>
              <w:rPr>
                <w:sz w:val="20"/>
                <w:szCs w:val="20"/>
                <w:color w:val="auto"/>
              </w:rPr>
            </w:pPr>
            <w:r>
              <w:rPr>
                <w:rFonts w:ascii="Times New Roman" w:cs="Times New Roman" w:eastAsia="Times New Roman" w:hAnsi="Times New Roman"/>
                <w:sz w:val="18"/>
                <w:szCs w:val="18"/>
                <w:color w:val="auto"/>
              </w:rPr>
              <w:t>85</w:t>
            </w:r>
          </w:p>
        </w:tc>
        <w:tc>
          <w:tcPr>
            <w:tcW w:w="152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432"/>
        </w:trPr>
        <w:tc>
          <w:tcPr>
            <w:tcW w:w="12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jc w:val="right"/>
              <w:ind w:right="1015"/>
              <w:spacing w:after="0"/>
              <w:rPr>
                <w:sz w:val="20"/>
                <w:szCs w:val="20"/>
                <w:color w:val="auto"/>
              </w:rPr>
            </w:pPr>
            <w:r>
              <w:rPr>
                <w:rFonts w:ascii="Times New Roman" w:cs="Times New Roman" w:eastAsia="Times New Roman" w:hAnsi="Times New Roman"/>
                <w:sz w:val="18"/>
                <w:szCs w:val="18"/>
                <w:color w:val="auto"/>
                <w:w w:val="99"/>
              </w:rPr>
              <w:t>49</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22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9" w:name="page50"/>
    <w:bookmarkEnd w:id="49"/>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Cost of revenue from OpenReel and Vidello decreased by approximately $10, and $88, respectively, partially offset by Banzai Operating, which increased by approximately $13 for the three months ended March 31, 2026.</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Analysis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in Thousands)</w:t>
            </w:r>
          </w:p>
        </w:tc>
        <w:tc>
          <w:tcPr>
            <w:tcW w:w="20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jc w:val="right"/>
              <w:ind w:right="375"/>
              <w:spacing w:after="0"/>
              <w:rPr>
                <w:sz w:val="20"/>
                <w:szCs w:val="20"/>
                <w:color w:val="auto"/>
              </w:rPr>
            </w:pPr>
            <w:r>
              <w:rPr>
                <w:rFonts w:ascii="Times New Roman" w:cs="Times New Roman" w:eastAsia="Times New Roman" w:hAnsi="Times New Roman"/>
                <w:sz w:val="16"/>
                <w:szCs w:val="16"/>
                <w:b w:val="1"/>
                <w:bCs w:val="1"/>
                <w:i w:val="1"/>
                <w:iCs w:val="1"/>
                <w:color w:val="auto"/>
              </w:rPr>
              <w:t>Three Months Ended March 31,</w:t>
            </w:r>
          </w:p>
        </w:tc>
        <w:tc>
          <w:tcPr>
            <w:tcW w:w="12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i w:val="1"/>
                <w:iCs w:val="1"/>
                <w:color w:val="auto"/>
              </w:rPr>
              <w:t>Period-over-Period</w:t>
            </w: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300" w:type="dxa"/>
            <w:vAlign w:val="bottom"/>
            <w:gridSpan w:val="2"/>
            <w:vMerge w:val="continue"/>
          </w:tcPr>
          <w:p>
            <w:pPr>
              <w:spacing w:after="0"/>
              <w:rPr>
                <w:sz w:val="15"/>
                <w:szCs w:val="15"/>
                <w:color w:val="auto"/>
              </w:rPr>
            </w:pPr>
          </w:p>
        </w:tc>
        <w:tc>
          <w:tcPr>
            <w:tcW w:w="2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ind w:right="516"/>
              <w:spacing w:after="0" w:line="175" w:lineRule="exact"/>
              <w:rPr>
                <w:sz w:val="20"/>
                <w:szCs w:val="20"/>
                <w:color w:val="auto"/>
              </w:rPr>
            </w:pPr>
            <w:r>
              <w:rPr>
                <w:rFonts w:ascii="Times New Roman" w:cs="Times New Roman" w:eastAsia="Times New Roman" w:hAnsi="Times New Roman"/>
                <w:sz w:val="16"/>
                <w:szCs w:val="16"/>
                <w:b w:val="1"/>
                <w:bCs w:val="1"/>
                <w:i w:val="1"/>
                <w:iCs w:val="1"/>
                <w:color w:val="auto"/>
              </w:rPr>
              <w:t>2026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ind w:right="535"/>
              <w:spacing w:after="0" w:line="175" w:lineRule="exact"/>
              <w:rPr>
                <w:sz w:val="20"/>
                <w:szCs w:val="20"/>
                <w:color w:val="auto"/>
              </w:rPr>
            </w:pPr>
            <w:r>
              <w:rPr>
                <w:rFonts w:ascii="Times New Roman" w:cs="Times New Roman" w:eastAsia="Times New Roman" w:hAnsi="Times New Roman"/>
                <w:sz w:val="16"/>
                <w:szCs w:val="16"/>
                <w:b w:val="1"/>
                <w:bCs w:val="1"/>
                <w:i w:val="1"/>
                <w:iCs w:val="1"/>
                <w:color w:val="auto"/>
              </w:rPr>
              <w:t>2025</w:t>
            </w:r>
          </w:p>
        </w:tc>
        <w:tc>
          <w:tcPr>
            <w:tcW w:w="120" w:type="dxa"/>
            <w:vAlign w:val="bottom"/>
          </w:tcPr>
          <w:p>
            <w:pPr>
              <w:spacing w:after="0"/>
              <w:rPr>
                <w:sz w:val="15"/>
                <w:szCs w:val="15"/>
                <w:color w:val="auto"/>
              </w:rPr>
            </w:pPr>
          </w:p>
        </w:tc>
        <w:tc>
          <w:tcPr>
            <w:tcW w:w="6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b w:val="1"/>
                <w:bCs w:val="1"/>
                <w:i w:val="1"/>
                <w:iCs w:val="1"/>
                <w:color w:val="auto"/>
              </w:rPr>
              <w:t>$</w:t>
            </w:r>
          </w:p>
        </w:tc>
        <w:tc>
          <w:tcPr>
            <w:tcW w:w="1480" w:type="dxa"/>
            <w:vAlign w:val="bottom"/>
            <w:gridSpan w:val="3"/>
          </w:tcPr>
          <w:p>
            <w:pPr>
              <w:jc w:val="right"/>
              <w:ind w:right="80"/>
              <w:spacing w:after="0" w:line="175" w:lineRule="exact"/>
              <w:rPr>
                <w:sz w:val="20"/>
                <w:szCs w:val="20"/>
                <w:color w:val="auto"/>
              </w:rPr>
            </w:pPr>
            <w:r>
              <w:rPr>
                <w:rFonts w:ascii="Times New Roman" w:cs="Times New Roman" w:eastAsia="Times New Roman" w:hAnsi="Times New Roman"/>
                <w:sz w:val="16"/>
                <w:szCs w:val="16"/>
                <w:b w:val="1"/>
                <w:bCs w:val="1"/>
                <w:i w:val="1"/>
                <w:iCs w:val="1"/>
                <w:color w:val="auto"/>
              </w:rPr>
              <w:t>%</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20" w:type="dxa"/>
            <w:vAlign w:val="bottom"/>
            <w:tcBorders>
              <w:top w:val="single" w:sz="8" w:color="auto"/>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0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Gross profit</w:t>
            </w:r>
          </w:p>
        </w:tc>
        <w:tc>
          <w:tcPr>
            <w:tcW w:w="228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6"/>
              <w:spacing w:after="0" w:line="196" w:lineRule="exact"/>
              <w:rPr>
                <w:sz w:val="20"/>
                <w:szCs w:val="20"/>
                <w:color w:val="auto"/>
              </w:rPr>
            </w:pPr>
            <w:r>
              <w:rPr>
                <w:rFonts w:ascii="Times New Roman" w:cs="Times New Roman" w:eastAsia="Times New Roman" w:hAnsi="Times New Roman"/>
                <w:sz w:val="18"/>
                <w:szCs w:val="18"/>
                <w:color w:val="auto"/>
              </w:rPr>
              <w:t>2,175</w:t>
            </w:r>
          </w:p>
        </w:tc>
        <w:tc>
          <w:tcPr>
            <w:tcW w:w="400" w:type="dxa"/>
            <w:vAlign w:val="bottom"/>
            <w:gridSpan w:val="2"/>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5"/>
              <w:spacing w:after="0" w:line="196" w:lineRule="exact"/>
              <w:rPr>
                <w:sz w:val="20"/>
                <w:szCs w:val="20"/>
                <w:color w:val="auto"/>
              </w:rPr>
            </w:pPr>
            <w:r>
              <w:rPr>
                <w:rFonts w:ascii="Times New Roman" w:cs="Times New Roman" w:eastAsia="Times New Roman" w:hAnsi="Times New Roman"/>
                <w:sz w:val="18"/>
                <w:szCs w:val="18"/>
                <w:color w:val="auto"/>
              </w:rPr>
              <w:t>2,773</w:t>
            </w:r>
          </w:p>
        </w:tc>
        <w:tc>
          <w:tcPr>
            <w:tcW w:w="740" w:type="dxa"/>
            <w:vAlign w:val="bottom"/>
            <w:gridSpan w:val="2"/>
            <w:shd w:val="clear" w:color="auto" w:fill="CFF0FC"/>
          </w:tcPr>
          <w:p>
            <w:pPr>
              <w:jc w:val="right"/>
              <w:ind w:right="459"/>
              <w:spacing w:after="0" w:line="196"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(598)</w:t>
            </w: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Gross profit from Banzai Operating, OpenReel and Vidello decreased by approximately $147, $55 and $396, respectively, for the three months ended March 31, 2026.</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 Analysis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in Thousands)</w:t>
            </w:r>
          </w:p>
        </w:tc>
        <w:tc>
          <w:tcPr>
            <w:tcW w:w="17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jc w:val="right"/>
              <w:ind w:right="375"/>
              <w:spacing w:after="0"/>
              <w:rPr>
                <w:sz w:val="20"/>
                <w:szCs w:val="20"/>
                <w:color w:val="auto"/>
              </w:rPr>
            </w:pPr>
            <w:r>
              <w:rPr>
                <w:rFonts w:ascii="Times New Roman" w:cs="Times New Roman" w:eastAsia="Times New Roman" w:hAnsi="Times New Roman"/>
                <w:sz w:val="16"/>
                <w:szCs w:val="16"/>
                <w:b w:val="1"/>
                <w:bCs w:val="1"/>
                <w:i w:val="1"/>
                <w:iCs w:val="1"/>
                <w:color w:val="auto"/>
              </w:rPr>
              <w:t>Three Months Ended March 31,</w:t>
            </w:r>
          </w:p>
        </w:tc>
        <w:tc>
          <w:tcPr>
            <w:tcW w:w="12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i w:val="1"/>
                <w:iCs w:val="1"/>
                <w:color w:val="auto"/>
              </w:rPr>
              <w:t>Period-over-Period</w:t>
            </w: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580" w:type="dxa"/>
            <w:vAlign w:val="bottom"/>
            <w:gridSpan w:val="2"/>
            <w:vMerge w:val="continue"/>
          </w:tcPr>
          <w:p>
            <w:pPr>
              <w:spacing w:after="0"/>
              <w:rPr>
                <w:sz w:val="15"/>
                <w:szCs w:val="15"/>
                <w:color w:val="auto"/>
              </w:rPr>
            </w:pPr>
          </w:p>
        </w:tc>
        <w:tc>
          <w:tcPr>
            <w:tcW w:w="1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ind w:right="516"/>
              <w:spacing w:after="0" w:line="175" w:lineRule="exact"/>
              <w:rPr>
                <w:sz w:val="20"/>
                <w:szCs w:val="20"/>
                <w:color w:val="auto"/>
              </w:rPr>
            </w:pPr>
            <w:r>
              <w:rPr>
                <w:rFonts w:ascii="Times New Roman" w:cs="Times New Roman" w:eastAsia="Times New Roman" w:hAnsi="Times New Roman"/>
                <w:sz w:val="16"/>
                <w:szCs w:val="16"/>
                <w:b w:val="1"/>
                <w:bCs w:val="1"/>
                <w:i w:val="1"/>
                <w:iCs w:val="1"/>
                <w:color w:val="auto"/>
              </w:rPr>
              <w:t>2026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ind w:right="535"/>
              <w:spacing w:after="0" w:line="175" w:lineRule="exact"/>
              <w:rPr>
                <w:sz w:val="20"/>
                <w:szCs w:val="20"/>
                <w:color w:val="auto"/>
              </w:rPr>
            </w:pPr>
            <w:r>
              <w:rPr>
                <w:rFonts w:ascii="Times New Roman" w:cs="Times New Roman" w:eastAsia="Times New Roman" w:hAnsi="Times New Roman"/>
                <w:sz w:val="16"/>
                <w:szCs w:val="16"/>
                <w:b w:val="1"/>
                <w:bCs w:val="1"/>
                <w:i w:val="1"/>
                <w:iCs w:val="1"/>
                <w:color w:val="auto"/>
              </w:rPr>
              <w:t>2025</w:t>
            </w:r>
          </w:p>
        </w:tc>
        <w:tc>
          <w:tcPr>
            <w:tcW w:w="120" w:type="dxa"/>
            <w:vAlign w:val="bottom"/>
          </w:tcPr>
          <w:p>
            <w:pPr>
              <w:spacing w:after="0"/>
              <w:rPr>
                <w:sz w:val="15"/>
                <w:szCs w:val="15"/>
                <w:color w:val="auto"/>
              </w:rPr>
            </w:pPr>
          </w:p>
        </w:tc>
        <w:tc>
          <w:tcPr>
            <w:tcW w:w="6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b w:val="1"/>
                <w:bCs w:val="1"/>
                <w:i w:val="1"/>
                <w:iCs w:val="1"/>
                <w:color w:val="auto"/>
              </w:rPr>
              <w:t>$</w:t>
            </w:r>
          </w:p>
        </w:tc>
        <w:tc>
          <w:tcPr>
            <w:tcW w:w="1520" w:type="dxa"/>
            <w:vAlign w:val="bottom"/>
            <w:gridSpan w:val="3"/>
          </w:tcPr>
          <w:p>
            <w:pPr>
              <w:jc w:val="right"/>
              <w:ind w:right="120"/>
              <w:spacing w:after="0" w:line="175" w:lineRule="exact"/>
              <w:rPr>
                <w:sz w:val="20"/>
                <w:szCs w:val="20"/>
                <w:color w:val="auto"/>
              </w:rPr>
            </w:pPr>
            <w:r>
              <w:rPr>
                <w:rFonts w:ascii="Times New Roman" w:cs="Times New Roman" w:eastAsia="Times New Roman" w:hAnsi="Times New Roman"/>
                <w:sz w:val="16"/>
                <w:szCs w:val="16"/>
                <w:b w:val="1"/>
                <w:bCs w:val="1"/>
                <w:i w:val="1"/>
                <w:iCs w:val="1"/>
                <w:color w:val="auto"/>
              </w:rPr>
              <w:t>%</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20" w:type="dxa"/>
            <w:vAlign w:val="bottom"/>
            <w:tcBorders>
              <w:top w:val="single" w:sz="8" w:color="auto"/>
            </w:tcBorders>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8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Total operating expenses</w:t>
            </w:r>
          </w:p>
        </w:tc>
        <w:tc>
          <w:tcPr>
            <w:tcW w:w="200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6"/>
              <w:spacing w:after="0" w:line="196" w:lineRule="exact"/>
              <w:rPr>
                <w:sz w:val="20"/>
                <w:szCs w:val="20"/>
                <w:color w:val="auto"/>
              </w:rPr>
            </w:pPr>
            <w:r>
              <w:rPr>
                <w:rFonts w:ascii="Times New Roman" w:cs="Times New Roman" w:eastAsia="Times New Roman" w:hAnsi="Times New Roman"/>
                <w:sz w:val="18"/>
                <w:szCs w:val="18"/>
                <w:color w:val="auto"/>
              </w:rPr>
              <w:t>7,955</w:t>
            </w:r>
          </w:p>
        </w:tc>
        <w:tc>
          <w:tcPr>
            <w:tcW w:w="400" w:type="dxa"/>
            <w:vAlign w:val="bottom"/>
            <w:gridSpan w:val="2"/>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5"/>
              <w:spacing w:after="0" w:line="196" w:lineRule="exact"/>
              <w:rPr>
                <w:sz w:val="20"/>
                <w:szCs w:val="20"/>
                <w:color w:val="auto"/>
              </w:rPr>
            </w:pPr>
            <w:r>
              <w:rPr>
                <w:rFonts w:ascii="Times New Roman" w:cs="Times New Roman" w:eastAsia="Times New Roman" w:hAnsi="Times New Roman"/>
                <w:sz w:val="18"/>
                <w:szCs w:val="18"/>
                <w:color w:val="auto"/>
              </w:rPr>
              <w:t>7,680</w:t>
            </w:r>
          </w:p>
        </w:tc>
        <w:tc>
          <w:tcPr>
            <w:tcW w:w="740" w:type="dxa"/>
            <w:vAlign w:val="bottom"/>
            <w:gridSpan w:val="2"/>
            <w:shd w:val="clear" w:color="auto" w:fill="CFF0FC"/>
          </w:tcPr>
          <w:p>
            <w:pPr>
              <w:jc w:val="right"/>
              <w:ind w:right="459"/>
              <w:spacing w:after="0" w:line="196"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Total operating expenses remained essentially flat compared to the prior period. Salaries, taxes and benefits, as well as stock-based compensation expense increased during the three months ended March 31, 2026 driven by Banzai Operating and OpenReel. These were partially offset by decreases in marketing expenses and technology expenses during the three months ended March 31, 2026 at Banzai Operating and OpenReel, respectively.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Expense Analysis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in Thousands)</w:t>
            </w:r>
          </w:p>
        </w:tc>
        <w:tc>
          <w:tcPr>
            <w:tcW w:w="17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jc w:val="right"/>
              <w:ind w:right="375"/>
              <w:spacing w:after="0"/>
              <w:rPr>
                <w:sz w:val="20"/>
                <w:szCs w:val="20"/>
                <w:color w:val="auto"/>
              </w:rPr>
            </w:pPr>
            <w:r>
              <w:rPr>
                <w:rFonts w:ascii="Times New Roman" w:cs="Times New Roman" w:eastAsia="Times New Roman" w:hAnsi="Times New Roman"/>
                <w:sz w:val="16"/>
                <w:szCs w:val="16"/>
                <w:b w:val="1"/>
                <w:bCs w:val="1"/>
                <w:i w:val="1"/>
                <w:iCs w:val="1"/>
                <w:color w:val="auto"/>
              </w:rPr>
              <w:t>Three Months Ended March 31,</w:t>
            </w:r>
          </w:p>
        </w:tc>
        <w:tc>
          <w:tcPr>
            <w:tcW w:w="12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Period-over-Period</w:t>
            </w: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580" w:type="dxa"/>
            <w:vAlign w:val="bottom"/>
            <w:gridSpan w:val="2"/>
            <w:vMerge w:val="continue"/>
          </w:tcPr>
          <w:p>
            <w:pPr>
              <w:spacing w:after="0"/>
              <w:rPr>
                <w:sz w:val="15"/>
                <w:szCs w:val="15"/>
                <w:color w:val="auto"/>
              </w:rPr>
            </w:pPr>
          </w:p>
        </w:tc>
        <w:tc>
          <w:tcPr>
            <w:tcW w:w="1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ind w:right="516"/>
              <w:spacing w:after="0" w:line="175" w:lineRule="exact"/>
              <w:rPr>
                <w:sz w:val="20"/>
                <w:szCs w:val="20"/>
                <w:color w:val="auto"/>
              </w:rPr>
            </w:pPr>
            <w:r>
              <w:rPr>
                <w:rFonts w:ascii="Times New Roman" w:cs="Times New Roman" w:eastAsia="Times New Roman" w:hAnsi="Times New Roman"/>
                <w:sz w:val="16"/>
                <w:szCs w:val="16"/>
                <w:b w:val="1"/>
                <w:bCs w:val="1"/>
                <w:i w:val="1"/>
                <w:iCs w:val="1"/>
                <w:color w:val="auto"/>
              </w:rPr>
              <w:t>2026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ind w:right="535"/>
              <w:spacing w:after="0" w:line="175" w:lineRule="exact"/>
              <w:rPr>
                <w:sz w:val="20"/>
                <w:szCs w:val="20"/>
                <w:color w:val="auto"/>
              </w:rPr>
            </w:pPr>
            <w:r>
              <w:rPr>
                <w:rFonts w:ascii="Times New Roman" w:cs="Times New Roman" w:eastAsia="Times New Roman" w:hAnsi="Times New Roman"/>
                <w:sz w:val="16"/>
                <w:szCs w:val="16"/>
                <w:b w:val="1"/>
                <w:bCs w:val="1"/>
                <w:i w:val="1"/>
                <w:iCs w:val="1"/>
                <w:color w:val="auto"/>
              </w:rPr>
              <w:t>2025</w:t>
            </w:r>
          </w:p>
        </w:tc>
        <w:tc>
          <w:tcPr>
            <w:tcW w:w="120" w:type="dxa"/>
            <w:vAlign w:val="bottom"/>
          </w:tcPr>
          <w:p>
            <w:pPr>
              <w:spacing w:after="0"/>
              <w:rPr>
                <w:sz w:val="15"/>
                <w:szCs w:val="15"/>
                <w:color w:val="auto"/>
              </w:rPr>
            </w:pPr>
          </w:p>
        </w:tc>
        <w:tc>
          <w:tcPr>
            <w:tcW w:w="6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b w:val="1"/>
                <w:bCs w:val="1"/>
                <w:i w:val="1"/>
                <w:iCs w:val="1"/>
                <w:color w:val="auto"/>
              </w:rPr>
              <w:t>$</w:t>
            </w:r>
          </w:p>
        </w:tc>
        <w:tc>
          <w:tcPr>
            <w:tcW w:w="1440" w:type="dxa"/>
            <w:vAlign w:val="bottom"/>
            <w:gridSpan w:val="3"/>
          </w:tcPr>
          <w:p>
            <w:pPr>
              <w:jc w:val="right"/>
              <w:ind w:right="40"/>
              <w:spacing w:after="0" w:line="175" w:lineRule="exact"/>
              <w:rPr>
                <w:sz w:val="20"/>
                <w:szCs w:val="20"/>
                <w:color w:val="auto"/>
              </w:rPr>
            </w:pPr>
            <w:r>
              <w:rPr>
                <w:rFonts w:ascii="Times New Roman" w:cs="Times New Roman" w:eastAsia="Times New Roman" w:hAnsi="Times New Roman"/>
                <w:sz w:val="16"/>
                <w:szCs w:val="16"/>
                <w:b w:val="1"/>
                <w:bCs w:val="1"/>
                <w:i w:val="1"/>
                <w:iCs w:val="1"/>
                <w:color w:val="auto"/>
              </w:rPr>
              <w:t>%</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20" w:type="dxa"/>
            <w:vAlign w:val="bottom"/>
            <w:tcBorders>
              <w:top w:val="single" w:sz="8" w:color="auto"/>
            </w:tcBorders>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8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Total other expenses, net</w:t>
            </w:r>
          </w:p>
        </w:tc>
        <w:tc>
          <w:tcPr>
            <w:tcW w:w="200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6"/>
              <w:spacing w:after="0" w:line="196" w:lineRule="exact"/>
              <w:rPr>
                <w:sz w:val="20"/>
                <w:szCs w:val="20"/>
                <w:color w:val="auto"/>
              </w:rPr>
            </w:pPr>
            <w:r>
              <w:rPr>
                <w:rFonts w:ascii="Times New Roman" w:cs="Times New Roman" w:eastAsia="Times New Roman" w:hAnsi="Times New Roman"/>
                <w:sz w:val="18"/>
                <w:szCs w:val="18"/>
                <w:color w:val="auto"/>
              </w:rPr>
              <w:t>2,689</w:t>
            </w:r>
          </w:p>
        </w:tc>
        <w:tc>
          <w:tcPr>
            <w:tcW w:w="400" w:type="dxa"/>
            <w:vAlign w:val="bottom"/>
            <w:gridSpan w:val="2"/>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(1,337)</w:t>
            </w:r>
          </w:p>
        </w:tc>
        <w:tc>
          <w:tcPr>
            <w:tcW w:w="740" w:type="dxa"/>
            <w:vAlign w:val="bottom"/>
            <w:gridSpan w:val="2"/>
            <w:shd w:val="clear" w:color="auto" w:fill="CFF0FC"/>
          </w:tcPr>
          <w:p>
            <w:pPr>
              <w:jc w:val="right"/>
              <w:ind w:right="459"/>
              <w:spacing w:after="0" w:line="196"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(4,026)</w:t>
            </w: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(301.1%)</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we reported total other income of approximately $2.7 million. The change in other expenses (income), net was primarily driven by the following:</w:t>
      </w:r>
    </w:p>
    <w:p>
      <w:pPr>
        <w:spacing w:after="0" w:line="54" w:lineRule="exact"/>
        <w:rPr>
          <w:sz w:val="20"/>
          <w:szCs w:val="20"/>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interest expense of approximately $0.2 million recognized during the three months ended March 31, 2026 compared to $0.4 million during the three months ended March 31, 2025.</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on extinguishment of liabilities of approximately $4.3 million recognized during the three months ended March 31, 2025.</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issuance of debt of approximately $49 during the three months ended March 31, 2026 compared to $0.3 million during the three months ended March 31, 2025.</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Private Placement Issuance of debt of approximately $1.6 million during the three months ended March 31, 2026.</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extinguishment of debt, net of approximately $6 during the three months ended March 31, 2026 compared to $1.8 million during the three months ended March 31, 2025.</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SEPA advances to Yorkville of approximately $28 during the three months ended March 31, 2026 compared to $0.4 million three months ended March 31, 2025.</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(income) expense was approximately $550 expense during the three months ended March 31, 2026 compared to approximately $125 income during the three months ended March 31, 2025.</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in Thousands)</w:t>
            </w:r>
          </w:p>
        </w:tc>
        <w:tc>
          <w:tcPr>
            <w:tcW w:w="1620" w:type="dxa"/>
            <w:vAlign w:val="bottom"/>
          </w:tcPr>
          <w:p>
            <w:pPr>
              <w:spacing w:after="0"/>
              <w:rPr>
                <w:sz w:val="18"/>
                <w:szCs w:val="18"/>
                <w:color w:val="auto"/>
              </w:rPr>
            </w:pPr>
          </w:p>
        </w:tc>
        <w:tc>
          <w:tcPr>
            <w:tcW w:w="258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6"/>
                <w:szCs w:val="16"/>
                <w:b w:val="1"/>
                <w:bCs w:val="1"/>
                <w:i w:val="1"/>
                <w:iCs w:val="1"/>
                <w:color w:val="auto"/>
              </w:rPr>
              <w:t>Three Months Ended March 31,</w:t>
            </w:r>
          </w:p>
        </w:tc>
        <w:tc>
          <w:tcPr>
            <w:tcW w:w="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i w:val="1"/>
                <w:iCs w:val="1"/>
                <w:color w:val="auto"/>
              </w:rPr>
              <w:t>Period-over-Period</w:t>
            </w: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740" w:type="dxa"/>
            <w:vAlign w:val="bottom"/>
            <w:gridSpan w:val="2"/>
            <w:vMerge w:val="continue"/>
          </w:tcPr>
          <w:p>
            <w:pPr>
              <w:spacing w:after="0"/>
              <w:rPr>
                <w:sz w:val="15"/>
                <w:szCs w:val="15"/>
                <w:color w:val="auto"/>
              </w:rPr>
            </w:pPr>
          </w:p>
        </w:tc>
        <w:tc>
          <w:tcPr>
            <w:tcW w:w="1620" w:type="dxa"/>
            <w:vAlign w:val="bottom"/>
          </w:tcPr>
          <w:p>
            <w:pPr>
              <w:spacing w:after="0"/>
              <w:rPr>
                <w:sz w:val="15"/>
                <w:szCs w:val="15"/>
                <w:color w:val="auto"/>
              </w:rPr>
            </w:pPr>
          </w:p>
        </w:tc>
        <w:tc>
          <w:tcPr>
            <w:tcW w:w="920" w:type="dxa"/>
            <w:vAlign w:val="bottom"/>
          </w:tcPr>
          <w:p>
            <w:pPr>
              <w:jc w:val="right"/>
              <w:ind w:right="39"/>
              <w:spacing w:after="0" w:line="175" w:lineRule="exact"/>
              <w:rPr>
                <w:sz w:val="20"/>
                <w:szCs w:val="20"/>
                <w:color w:val="auto"/>
              </w:rPr>
            </w:pPr>
            <w:r>
              <w:rPr>
                <w:rFonts w:ascii="Times New Roman" w:cs="Times New Roman" w:eastAsia="Times New Roman" w:hAnsi="Times New Roman"/>
                <w:sz w:val="16"/>
                <w:szCs w:val="16"/>
                <w:b w:val="1"/>
                <w:bCs w:val="1"/>
                <w:i w:val="1"/>
                <w:iCs w:val="1"/>
                <w:color w:val="auto"/>
              </w:rPr>
              <w:t>2026</w:t>
            </w:r>
          </w:p>
        </w:tc>
        <w:tc>
          <w:tcPr>
            <w:tcW w:w="480" w:type="dxa"/>
            <w:vAlign w:val="bottom"/>
          </w:tcPr>
          <w:p>
            <w:pPr>
              <w:spacing w:after="0"/>
              <w:rPr>
                <w:sz w:val="15"/>
                <w:szCs w:val="15"/>
                <w:color w:val="auto"/>
              </w:rPr>
            </w:pPr>
          </w:p>
        </w:tc>
        <w:tc>
          <w:tcPr>
            <w:tcW w:w="1180" w:type="dxa"/>
            <w:vAlign w:val="bottom"/>
            <w:gridSpan w:val="2"/>
          </w:tcPr>
          <w:p>
            <w:pPr>
              <w:jc w:val="right"/>
              <w:ind w:right="240"/>
              <w:spacing w:after="0" w:line="175" w:lineRule="exact"/>
              <w:rPr>
                <w:sz w:val="20"/>
                <w:szCs w:val="20"/>
                <w:color w:val="auto"/>
              </w:rPr>
            </w:pPr>
            <w:r>
              <w:rPr>
                <w:rFonts w:ascii="Times New Roman" w:cs="Times New Roman" w:eastAsia="Times New Roman" w:hAnsi="Times New Roman"/>
                <w:sz w:val="16"/>
                <w:szCs w:val="16"/>
                <w:b w:val="1"/>
                <w:bCs w:val="1"/>
                <w:i w:val="1"/>
                <w:iCs w:val="1"/>
                <w:color w:val="auto"/>
              </w:rPr>
              <w:t>2025</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b w:val="1"/>
                <w:bCs w:val="1"/>
                <w:i w:val="1"/>
                <w:iCs w:val="1"/>
                <w:color w:val="auto"/>
              </w:rPr>
              <w:t>$</w:t>
            </w:r>
          </w:p>
        </w:tc>
        <w:tc>
          <w:tcPr>
            <w:tcW w:w="1440" w:type="dxa"/>
            <w:vAlign w:val="bottom"/>
            <w:gridSpan w:val="3"/>
          </w:tcPr>
          <w:p>
            <w:pPr>
              <w:jc w:val="right"/>
              <w:ind w:right="40"/>
              <w:spacing w:after="0" w:line="175" w:lineRule="exact"/>
              <w:rPr>
                <w:sz w:val="20"/>
                <w:szCs w:val="20"/>
                <w:color w:val="auto"/>
              </w:rPr>
            </w:pPr>
            <w:r>
              <w:rPr>
                <w:rFonts w:ascii="Times New Roman" w:cs="Times New Roman" w:eastAsia="Times New Roman" w:hAnsi="Times New Roman"/>
                <w:sz w:val="16"/>
                <w:szCs w:val="16"/>
                <w:b w:val="1"/>
                <w:bCs w:val="1"/>
                <w:i w:val="1"/>
                <w:iCs w:val="1"/>
                <w:color w:val="auto"/>
              </w:rPr>
              <w:t>%</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20" w:type="dxa"/>
            <w:vAlign w:val="bottom"/>
            <w:tcBorders>
              <w:top w:val="single" w:sz="8" w:color="auto"/>
            </w:tcBorders>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4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Income tax expense (benefit)</w:t>
            </w:r>
          </w:p>
        </w:tc>
        <w:tc>
          <w:tcPr>
            <w:tcW w:w="2540" w:type="dxa"/>
            <w:vAlign w:val="bottom"/>
            <w:gridSpan w:val="2"/>
            <w:shd w:val="clear" w:color="auto" w:fill="CFF0FC"/>
          </w:tcPr>
          <w:p>
            <w:pPr>
              <w:jc w:val="right"/>
              <w:ind w:right="739"/>
              <w:spacing w:after="0" w:line="196"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1180" w:type="dxa"/>
            <w:vAlign w:val="bottom"/>
            <w:gridSpan w:val="2"/>
            <w:shd w:val="clear" w:color="auto" w:fill="CFF0FC"/>
          </w:tcPr>
          <w:p>
            <w:pPr>
              <w:jc w:val="right"/>
              <w:ind w:right="9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74</w:t>
            </w:r>
          </w:p>
        </w:tc>
        <w:tc>
          <w:tcPr>
            <w:tcW w:w="740" w:type="dxa"/>
            <w:vAlign w:val="bottom"/>
            <w:gridSpan w:val="2"/>
            <w:shd w:val="clear" w:color="auto" w:fill="CFF0FC"/>
          </w:tcPr>
          <w:p>
            <w:pPr>
              <w:jc w:val="right"/>
              <w:ind w:right="459"/>
              <w:spacing w:after="0" w:line="196"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(170.3%)</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Due to our history of losses since inception, there is not enough evidence at this time to support that we will generate future income of a sufficient amount and nature to utilize the benefits of our net deferred tax assets associated with the U.S. taxing jurisdiction.</w:t>
      </w: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0" w:name="page51"/>
    <w:bookmarkEnd w:id="50"/>
    <w:p>
      <w:pPr>
        <w:jc w:val="both"/>
        <w:spacing w:after="0" w:line="282" w:lineRule="auto"/>
        <w:rPr>
          <w:sz w:val="20"/>
          <w:szCs w:val="20"/>
          <w:color w:val="auto"/>
        </w:rPr>
      </w:pPr>
      <w:r>
        <w:rPr>
          <w:rFonts w:ascii="Times New Roman" w:cs="Times New Roman" w:eastAsia="Times New Roman" w:hAnsi="Times New Roman"/>
          <w:sz w:val="18"/>
          <w:szCs w:val="18"/>
          <w:color w:val="auto"/>
        </w:rPr>
        <w:t>Accordingly, the U.S. deferred tax assets have been reduced by a full valuation allowance, since we cannot currently support that realization of our deferred tax assets is more likely than not.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March 31, 2026, we had no unrecognized tax benefits that would impact our effective tax rate if recognized.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88" w:lineRule="exact"/>
        <w:rPr>
          <w:sz w:val="20"/>
          <w:szCs w:val="20"/>
          <w:color w:val="auto"/>
        </w:rPr>
      </w:pPr>
    </w:p>
    <w:p>
      <w:pPr>
        <w:jc w:val="both"/>
        <w:ind w:firstLine="449"/>
        <w:spacing w:after="0" w:line="245" w:lineRule="exact"/>
        <w:rPr>
          <w:sz w:val="20"/>
          <w:szCs w:val="20"/>
          <w:color w:val="auto"/>
        </w:rPr>
      </w:pPr>
      <w:r>
        <w:rPr>
          <w:rFonts w:ascii="Times New Roman" w:cs="Times New Roman" w:eastAsia="Times New Roman" w:hAnsi="Times New Roman"/>
          <w:sz w:val="18"/>
          <w:szCs w:val="18"/>
          <w:color w:val="auto"/>
        </w:rPr>
        <w:t>Our critical accounting estimates are described in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December 31, 2025. There were no material changes to those critical accounting estimates during the three months ended March 31, 2026.</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22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In addition to our results determined in accordance with U.S. GAAP, we believe that Adjusted EBITDA, a non-GAAP measure as defined below, is useful in evaluating our operational performance distinct and apart from certain irregular, non-cash, and non-operational expenses. We use this information for ongoing evaluation of operations and for internal planning purposes. We believe that non-GAAP financial information, when taken collectively with results under GAAP, may be helpful to investors in assessing our operating performance and comparing our performance with competitors and other comparable companies.</w:t>
      </w:r>
    </w:p>
    <w:p>
      <w:pPr>
        <w:spacing w:after="0" w:line="183"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Non-GAAP measures should not be considered in isolation or as a substitute for analysis of our results as reported under GAAP. We endeavor to compensate for the limitation of Adjusted EBITDA, by also providing the most directly comparable GAAP measure, which is net loss, and a description of the reconciling items and adjustments to derive the non-GAAP measure. Some of these limitations are:</w:t>
      </w:r>
    </w:p>
    <w:p>
      <w:pPr>
        <w:spacing w:after="0" w:line="176"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consider the potentially dilutive impact of stock-based compensation</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expenditures or contractual commitments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impairment and restructuring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interest expense or other income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income taxes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audit, legal, incremental accounting and other expenses tied to M&amp;A or the Business Combination;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including companies in our own industry, may calculate Adjusted EBITDA differently from the way we do, limiting its usefulness as a comparative measure.</w:t>
      </w:r>
    </w:p>
    <w:p>
      <w:pPr>
        <w:spacing w:after="0" w:line="162"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Because of these limitations, Adjusted EBITDA should only be considered alongside results prepared in accordance with GAAP, including various cash-flow metrics, net income (loss) and our other GAAP results and financial performance measures.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Analysis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in Thousands)</w:t>
            </w:r>
          </w:p>
        </w:tc>
        <w:tc>
          <w:tcPr>
            <w:tcW w:w="12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jc w:val="right"/>
              <w:ind w:right="215"/>
              <w:spacing w:after="0"/>
              <w:rPr>
                <w:sz w:val="20"/>
                <w:szCs w:val="20"/>
                <w:color w:val="auto"/>
              </w:rPr>
            </w:pPr>
            <w:r>
              <w:rPr>
                <w:rFonts w:ascii="Times New Roman" w:cs="Times New Roman" w:eastAsia="Times New Roman" w:hAnsi="Times New Roman"/>
                <w:sz w:val="16"/>
                <w:szCs w:val="16"/>
                <w:b w:val="1"/>
                <w:bCs w:val="1"/>
                <w:i w:val="1"/>
                <w:iCs w:val="1"/>
                <w:color w:val="auto"/>
              </w:rPr>
              <w:t>Three Months Ended March 31,</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3"/>
          </w:tcPr>
          <w:p>
            <w:pPr>
              <w:jc w:val="right"/>
              <w:ind w:right="780"/>
              <w:spacing w:after="0"/>
              <w:rPr>
                <w:sz w:val="20"/>
                <w:szCs w:val="20"/>
                <w:color w:val="auto"/>
              </w:rPr>
            </w:pPr>
            <w:r>
              <w:rPr>
                <w:rFonts w:ascii="Times New Roman" w:cs="Times New Roman" w:eastAsia="Times New Roman" w:hAnsi="Times New Roman"/>
                <w:sz w:val="16"/>
                <w:szCs w:val="16"/>
                <w:b w:val="1"/>
                <w:bCs w:val="1"/>
                <w:i w:val="1"/>
                <w:iCs w:val="1"/>
                <w:color w:val="auto"/>
              </w:rPr>
              <w:t>Period-over-Period</w:t>
            </w:r>
          </w:p>
        </w:tc>
        <w:tc>
          <w:tcPr>
            <w:tcW w:w="0" w:type="dxa"/>
            <w:vAlign w:val="bottom"/>
          </w:tcPr>
          <w:p>
            <w:pPr>
              <w:spacing w:after="0"/>
              <w:rPr>
                <w:sz w:val="1"/>
                <w:szCs w:val="1"/>
                <w:color w:val="auto"/>
              </w:rPr>
            </w:pPr>
          </w:p>
        </w:tc>
      </w:tr>
      <w:tr>
        <w:trPr>
          <w:trHeight w:val="172"/>
        </w:trPr>
        <w:tc>
          <w:tcPr>
            <w:tcW w:w="5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ind w:right="436"/>
              <w:spacing w:after="0" w:line="172" w:lineRule="exact"/>
              <w:rPr>
                <w:sz w:val="20"/>
                <w:szCs w:val="20"/>
                <w:color w:val="auto"/>
              </w:rPr>
            </w:pPr>
            <w:r>
              <w:rPr>
                <w:rFonts w:ascii="Times New Roman" w:cs="Times New Roman" w:eastAsia="Times New Roman" w:hAnsi="Times New Roman"/>
                <w:sz w:val="16"/>
                <w:szCs w:val="16"/>
                <w:b w:val="1"/>
                <w:bCs w:val="1"/>
                <w:i w:val="1"/>
                <w:iCs w:val="1"/>
                <w:color w:val="auto"/>
              </w:rPr>
              <w:t>2026</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435"/>
              <w:spacing w:after="0" w:line="172" w:lineRule="exact"/>
              <w:rPr>
                <w:sz w:val="20"/>
                <w:szCs w:val="20"/>
                <w:color w:val="auto"/>
              </w:rPr>
            </w:pPr>
            <w:r>
              <w:rPr>
                <w:rFonts w:ascii="Times New Roman" w:cs="Times New Roman" w:eastAsia="Times New Roman" w:hAnsi="Times New Roman"/>
                <w:sz w:val="16"/>
                <w:szCs w:val="16"/>
                <w:b w:val="1"/>
                <w:bCs w:val="1"/>
                <w:i w:val="1"/>
                <w:iCs w:val="1"/>
                <w:color w:val="auto"/>
              </w:rPr>
              <w:t>2025</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496"/>
              <w:spacing w:after="0" w:line="172" w:lineRule="exact"/>
              <w:rPr>
                <w:sz w:val="20"/>
                <w:szCs w:val="20"/>
                <w:color w:val="auto"/>
              </w:rPr>
            </w:pPr>
            <w:r>
              <w:rPr>
                <w:rFonts w:ascii="Times New Roman" w:cs="Times New Roman" w:eastAsia="Times New Roman" w:hAnsi="Times New Roman"/>
                <w:sz w:val="16"/>
                <w:szCs w:val="16"/>
                <w:b w:val="1"/>
                <w:bCs w:val="1"/>
                <w:i w:val="1"/>
                <w:iCs w:val="1"/>
                <w:color w:val="auto"/>
              </w:rPr>
              <w:t>$</w:t>
            </w:r>
          </w:p>
        </w:tc>
        <w:tc>
          <w:tcPr>
            <w:tcW w:w="1460" w:type="dxa"/>
            <w:vAlign w:val="bottom"/>
            <w:gridSpan w:val="2"/>
          </w:tcPr>
          <w:p>
            <w:pPr>
              <w:jc w:val="right"/>
              <w:ind w:right="720"/>
              <w:spacing w:after="0" w:line="172" w:lineRule="exact"/>
              <w:rPr>
                <w:sz w:val="20"/>
                <w:szCs w:val="20"/>
                <w:color w:val="auto"/>
              </w:rPr>
            </w:pPr>
            <w:r>
              <w:rPr>
                <w:rFonts w:ascii="Times New Roman" w:cs="Times New Roman" w:eastAsia="Times New Roman" w:hAnsi="Times New Roman"/>
                <w:sz w:val="16"/>
                <w:szCs w:val="16"/>
                <w:b w:val="1"/>
                <w:bCs w:val="1"/>
                <w:i w:val="1"/>
                <w:iCs w:val="1"/>
                <w:color w:val="auto"/>
              </w:rPr>
              <w:t>%</w:t>
            </w:r>
          </w:p>
        </w:tc>
        <w:tc>
          <w:tcPr>
            <w:tcW w:w="0" w:type="dxa"/>
            <w:vAlign w:val="bottom"/>
          </w:tcPr>
          <w:p>
            <w:pPr>
              <w:spacing w:after="0"/>
              <w:rPr>
                <w:sz w:val="1"/>
                <w:szCs w:val="1"/>
                <w:color w:val="auto"/>
              </w:rPr>
            </w:pPr>
          </w:p>
        </w:tc>
      </w:tr>
      <w:tr>
        <w:trPr>
          <w:trHeight w:val="20"/>
        </w:trPr>
        <w:tc>
          <w:tcPr>
            <w:tcW w:w="1220" w:type="dxa"/>
            <w:vAlign w:val="bottom"/>
            <w:tcBorders>
              <w:top w:val="single" w:sz="8" w:color="auto"/>
            </w:tcBorders>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0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Adjusted EBITDA (Loss)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(1,908)</w:t>
            </w:r>
          </w:p>
        </w:tc>
        <w:tc>
          <w:tcPr>
            <w:tcW w:w="38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(1,741)</w:t>
            </w:r>
          </w:p>
        </w:tc>
        <w:tc>
          <w:tcPr>
            <w:tcW w:w="40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(167)</w:t>
            </w:r>
          </w:p>
        </w:tc>
        <w:tc>
          <w:tcPr>
            <w:tcW w:w="146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Adjusted EBITDA decrease is primarily attributable to increased general and administrative expenses.</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1" w:name="page52"/>
    <w:bookmarkEnd w:id="51"/>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Net Income/(Loss) to Adjusted EBITDA Reconciliation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in Thousands)</w:t>
            </w:r>
          </w:p>
        </w:tc>
        <w:tc>
          <w:tcPr>
            <w:tcW w:w="22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6"/>
                <w:szCs w:val="16"/>
                <w:b w:val="1"/>
                <w:bCs w:val="1"/>
                <w:i w:val="1"/>
                <w:iCs w:val="1"/>
                <w:color w:val="auto"/>
              </w:rPr>
              <w:t>Three Months Ended March 31,</w:t>
            </w:r>
          </w:p>
        </w:tc>
        <w:tc>
          <w:tcPr>
            <w:tcW w:w="12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i w:val="1"/>
                <w:iCs w:val="1"/>
                <w:color w:val="auto"/>
              </w:rPr>
              <w:t>Period-over-Period</w:t>
            </w: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3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ind w:right="511"/>
              <w:spacing w:after="0" w:line="175" w:lineRule="exact"/>
              <w:rPr>
                <w:sz w:val="20"/>
                <w:szCs w:val="20"/>
                <w:color w:val="auto"/>
              </w:rPr>
            </w:pPr>
            <w:r>
              <w:rPr>
                <w:rFonts w:ascii="Times New Roman" w:cs="Times New Roman" w:eastAsia="Times New Roman" w:hAnsi="Times New Roman"/>
                <w:sz w:val="16"/>
                <w:szCs w:val="16"/>
                <w:b w:val="1"/>
                <w:bCs w:val="1"/>
                <w:i w:val="1"/>
                <w:iCs w:val="1"/>
                <w:color w:val="auto"/>
              </w:rPr>
              <w:t>2026</w:t>
            </w:r>
          </w:p>
        </w:tc>
        <w:tc>
          <w:tcPr>
            <w:tcW w:w="960" w:type="dxa"/>
            <w:vAlign w:val="bottom"/>
            <w:gridSpan w:val="2"/>
          </w:tcPr>
          <w:p>
            <w:pPr>
              <w:jc w:val="right"/>
              <w:ind w:right="20"/>
              <w:spacing w:after="0" w:line="175" w:lineRule="exact"/>
              <w:rPr>
                <w:sz w:val="20"/>
                <w:szCs w:val="20"/>
                <w:color w:val="auto"/>
              </w:rPr>
            </w:pPr>
            <w:r>
              <w:rPr>
                <w:rFonts w:ascii="Times New Roman" w:cs="Times New Roman" w:eastAsia="Times New Roman" w:hAnsi="Times New Roman"/>
                <w:sz w:val="16"/>
                <w:szCs w:val="16"/>
                <w:b w:val="1"/>
                <w:bCs w:val="1"/>
                <w:i w:val="1"/>
                <w:iCs w:val="1"/>
                <w:color w:val="auto"/>
              </w:rPr>
              <w:t>2025</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b w:val="1"/>
                <w:bCs w:val="1"/>
                <w:i w:val="1"/>
                <w:iCs w:val="1"/>
                <w:color w:val="auto"/>
              </w:rPr>
              <w:t>$</w:t>
            </w:r>
          </w:p>
        </w:tc>
        <w:tc>
          <w:tcPr>
            <w:tcW w:w="1440" w:type="dxa"/>
            <w:vAlign w:val="bottom"/>
            <w:gridSpan w:val="3"/>
          </w:tcPr>
          <w:p>
            <w:pPr>
              <w:jc w:val="right"/>
              <w:ind w:right="40"/>
              <w:spacing w:after="0" w:line="175" w:lineRule="exact"/>
              <w:rPr>
                <w:sz w:val="20"/>
                <w:szCs w:val="20"/>
                <w:color w:val="auto"/>
              </w:rPr>
            </w:pPr>
            <w:r>
              <w:rPr>
                <w:rFonts w:ascii="Times New Roman" w:cs="Times New Roman" w:eastAsia="Times New Roman" w:hAnsi="Times New Roman"/>
                <w:sz w:val="16"/>
                <w:szCs w:val="16"/>
                <w:b w:val="1"/>
                <w:bCs w:val="1"/>
                <w:i w:val="1"/>
                <w:iCs w:val="1"/>
                <w:color w:val="auto"/>
              </w:rPr>
              <w:t>%</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20" w:type="dxa"/>
            <w:vAlign w:val="bottom"/>
            <w:tcBorders>
              <w:top w:val="single" w:sz="8" w:color="auto"/>
            </w:tcBorders>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6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w:t>
            </w:r>
          </w:p>
        </w:tc>
        <w:tc>
          <w:tcPr>
            <w:tcW w:w="22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(8,417)</w:t>
            </w:r>
          </w:p>
        </w:tc>
        <w:tc>
          <w:tcPr>
            <w:tcW w:w="960" w:type="dxa"/>
            <w:vAlign w:val="bottom"/>
            <w:gridSpan w:val="2"/>
            <w:shd w:val="clear" w:color="auto" w:fill="CFF0FC"/>
          </w:tcPr>
          <w:p>
            <w:pPr>
              <w:jc w:val="right"/>
              <w:ind w:right="7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(3,644)</w:t>
            </w:r>
          </w:p>
        </w:tc>
        <w:tc>
          <w:tcPr>
            <w:tcW w:w="740" w:type="dxa"/>
            <w:vAlign w:val="bottom"/>
            <w:gridSpan w:val="2"/>
            <w:shd w:val="clear" w:color="auto" w:fill="CFF0FC"/>
          </w:tcPr>
          <w:p>
            <w:pPr>
              <w:jc w:val="right"/>
              <w:ind w:right="459"/>
              <w:spacing w:after="0" w:line="196"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(4,773)</w:t>
            </w: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(131.0%)</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5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 related party</w:t>
            </w:r>
          </w:p>
        </w:tc>
        <w:tc>
          <w:tcPr>
            <w:tcW w:w="22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2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1,308</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(288.1%)</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extinguishment of liabilities</w:t>
            </w:r>
          </w:p>
        </w:tc>
        <w:tc>
          <w:tcPr>
            <w:tcW w:w="22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(4,343)</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4,343</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debt issuance</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Private Placement Issuance</w:t>
            </w:r>
          </w:p>
        </w:tc>
        <w:tc>
          <w:tcPr>
            <w:tcW w:w="22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1,598</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extinguishment of debt, net</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1,770</w:t>
            </w: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1,764</w:t>
            </w: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fair value of financial instruments</w:t>
            </w:r>
          </w:p>
        </w:tc>
        <w:tc>
          <w:tcPr>
            <w:tcW w:w="22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(334.3%)</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financial instruments – related party</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Yorkville SEPA advances</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385</w:t>
            </w: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0" w:type="dxa"/>
            <w:vAlign w:val="bottom"/>
          </w:tcPr>
          <w:p>
            <w:pPr>
              <w:spacing w:after="0"/>
              <w:rPr>
                <w:sz w:val="1"/>
                <w:szCs w:val="1"/>
                <w:color w:val="auto"/>
              </w:rPr>
            </w:pPr>
          </w:p>
        </w:tc>
      </w:tr>
      <w:tr>
        <w:trPr>
          <w:trHeight w:val="216"/>
        </w:trPr>
        <w:tc>
          <w:tcPr>
            <w:tcW w:w="53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Transaction related expenses*</w:t>
            </w:r>
          </w:p>
        </w:tc>
        <w:tc>
          <w:tcPr>
            <w:tcW w:w="2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2,259</w:t>
            </w:r>
          </w:p>
        </w:tc>
        <w:tc>
          <w:tcPr>
            <w:tcW w:w="10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2,582</w:t>
            </w:r>
          </w:p>
        </w:tc>
        <w:tc>
          <w:tcPr>
            <w:tcW w:w="12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0"/>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96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740" w:type="dxa"/>
            <w:vAlign w:val="bottom"/>
            <w:gridSpan w:val="2"/>
          </w:tcPr>
          <w:p>
            <w:pPr>
              <w:jc w:val="right"/>
              <w:ind w:right="45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-170815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-170815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-170815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p>
      <w:pPr>
        <w:spacing w:after="0" w:line="198" w:lineRule="exact"/>
        <w:rPr>
          <w:sz w:val="20"/>
          <w:szCs w:val="20"/>
          <w:color w:val="auto"/>
        </w:rPr>
      </w:pPr>
    </w:p>
    <w:p>
      <w:pPr>
        <w:jc w:val="right"/>
        <w:ind w:right="1400"/>
        <w:spacing w:after="0"/>
        <w:rPr>
          <w:sz w:val="20"/>
          <w:szCs w:val="20"/>
          <w:color w:val="auto"/>
        </w:rPr>
      </w:pPr>
      <w:r>
        <w:rPr>
          <w:rFonts w:ascii="Times New Roman" w:cs="Times New Roman" w:eastAsia="Times New Roman" w:hAnsi="Times New Roman"/>
          <w:sz w:val="18"/>
          <w:szCs w:val="18"/>
          <w:color w:val="auto"/>
        </w:rPr>
        <w:t>* Transaction related expenses include</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 in Thousands)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Professional fees - audit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Professional fees - legal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Incremental accounting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 study, M&amp;A support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related expenses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2940" w:type="dxa"/>
            <w:vAlign w:val="bottom"/>
            <w:tcBorders>
              <w:bottom w:val="single" w:sz="8" w:color="auto"/>
            </w:tcBorders>
            <w:gridSpan w:val="5"/>
          </w:tcPr>
          <w:p>
            <w:pPr>
              <w:jc w:val="right"/>
              <w:ind w:right="370"/>
              <w:spacing w:after="0"/>
              <w:rPr>
                <w:sz w:val="20"/>
                <w:szCs w:val="20"/>
                <w:color w:val="auto"/>
              </w:rPr>
            </w:pPr>
            <w:r>
              <w:rPr>
                <w:rFonts w:ascii="Times New Roman" w:cs="Times New Roman" w:eastAsia="Times New Roman" w:hAnsi="Times New Roman"/>
                <w:sz w:val="16"/>
                <w:szCs w:val="16"/>
                <w:b w:val="1"/>
                <w:bCs w:val="1"/>
                <w:i w:val="1"/>
                <w:iCs w:val="1"/>
                <w:color w:val="auto"/>
              </w:rPr>
              <w:t>Three Months Ended March 31,</w:t>
            </w:r>
          </w:p>
        </w:tc>
        <w:tc>
          <w:tcPr>
            <w:tcW w:w="12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i w:val="1"/>
                <w:iCs w:val="1"/>
                <w:color w:val="auto"/>
              </w:rPr>
              <w:t>Period-over-Period</w:t>
            </w:r>
          </w:p>
        </w:tc>
        <w:tc>
          <w:tcPr>
            <w:tcW w:w="700" w:type="dxa"/>
            <w:vAlign w:val="bottom"/>
            <w:tcBorders>
              <w:bottom w:val="single" w:sz="8" w:color="auto"/>
            </w:tcBorders>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2026</w:t>
            </w:r>
          </w:p>
        </w:tc>
        <w:tc>
          <w:tcPr>
            <w:tcW w:w="56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2025</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w:t>
            </w:r>
          </w:p>
        </w:tc>
        <w:tc>
          <w:tcPr>
            <w:tcW w:w="14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i w:val="1"/>
                <w:iCs w:val="1"/>
                <w:color w:val="auto"/>
              </w:rPr>
              <w:t>%</w:t>
            </w:r>
          </w:p>
        </w:tc>
        <w:tc>
          <w:tcPr>
            <w:tcW w:w="700" w:type="dxa"/>
            <w:vAlign w:val="bottom"/>
          </w:tcPr>
          <w:p>
            <w:pPr>
              <w:spacing w:after="0"/>
              <w:rPr>
                <w:sz w:val="17"/>
                <w:szCs w:val="17"/>
                <w:color w:val="auto"/>
              </w:rPr>
            </w:pPr>
          </w:p>
        </w:tc>
      </w:tr>
      <w:tr>
        <w:trPr>
          <w:trHeight w:val="191"/>
        </w:trPr>
        <w:tc>
          <w:tcPr>
            <w:tcW w:w="20" w:type="dxa"/>
            <w:vAlign w:val="bottom"/>
          </w:tcPr>
          <w:p>
            <w:pPr>
              <w:spacing w:after="0"/>
              <w:rPr>
                <w:sz w:val="16"/>
                <w:szCs w:val="16"/>
                <w:color w:val="auto"/>
              </w:rPr>
            </w:pPr>
          </w:p>
        </w:tc>
        <w:tc>
          <w:tcPr>
            <w:tcW w:w="820" w:type="dxa"/>
            <w:vAlign w:val="bottom"/>
            <w:tcBorders>
              <w:top w:val="single" w:sz="8" w:color="auto"/>
            </w:tcBorders>
          </w:tcPr>
          <w:p>
            <w:pPr>
              <w:jc w:val="right"/>
              <w:ind w:right="65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16"/>
                <w:szCs w:val="16"/>
                <w:color w:val="auto"/>
              </w:rPr>
            </w:pPr>
          </w:p>
        </w:tc>
        <w:tc>
          <w:tcPr>
            <w:tcW w:w="880" w:type="dxa"/>
            <w:vAlign w:val="bottom"/>
            <w:tcBorders>
              <w:top w:val="single" w:sz="8" w:color="auto"/>
            </w:tcBorders>
          </w:tcPr>
          <w:p>
            <w:pPr>
              <w:jc w:val="right"/>
              <w:ind w:right="69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289</w:t>
            </w:r>
          </w:p>
        </w:tc>
        <w:tc>
          <w:tcPr>
            <w:tcW w:w="120" w:type="dxa"/>
            <w:vAlign w:val="bottom"/>
          </w:tcPr>
          <w:p>
            <w:pPr>
              <w:spacing w:after="0"/>
              <w:rPr>
                <w:sz w:val="16"/>
                <w:szCs w:val="16"/>
                <w:color w:val="auto"/>
              </w:rPr>
            </w:pPr>
          </w:p>
        </w:tc>
        <w:tc>
          <w:tcPr>
            <w:tcW w:w="620" w:type="dxa"/>
            <w:vAlign w:val="bottom"/>
            <w:tcBorders>
              <w:top w:val="single" w:sz="8" w:color="auto"/>
            </w:tcBorders>
          </w:tcPr>
          <w:p>
            <w:pPr>
              <w:jc w:val="right"/>
              <w:ind w:right="45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tcPr>
          <w:p>
            <w:pPr>
              <w:jc w:val="right"/>
              <w:ind w:right="33"/>
              <w:spacing w:after="0" w:line="191" w:lineRule="exact"/>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27.0%</w:t>
            </w: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338</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r>
      <w:tr>
        <w:trPr>
          <w:trHeight w:val="234"/>
        </w:trPr>
        <w:tc>
          <w:tcPr>
            <w:tcW w:w="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1,589</w:t>
            </w:r>
          </w:p>
        </w:tc>
        <w:tc>
          <w:tcPr>
            <w:tcW w:w="10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1,756</w:t>
            </w:r>
          </w:p>
        </w:tc>
        <w:tc>
          <w:tcPr>
            <w:tcW w:w="12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09"/>
        </w:trPr>
        <w:tc>
          <w:tcPr>
            <w:tcW w:w="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2,259</w:t>
            </w:r>
          </w:p>
        </w:tc>
        <w:tc>
          <w:tcPr>
            <w:tcW w:w="100" w:type="dxa"/>
            <w:vAlign w:val="bottom"/>
          </w:tcPr>
          <w:p>
            <w:pPr>
              <w:spacing w:after="0"/>
              <w:rPr>
                <w:sz w:val="18"/>
                <w:szCs w:val="18"/>
                <w:color w:val="auto"/>
              </w:rPr>
            </w:pPr>
          </w:p>
        </w:tc>
        <w:tc>
          <w:tcPr>
            <w:tcW w:w="8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2,582</w:t>
            </w:r>
          </w:p>
        </w:tc>
        <w:tc>
          <w:tcPr>
            <w:tcW w:w="120" w:type="dxa"/>
            <w:vAlign w:val="bottom"/>
          </w:tcPr>
          <w:p>
            <w:pPr>
              <w:spacing w:after="0"/>
              <w:rPr>
                <w:sz w:val="18"/>
                <w:szCs w:val="18"/>
                <w:color w:val="auto"/>
              </w:rPr>
            </w:pPr>
          </w:p>
        </w:tc>
        <w:tc>
          <w:tcPr>
            <w:tcW w:w="62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-3397885</wp:posOffset>
            </wp:positionH>
            <wp:positionV relativeFrom="paragraph">
              <wp:posOffset>-719455</wp:posOffset>
            </wp:positionV>
            <wp:extent cx="7132320" cy="1371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-445135</wp:posOffset>
            </wp:positionV>
            <wp:extent cx="7132320" cy="1371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-162560</wp:posOffset>
            </wp:positionV>
            <wp:extent cx="7132320" cy="16319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032" w:lineRule="exact"/>
        <w:rPr>
          <w:sz w:val="20"/>
          <w:szCs w:val="20"/>
          <w:color w:val="auto"/>
        </w:rPr>
      </w:pPr>
    </w:p>
    <w:p>
      <w:pPr>
        <w:sectPr>
          <w:pgSz w:w="11900" w:h="16838" w:orient="portrait"/>
          <w:cols w:equalWidth="0" w:num="2">
            <w:col w:w="4640" w:space="720"/>
            <w:col w:w="5880"/>
          </w:cols>
          <w:pgMar w:left="320" w:top="1197" w:right="339" w:bottom="1440" w:gutter="0" w:footer="0" w:header="0"/>
          <w:type w:val="continuous"/>
        </w:sectPr>
      </w:pPr>
    </w:p>
    <w:p>
      <w:pPr>
        <w:spacing w:after="0" w:line="2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As of March 31, 2026 we had cash of approximately $0.1 million. For the three months ended March 31, 2026, while we generated revenue of approximately $2.7 million, we used approximately $5.5 million in cash from operating activities and had a net loss of approximately $8.4 million. We have incurred recurring net losses from operations and negative cash flows from operating activities since inception. As of March 31, 2026, we had a working capital deficit of approximately $20.6 million and an accumulated deficit of approximately $109.2 million. These factors raise substantial doubt regarding the Company’s ability to continue as a going concern within one year of the date these financial statements were issued.</w:t>
      </w:r>
    </w:p>
    <w:p>
      <w:pPr>
        <w:spacing w:after="0" w:line="183"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ability to continue as a going concern is dependent on Management’s plans, which include potential asset acquisitions, mergers or business combinations with other entities, further implementation of its business plans and continuing to raise capital through debt or equity financings, which is not assured. The accompanying condensed consolidated financial statements have been prepared assuming Banzai will continue as a going concern, which contemplates the realization of assets and satisfaction of liabilities in the normal course of business.</w:t>
      </w:r>
    </w:p>
    <w:p>
      <w:pPr>
        <w:spacing w:after="0" w:line="180"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 xml:space="preserve">If we are unable to raise sufficient additional capital, through future debt or equity financings or through strategic and collaborative ventures with third parties, we will not have sufficient cash flows and liquidity to fund our planned business for 12 months from the issuance of these financial statements. There can be no assurances that we will be able to secure alternate forms of financing at terms that are acceptable to management, or at all. In that event, we might be forced to limit many of our business plans and consider other means of creating value for our stockholders. See also </w:t>
      </w:r>
      <w:r>
        <w:rPr>
          <w:rFonts w:ascii="Times New Roman" w:cs="Times New Roman" w:eastAsia="Times New Roman" w:hAnsi="Times New Roman"/>
          <w:sz w:val="18"/>
          <w:szCs w:val="18"/>
          <w:i w:val="1"/>
          <w:iCs w:val="1"/>
          <w:color w:val="auto"/>
        </w:rPr>
        <w:t>Note 2 – Going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Concern </w:t>
      </w:r>
      <w:r>
        <w:rPr>
          <w:rFonts w:ascii="Times New Roman" w:cs="Times New Roman" w:eastAsia="Times New Roman" w:hAnsi="Times New Roman"/>
          <w:sz w:val="18"/>
          <w:szCs w:val="18"/>
          <w:color w:val="auto"/>
        </w:rPr>
        <w:t>to our condensed consolidated financial statements in this Report.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type w:val="continuous"/>
        </w:sectPr>
      </w:pPr>
    </w:p>
    <w:bookmarkStart w:id="52" w:name="page53"/>
    <w:bookmarkEnd w:id="52"/>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Capital structure and sources of liquidity</w:t>
      </w:r>
    </w:p>
    <w:p>
      <w:pPr>
        <w:spacing w:after="0" w:line="22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 xml:space="preserve">We have historically funded our operations through a combination of equity and debt financings, including convertible instruments. During 2025, we raised capital through multiple equity and debt financing arrangements with Yorkville, 3i, LP, 1800 Diagonal, Agile, and CP BF, and other lenders and investors, and we intend to seek additional funding through the Yorkville SEPA, the ATM Agreement, as well as other equity and debt financings in 2026. See </w:t>
      </w:r>
      <w:r>
        <w:rPr>
          <w:rFonts w:ascii="Times New Roman" w:cs="Times New Roman" w:eastAsia="Times New Roman" w:hAnsi="Times New Roman"/>
          <w:sz w:val="18"/>
          <w:szCs w:val="18"/>
          <w:i w:val="1"/>
          <w:iCs w:val="1"/>
          <w:color w:val="auto"/>
        </w:rPr>
        <w:t>Note 11 – Debt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Note 14 – Equity</w:t>
      </w:r>
      <w:r>
        <w:rPr>
          <w:rFonts w:ascii="Times New Roman" w:cs="Times New Roman" w:eastAsia="Times New Roman" w:hAnsi="Times New Roman"/>
          <w:sz w:val="18"/>
          <w:szCs w:val="18"/>
          <w:color w:val="auto"/>
        </w:rPr>
        <w:t xml:space="preserve"> to our condensed consolidated financial statements in this Report for further discussion of these arrangements</w:t>
      </w:r>
      <w:r>
        <w:rPr>
          <w:rFonts w:ascii="Times New Roman" w:cs="Times New Roman" w:eastAsia="Times New Roman" w:hAnsi="Times New Roman"/>
          <w:sz w:val="18"/>
          <w:szCs w:val="18"/>
          <w:i w:val="1"/>
          <w:iCs w:val="1"/>
          <w:color w:val="auto"/>
        </w:rPr>
        <w:t>.</w:t>
      </w:r>
    </w:p>
    <w:p>
      <w:pPr>
        <w:spacing w:after="0" w:line="180"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 xml:space="preserve">Certain of these arrangements still have remaining capacity that may serve as sources of future liquidity to us, however, our ability to access amounts under these facilities is subject to a number of conditions, limitations, and market and other factors, including factors described in our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elsewhere in this Report, and there can be no assurance that we will be able to access the full remaining capacity, or access it on terms or in amounts sufficient to meet our liquidity needs. If we are unable to raise such funding, we will have to pursue an alternative course of action to seek additional capital through other debt and equity financing.</w:t>
      </w:r>
    </w:p>
    <w:p>
      <w:pPr>
        <w:spacing w:after="0" w:line="183" w:lineRule="exact"/>
        <w:rPr>
          <w:sz w:val="20"/>
          <w:szCs w:val="20"/>
          <w:color w:val="auto"/>
        </w:rPr>
      </w:pPr>
    </w:p>
    <w:p>
      <w:pPr>
        <w:ind w:right="280" w:firstLine="449"/>
        <w:spacing w:after="0" w:line="282" w:lineRule="auto"/>
        <w:rPr>
          <w:sz w:val="20"/>
          <w:szCs w:val="20"/>
          <w:color w:val="auto"/>
        </w:rPr>
      </w:pPr>
      <w:r>
        <w:rPr>
          <w:rFonts w:ascii="Times New Roman" w:cs="Times New Roman" w:eastAsia="Times New Roman" w:hAnsi="Times New Roman"/>
          <w:sz w:val="18"/>
          <w:szCs w:val="18"/>
          <w:color w:val="auto"/>
        </w:rPr>
        <w:t>We may seek to raise additional capital through a combination of debt and equity financings, including continued use of our at-the-market facility and our SEPA, to support our operations and expansion through acquisition.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related to our cash flows for the three months ended March 31, 2026 and 2025. See also our unaudited condensed consolidated statements of cash flows in this Report: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in Thousands)</w:t>
            </w:r>
          </w:p>
        </w:tc>
        <w:tc>
          <w:tcPr>
            <w:tcW w:w="1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6"/>
                <w:szCs w:val="16"/>
                <w:b w:val="1"/>
                <w:bCs w:val="1"/>
                <w:i w:val="1"/>
                <w:iCs w:val="1"/>
                <w:color w:val="auto"/>
              </w:rPr>
              <w:t>Three Months Ended March 31,</w:t>
            </w:r>
          </w:p>
        </w:tc>
        <w:tc>
          <w:tcPr>
            <w:tcW w:w="12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i w:val="1"/>
                <w:iCs w:val="1"/>
                <w:color w:val="auto"/>
              </w:rPr>
              <w:t>Period-over-Period</w:t>
            </w: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160" w:type="dxa"/>
            <w:vAlign w:val="bottom"/>
            <w:gridSpan w:val="2"/>
            <w:vMerge w:val="continue"/>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ind w:right="512"/>
              <w:spacing w:after="0" w:line="175" w:lineRule="exact"/>
              <w:rPr>
                <w:sz w:val="20"/>
                <w:szCs w:val="20"/>
                <w:color w:val="auto"/>
              </w:rPr>
            </w:pPr>
            <w:r>
              <w:rPr>
                <w:rFonts w:ascii="Times New Roman" w:cs="Times New Roman" w:eastAsia="Times New Roman" w:hAnsi="Times New Roman"/>
                <w:sz w:val="16"/>
                <w:szCs w:val="16"/>
                <w:b w:val="1"/>
                <w:bCs w:val="1"/>
                <w:i w:val="1"/>
                <w:iCs w:val="1"/>
                <w:color w:val="auto"/>
              </w:rPr>
              <w:t>2026</w:t>
            </w:r>
          </w:p>
        </w:tc>
        <w:tc>
          <w:tcPr>
            <w:tcW w:w="960" w:type="dxa"/>
            <w:vAlign w:val="bottom"/>
            <w:gridSpan w:val="2"/>
          </w:tcPr>
          <w:p>
            <w:pPr>
              <w:jc w:val="right"/>
              <w:ind w:right="20"/>
              <w:spacing w:after="0" w:line="175" w:lineRule="exact"/>
              <w:rPr>
                <w:sz w:val="20"/>
                <w:szCs w:val="20"/>
                <w:color w:val="auto"/>
              </w:rPr>
            </w:pPr>
            <w:r>
              <w:rPr>
                <w:rFonts w:ascii="Times New Roman" w:cs="Times New Roman" w:eastAsia="Times New Roman" w:hAnsi="Times New Roman"/>
                <w:sz w:val="16"/>
                <w:szCs w:val="16"/>
                <w:b w:val="1"/>
                <w:bCs w:val="1"/>
                <w:i w:val="1"/>
                <w:iCs w:val="1"/>
                <w:color w:val="auto"/>
              </w:rPr>
              <w:t>2025</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b w:val="1"/>
                <w:bCs w:val="1"/>
                <w:i w:val="1"/>
                <w:iCs w:val="1"/>
                <w:color w:val="auto"/>
              </w:rPr>
              <w:t>$</w:t>
            </w:r>
          </w:p>
        </w:tc>
        <w:tc>
          <w:tcPr>
            <w:tcW w:w="1440" w:type="dxa"/>
            <w:vAlign w:val="bottom"/>
            <w:gridSpan w:val="3"/>
          </w:tcPr>
          <w:p>
            <w:pPr>
              <w:jc w:val="right"/>
              <w:ind w:right="40"/>
              <w:spacing w:after="0" w:line="175" w:lineRule="exact"/>
              <w:rPr>
                <w:sz w:val="20"/>
                <w:szCs w:val="20"/>
                <w:color w:val="auto"/>
              </w:rPr>
            </w:pPr>
            <w:r>
              <w:rPr>
                <w:rFonts w:ascii="Times New Roman" w:cs="Times New Roman" w:eastAsia="Times New Roman" w:hAnsi="Times New Roman"/>
                <w:sz w:val="16"/>
                <w:szCs w:val="16"/>
                <w:b w:val="1"/>
                <w:bCs w:val="1"/>
                <w:i w:val="1"/>
                <w:iCs w:val="1"/>
                <w:color w:val="auto"/>
              </w:rPr>
              <w:t>%</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20" w:type="dxa"/>
            <w:vAlign w:val="bottom"/>
            <w:tcBorders>
              <w:top w:val="single" w:sz="8" w:color="auto"/>
            </w:tcBorders>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6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w:t>
            </w:r>
          </w:p>
        </w:tc>
        <w:tc>
          <w:tcPr>
            <w:tcW w:w="142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(8,417)</w:t>
            </w:r>
          </w:p>
        </w:tc>
        <w:tc>
          <w:tcPr>
            <w:tcW w:w="960" w:type="dxa"/>
            <w:vAlign w:val="bottom"/>
            <w:gridSpan w:val="2"/>
            <w:shd w:val="clear" w:color="auto" w:fill="CFF0FC"/>
          </w:tcPr>
          <w:p>
            <w:pPr>
              <w:jc w:val="right"/>
              <w:ind w:right="7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(3,644)</w:t>
            </w:r>
          </w:p>
        </w:tc>
        <w:tc>
          <w:tcPr>
            <w:tcW w:w="740" w:type="dxa"/>
            <w:vAlign w:val="bottom"/>
            <w:gridSpan w:val="2"/>
            <w:shd w:val="clear" w:color="auto" w:fill="CFF0FC"/>
          </w:tcPr>
          <w:p>
            <w:pPr>
              <w:jc w:val="right"/>
              <w:ind w:right="459"/>
              <w:spacing w:after="0" w:line="196"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(4,773)</w:t>
            </w: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(131.0%)</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(5,501)</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(4,974)</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2,677</w:t>
            </w: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5,347</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7,347</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 cash</w:t>
            </w: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1,087</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at end of period</w:t>
            </w: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783</w:t>
            </w: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three months ended March 31, 2026</w:t>
      </w:r>
    </w:p>
    <w:p>
      <w:pPr>
        <w:spacing w:after="0" w:line="22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was primarily driven by the net loss, and by working capital adjustments totaling $0.8 million (unfavorable), partially offset by adjustments for non-cash items totaling $3.7 million (favorable). The non-cash items primarily consisted of addbacks for stock-based compensation expense of approximately $1.3 million and depreciation and amortization of approximately $0.3 million, the net impact of debt-related transactions (loss on issuance of debt and non-cash interest expense) totaling $1.8 million favorable, and the net impact of change in fair value adjustments (including debt under the fair value option, warrants and derivatives) totaling $0.3 million favorable.</w:t>
      </w:r>
    </w:p>
    <w:p>
      <w:pPr>
        <w:spacing w:after="0" w:line="183"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primarily driven by proceeds from issuance of shares under the SEPA totaling approximately $0.7 million, proceeds from issuances of debt (both convertible and term) totaling approximately $2.6 million, proceeds from issuances of shares and warrants totaling $2.7 million, partially offset by repayments of debt totaling $0.7 million.</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three months ended March 31, 2025</w:t>
      </w:r>
    </w:p>
    <w:p>
      <w:pPr>
        <w:spacing w:after="0" w:line="229"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was approximately $5.0 million for the three months ended March 31, 2025. Net cash used in operating activities consists of net loss of approximately $3.6 million, offset by total adjustments of approximately $1.3 million for non-cash items and the effect of changes in working capital. Non-cash adjustments primarily included loss on extinguishment of term notes of approximately $1.8 million, stock compensation expense of approximately $0.3 million, gain on extinguishment of liability of approximately $4.3 million, loss on issuance of debt of approximately $0.3 million, loss on extinguishment of term notes of approximately $1.8 million, non-cash interest expense of approximately $0.4 million, fair value adjustment of convertible promissory notes of approximately $0.2 million, fair value adjustment of term notes of approximately $0.2 million, consulting expenses paid via share issuance of approximately $0.2 million, depreciation and amortization of intangible assets of approximately $0.7 million and net of change in operating assets and liabilities of approximately $0.9 million.</w:t>
      </w:r>
    </w:p>
    <w:p>
      <w:pPr>
        <w:spacing w:after="0" w:line="19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Net cash provided by investing activities was approximately $2.7 million for the three months ended March 31, 2025 and was related to the net cash paid in the acquisition of Vidello.</w:t>
      </w: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3" w:name="page54"/>
    <w:bookmarkEnd w:id="53"/>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was approximately $7.3 million for the three months ended March 31, 2025, and was primarily related to proceeds from convertible debt financing of approximately $3.2 million, net proceeds from the issuance of term notes of approximately $4.0 million, proceeds from issuance of shares under the SEPA agreement of approximately $6.7 million, repayment of term notes of approximately $3.7 million, partial repayment of convertible notes with a related party of approximately $0.9 million, repayment of Yorkville convertible notes of approximately $1.9 million, and payment of the GEM commitment fee promissory note of approximately $0.2 million.</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Debt Structure, Debt Maturity Profile, Contractual Obligations and Commitments</w:t>
      </w:r>
    </w:p>
    <w:p>
      <w:pPr>
        <w:spacing w:after="0" w:line="229" w:lineRule="exact"/>
        <w:rPr>
          <w:sz w:val="20"/>
          <w:szCs w:val="20"/>
          <w:color w:val="auto"/>
        </w:rPr>
      </w:pPr>
    </w:p>
    <w:p>
      <w:pPr>
        <w:ind w:right="40" w:firstLine="449"/>
        <w:spacing w:after="0" w:line="266" w:lineRule="auto"/>
        <w:rPr>
          <w:sz w:val="20"/>
          <w:szCs w:val="20"/>
          <w:color w:val="auto"/>
        </w:rPr>
      </w:pPr>
      <w:r>
        <w:rPr>
          <w:rFonts w:ascii="Times New Roman" w:cs="Times New Roman" w:eastAsia="Times New Roman" w:hAnsi="Times New Roman"/>
          <w:sz w:val="18"/>
          <w:szCs w:val="18"/>
          <w:color w:val="auto"/>
        </w:rPr>
        <w:t>Our material cash requirements include operating expenses to support the business, debt service (including principal and interest), and contractual obligations such as operating lease commitments. The timing of these requirements within the next twelve months and thereafter is summarized in the table below.</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2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Total Principal</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in Thousands)</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151"/>
              <w:spacing w:after="0"/>
              <w:rPr>
                <w:sz w:val="20"/>
                <w:szCs w:val="20"/>
                <w:color w:val="auto"/>
              </w:rPr>
            </w:pPr>
            <w:r>
              <w:rPr>
                <w:rFonts w:ascii="Times New Roman" w:cs="Times New Roman" w:eastAsia="Times New Roman" w:hAnsi="Times New Roman"/>
                <w:sz w:val="16"/>
                <w:szCs w:val="16"/>
                <w:b w:val="1"/>
                <w:bCs w:val="1"/>
                <w:i w:val="1"/>
                <w:iCs w:val="1"/>
                <w:color w:val="auto"/>
              </w:rPr>
              <w:t>and Accrued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i w:val="1"/>
                <w:iCs w:val="1"/>
                <w:color w:val="auto"/>
              </w:rPr>
              <w:t>Less than 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i w:val="1"/>
                <w:iCs w:val="1"/>
                <w:color w:val="auto"/>
              </w:rPr>
              <w:t>Principal</w:t>
            </w:r>
          </w:p>
        </w:tc>
        <w:tc>
          <w:tcPr>
            <w:tcW w:w="100" w:type="dxa"/>
            <w:vAlign w:val="bottom"/>
          </w:tcPr>
          <w:p>
            <w:pPr>
              <w:spacing w:after="0"/>
              <w:rPr>
                <w:sz w:val="16"/>
                <w:szCs w:val="16"/>
                <w:color w:val="auto"/>
              </w:rPr>
            </w:pPr>
          </w:p>
        </w:tc>
        <w:tc>
          <w:tcPr>
            <w:tcW w:w="1300" w:type="dxa"/>
            <w:vAlign w:val="bottom"/>
            <w:gridSpan w:val="2"/>
          </w:tcPr>
          <w:p>
            <w:pPr>
              <w:jc w:val="right"/>
              <w:ind w:right="70"/>
              <w:spacing w:after="0"/>
              <w:rPr>
                <w:sz w:val="20"/>
                <w:szCs w:val="20"/>
                <w:color w:val="auto"/>
              </w:rPr>
            </w:pPr>
            <w:r>
              <w:rPr>
                <w:rFonts w:ascii="Times New Roman" w:cs="Times New Roman" w:eastAsia="Times New Roman" w:hAnsi="Times New Roman"/>
                <w:sz w:val="16"/>
                <w:szCs w:val="16"/>
                <w:b w:val="1"/>
                <w:bCs w:val="1"/>
                <w:i w:val="1"/>
                <w:iCs w:val="1"/>
                <w:color w:val="auto"/>
              </w:rPr>
              <w:t>Accrued Interest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i w:val="1"/>
                <w:iCs w:val="1"/>
                <w:color w:val="auto"/>
              </w:rPr>
              <w:t>Interest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412"/>
              <w:spacing w:after="0"/>
              <w:rPr>
                <w:sz w:val="20"/>
                <w:szCs w:val="20"/>
                <w:color w:val="auto"/>
              </w:rPr>
            </w:pPr>
            <w:r>
              <w:rPr>
                <w:rFonts w:ascii="Times New Roman" w:cs="Times New Roman" w:eastAsia="Times New Roman" w:hAnsi="Times New Roman"/>
                <w:sz w:val="16"/>
                <w:szCs w:val="16"/>
                <w:b w:val="1"/>
                <w:bCs w:val="1"/>
                <w:i w:val="1"/>
                <w:iCs w:val="1"/>
                <w:color w:val="auto"/>
              </w:rPr>
              <w:t>year</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1 - 3 Years</w:t>
            </w:r>
          </w:p>
        </w:tc>
        <w:tc>
          <w:tcPr>
            <w:tcW w:w="0" w:type="dxa"/>
            <w:vAlign w:val="bottom"/>
          </w:tcPr>
          <w:p>
            <w:pPr>
              <w:spacing w:after="0"/>
              <w:rPr>
                <w:sz w:val="1"/>
                <w:szCs w:val="1"/>
                <w:color w:val="auto"/>
              </w:rPr>
            </w:pPr>
          </w:p>
        </w:tc>
      </w:tr>
      <w:tr>
        <w:trPr>
          <w:trHeight w:val="20"/>
        </w:trPr>
        <w:tc>
          <w:tcPr>
            <w:tcW w:w="1220" w:type="dxa"/>
            <w:vAlign w:val="bottom"/>
            <w:tcBorders>
              <w:top w:val="single" w:sz="8" w:color="auto"/>
            </w:tcBorders>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2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Debt principal – 15.5% CP BF convertible notes</w:t>
            </w:r>
          </w:p>
        </w:tc>
        <w:tc>
          <w:tcPr>
            <w:tcW w:w="1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3,365</w:t>
            </w:r>
          </w:p>
        </w:tc>
        <w:tc>
          <w:tcPr>
            <w:tcW w:w="540" w:type="dxa"/>
            <w:vAlign w:val="bottom"/>
            <w:gridSpan w:val="2"/>
            <w:shd w:val="clear" w:color="auto" w:fill="CFF0FC"/>
          </w:tcPr>
          <w:p>
            <w:pPr>
              <w:jc w:val="right"/>
              <w:ind w:right="259"/>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1,752</w:t>
            </w:r>
          </w:p>
        </w:tc>
        <w:tc>
          <w:tcPr>
            <w:tcW w:w="280" w:type="dxa"/>
            <w:vAlign w:val="bottom"/>
            <w:gridSpan w:val="2"/>
            <w:shd w:val="clear" w:color="auto" w:fill="CFF0FC"/>
          </w:tcPr>
          <w:p>
            <w:pPr>
              <w:ind w:lef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5,117</w:t>
            </w:r>
          </w:p>
        </w:tc>
        <w:tc>
          <w:tcPr>
            <w:tcW w:w="20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5,117</w:t>
            </w:r>
          </w:p>
        </w:tc>
        <w:tc>
          <w:tcPr>
            <w:tcW w:w="22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ind w:left="7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principal – Agile</w:t>
            </w:r>
          </w:p>
        </w:tc>
        <w:tc>
          <w:tcPr>
            <w:tcW w:w="18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1,269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principal – Private Placement convertible notes</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1,556</w:t>
            </w: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1,711</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1,711</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principal – Yorkville</w:t>
            </w:r>
          </w:p>
        </w:tc>
        <w:tc>
          <w:tcPr>
            <w:tcW w:w="18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principal – 1800 Diagonal</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principal – Boot Capital</w:t>
            </w:r>
          </w:p>
        </w:tc>
        <w:tc>
          <w:tcPr>
            <w:tcW w:w="18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91"/>
        </w:trPr>
        <w:tc>
          <w:tcPr>
            <w:tcW w:w="48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Total capital expenditure commitments and financing</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7,353</w:t>
            </w:r>
          </w:p>
        </w:tc>
        <w:tc>
          <w:tcPr>
            <w:tcW w:w="540" w:type="dxa"/>
            <w:vAlign w:val="bottom"/>
            <w:gridSpan w:val="2"/>
            <w:vMerge w:val="restart"/>
          </w:tcPr>
          <w:p>
            <w:pPr>
              <w:jc w:val="right"/>
              <w:ind w:right="259"/>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2,253</w:t>
            </w:r>
          </w:p>
        </w:tc>
        <w:tc>
          <w:tcPr>
            <w:tcW w:w="2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9,606</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9,587</w:t>
            </w:r>
          </w:p>
        </w:tc>
        <w:tc>
          <w:tcPr>
            <w:tcW w:w="2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ind w:left="7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94"/>
        </w:trPr>
        <w:tc>
          <w:tcPr>
            <w:tcW w:w="48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requirements at March 31, 2026</w:t>
            </w:r>
          </w:p>
        </w:tc>
        <w:tc>
          <w:tcPr>
            <w:tcW w:w="18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-282575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-282575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-282575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-282575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227"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As a subscription-based SaaS company, we frequently bill customers in advance for access to our platform for a specified subscription term. Amounts invoiced or collected in advance are recorded as deferred revenue, which represents a contract liability where we have performance obligations to provide access to the platform and customer support over the remaining subscription term. As we satisfy the related performance obligations over time, deferred revenue is reduced and we recognized revenue.</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Operating Lease</w:t>
      </w:r>
    </w:p>
    <w:p>
      <w:pPr>
        <w:spacing w:after="0" w:line="227"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We have an operating lease for office space. The lease term expires in October 2027. The lease liability balance as of March 31, 2026 represents the future minimum lease payments under non-cancellable leases as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Banzai had no off-balance sheet arrangements as of March 31,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item is not applicable as we are a smaller reporting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ind w:firstLine="449"/>
        <w:spacing w:after="0" w:line="219" w:lineRule="exact"/>
        <w:rPr>
          <w:sz w:val="20"/>
          <w:szCs w:val="20"/>
          <w:color w:val="auto"/>
        </w:rPr>
      </w:pPr>
      <w:r>
        <w:rPr>
          <w:rFonts w:ascii="Times New Roman" w:cs="Times New Roman" w:eastAsia="Times New Roman" w:hAnsi="Times New Roman"/>
          <w:sz w:val="18"/>
          <w:szCs w:val="18"/>
          <w:color w:val="auto"/>
        </w:rPr>
        <w:t>As of March 31, 2026, under the supervision and with the participation of our management, including our Chief Executive Officer and Chief Financial Officer, we carried out an evaluation of the effectiveness of the design and operation of our disclosure controls and procedures (as defined in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under the Securities Exchange Act of 1934, as amended) as of the end of the period covered by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Based upon that evaluation, our Chief Executive Officer and Chief Financial Officer concluded that our disclosure controls and procedures were not effective as of March 31, 2026, due to the previously disclosed material weaknesses in our internal control over financial reporting related to IT general controls, entity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level controls in accordance with the COSO Integrated Framework, and the period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end financial close and reporting process, as described in our Annual Report on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4" w:name="page55"/>
    <w:bookmarkEnd w:id="54"/>
    <w:p>
      <w:pPr>
        <w:jc w:val="both"/>
        <w:spacing w:after="0" w:line="245" w:lineRule="exact"/>
        <w:rPr>
          <w:sz w:val="20"/>
          <w:szCs w:val="20"/>
          <w:color w:val="auto"/>
        </w:rPr>
      </w:pPr>
      <w:r>
        <w:rPr>
          <w:rFonts w:ascii="Times New Roman" w:cs="Times New Roman" w:eastAsia="Times New Roman" w:hAnsi="Times New Roman"/>
          <w:sz w:val="18"/>
          <w:szCs w:val="18"/>
          <w:color w:val="auto"/>
        </w:rPr>
        <w:t>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December 31, 2025 filed with the SEC on March 31, 2026 (the “2025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K”).We remain committed to remediating the material weaknesses and improving our internal control over financial reporting.</w:t>
      </w:r>
    </w:p>
    <w:p>
      <w:pPr>
        <w:spacing w:after="0" w:line="199"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During the quarter ended March 31, 2026, we implemented a new enterprise resource planning (“ERP”) system. We believe the ERP implementation, along with related process enhancements and controls implemented in connection with the new system, is an important step in our remediation efforts and in strengthening our overall control environment. However, our remediation efforts are ongoing, and the material weaknesses will not be considered remediated until the applicable controls have operated for a sufficient period of time and management has concluded, through testing, that such controls are designed and operating effectively. As we continue our evaluation and improve our internal control over financial reporting, management may identify and take additional measures to address control deficiencies. We cannot provide assurance that we will be successful in remediating the material weaknesses in a timely manner.</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88" w:lineRule="exact"/>
        <w:rPr>
          <w:sz w:val="20"/>
          <w:szCs w:val="20"/>
          <w:color w:val="auto"/>
        </w:rPr>
      </w:pPr>
    </w:p>
    <w:p>
      <w:pPr>
        <w:jc w:val="both"/>
        <w:ind w:firstLine="449"/>
        <w:spacing w:after="0" w:line="222" w:lineRule="exact"/>
        <w:rPr>
          <w:sz w:val="20"/>
          <w:szCs w:val="20"/>
          <w:color w:val="auto"/>
        </w:rPr>
      </w:pPr>
      <w:r>
        <w:rPr>
          <w:rFonts w:ascii="Times New Roman" w:cs="Times New Roman" w:eastAsia="Times New Roman" w:hAnsi="Times New Roman"/>
          <w:sz w:val="18"/>
          <w:szCs w:val="18"/>
          <w:color w:val="auto"/>
        </w:rPr>
        <w:t>As required by Rule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15(d) of the Exchange Act, our management, including our Chief Executive Officer and our Chief Financial Officer, evaluated whether any change in our internal control over financial reporting (as defined in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under the Exchange Act) occurred during the quarter ended March 31, 2026 that has materially affected, or is reasonably likely to materially affect, our internal control over financial reporting. During the quarter ended March 31, 2026, we implemented a new ERP system, which resulted in changes to our information technology environment, business processes, and certain controls within our financial reporting processes. We have designed and implemented controls related to the new ERP system, including controls related to user access and segregation of duties, change management, and controls supporting transaction processing and period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end financial reporting. We believe these changes are expected to enhance our internal control environment and support our ongoing remediation efforts. Other than the foregoing, and our ongoing remediation activities related to the previously disclosed material weaknesses, there were no other changes in our internal control over financial reporting during the quarter ended March 31, 2026 that have materially affected, or are reasonably likely to materially affect, our internal control over financial reporting.</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7"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From time to time, we may be party to litigation and subject to claims incident to the ordinary course of our business. As our growth continues, we may become party to an increasing number of litigation matters and claims. The outcome of litigation and claims cannot be predicted with certainty, and the resolution of these matters could materially affect our future results of operations, cash flows or financial position. To the best of our knowledge, we are not presently party to any legal proceedings that, in the opinion of management, if determined adversely to us, would individually or taken together have a material adverse effect on our business, operating results, financial condition or cash flows.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Securities Exchange Act of 1934 and, as such, are not required to provide the information under this item. A description of risk factors can be found in our Annual Report on Form 10-K for the year ended December 31, 2025 as supplemented and updated by subsequent current reports on Form 8-K that we have filed or will file with the SEC.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During the period covered by this Report, the Company has not issued unregistered securities to any person, except as described below. None of these transactions involved any underwriters, underwriting discounts or commissions, except as specified below, or any public offering, and, unless otherwise indicated below, the Registrant believes that each transaction was exempt from the registration requirements of the Securities Act by virtue of Section 4(a)(2) thereof and/or Rule 506 of Regulation D promulgated thereunder, and/or Regulation S promulgated thereunder regarding offshore offers and sales. All recipients had adequate access, though their relationships with the Registrant, to information about the Registrant.</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Shares of Class A Common Stock issued to 1800 Diagonal</w:t>
      </w:r>
    </w:p>
    <w:p>
      <w:pPr>
        <w:spacing w:after="0" w:line="200"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Between January 26, 2026 and January 27, 2026, the Company issued an aggregate of 20,046 shares of Class A Common Stock pursuant to conversion notices received from 1800 Diagonal to convert an aggregate of $331 thousand in notes the Company previously issued to them; the conversion prices ranged from $21.40 to $24.40 per share.</w:t>
      </w:r>
    </w:p>
    <w:p>
      <w:pPr>
        <w:spacing w:after="0" w:line="135" w:lineRule="exact"/>
        <w:rPr>
          <w:sz w:val="20"/>
          <w:szCs w:val="20"/>
          <w:color w:val="auto"/>
        </w:rPr>
      </w:pPr>
    </w:p>
    <w:p>
      <w:pPr>
        <w:jc w:val="both"/>
        <w:ind w:right="20" w:firstLine="449"/>
        <w:spacing w:after="0" w:line="261" w:lineRule="auto"/>
        <w:rPr>
          <w:sz w:val="20"/>
          <w:szCs w:val="20"/>
          <w:color w:val="auto"/>
        </w:rPr>
      </w:pPr>
      <w:r>
        <w:rPr>
          <w:rFonts w:ascii="Times New Roman" w:cs="Times New Roman" w:eastAsia="Times New Roman" w:hAnsi="Times New Roman"/>
          <w:sz w:val="18"/>
          <w:szCs w:val="18"/>
          <w:color w:val="auto"/>
        </w:rPr>
        <w:t>On March 19, 2026, the Company issued 3,766 shares of Class A Common Stock pursuant to conversion notices received from 1800 Diagonal to convert $54 thousand in notes the Company previously issued to them; the conversion price was $14.75 per share.</w:t>
      </w: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55" w:name="page56"/>
    <w:bookmarkEnd w:id="55"/>
    <w:p>
      <w:pPr>
        <w:ind w:left="460"/>
        <w:spacing w:after="0"/>
        <w:rPr>
          <w:sz w:val="20"/>
          <w:szCs w:val="20"/>
          <w:color w:val="auto"/>
        </w:rPr>
      </w:pPr>
      <w:r>
        <w:rPr>
          <w:rFonts w:ascii="Times New Roman" w:cs="Times New Roman" w:eastAsia="Times New Roman" w:hAnsi="Times New Roman"/>
          <w:sz w:val="18"/>
          <w:szCs w:val="18"/>
          <w:i w:val="1"/>
          <w:iCs w:val="1"/>
          <w:color w:val="auto"/>
        </w:rPr>
        <w:t>Shares of Class A Common Stock issued to Agile</w:t>
      </w:r>
    </w:p>
    <w:p>
      <w:pPr>
        <w:spacing w:after="0" w:line="187"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Between January 27, 2026 and March 27, 2026, the Company entered into multiple exchange agreements with Agile on substantially similar terms as the Agile Exchange Agreement pursuant to which the Company issued an aggregate of 29,306 shares of its Class A common stock at conversion prices per share ranging from $21.40 to $23.04 in exchange for a reduction of $660 thousand in the outstanding balance of the March Agile Note. Following these exchanges, the outstanding balance of the March Agile Note was reduced to approximately $1.2 million.</w:t>
      </w:r>
    </w:p>
    <w:p>
      <w:pPr>
        <w:spacing w:after="0" w:line="153"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Subsequent to March 31, 2026, on April 15, 2026, April 29, 2026, and May 8, 2026 the Company entered into exchange agreements with Agile on substantially similar terms as the Agile Exchange Agreement pursuant to which the Company issued an aggregate of approximately 74,948 shares of its Class A Common Stock at conversion prices per share of $5.82 and $12.40, respectively, in exchange for aggregate reductions of approximately $540 in the outstanding balance of the March Agile Note. Following these exchanges, the outstanding balance of the March Agile Note was reduced to approximately $639.</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no director or officer of the Company adopted or terminated a “Rule 10b5-1 trading arrangement” or “non-Rule 10b5-1 trading arrangement,” as these terms are defined in Item 408(a) of Regulation S-K.</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documents are included as exhibits to this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8"/>
        </w:trPr>
        <w:tc>
          <w:tcPr>
            <w:tcW w:w="13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5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600" w:type="dxa"/>
            <w:vAlign w:val="bottom"/>
            <w:tcBorders>
              <w:bottom w:val="single" w:sz="8" w:color="auto"/>
            </w:tcBorders>
            <w:gridSpan w:val="33"/>
          </w:tcPr>
          <w:p>
            <w:pPr>
              <w:ind w:left="2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38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1.1</w:t>
            </w:r>
          </w:p>
        </w:tc>
        <w:tc>
          <w:tcPr>
            <w:tcW w:w="9760" w:type="dxa"/>
            <w:vAlign w:val="bottom"/>
            <w:tcBorders>
              <w:bottom w:val="single" w:sz="8" w:color="0000FF"/>
            </w:tcBorders>
            <w:gridSpan w:val="35"/>
          </w:tcPr>
          <w:p>
            <w:pPr>
              <w:spacing w:after="0" w:line="169"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At the Market Offering Agreement, dated August 27, 2025 by and between Banzai and H.C. Wainwright &amp; Co., LLC (incorporated by</w:t>
              </w:r>
            </w:hyperlink>
          </w:p>
        </w:tc>
        <w:tc>
          <w:tcPr>
            <w:tcW w:w="100" w:type="dxa"/>
            <w:vAlign w:val="bottom"/>
            <w:gridSpan w:val="4"/>
          </w:tcPr>
          <w:p>
            <w:pPr>
              <w:spacing w:after="0"/>
              <w:rPr>
                <w:sz w:val="14"/>
                <w:szCs w:val="14"/>
                <w:color w:val="auto"/>
              </w:rPr>
            </w:pPr>
          </w:p>
        </w:tc>
      </w:tr>
      <w:tr>
        <w:trPr>
          <w:trHeight w:val="196"/>
        </w:trPr>
        <w:tc>
          <w:tcPr>
            <w:tcW w:w="1380" w:type="dxa"/>
            <w:vAlign w:val="bottom"/>
          </w:tcPr>
          <w:p>
            <w:pPr>
              <w:spacing w:after="0"/>
              <w:rPr>
                <w:sz w:val="17"/>
                <w:szCs w:val="17"/>
                <w:color w:val="auto"/>
              </w:rPr>
            </w:pPr>
          </w:p>
        </w:tc>
        <w:tc>
          <w:tcPr>
            <w:tcW w:w="9860" w:type="dxa"/>
            <w:vAlign w:val="bottom"/>
            <w:gridSpan w:val="39"/>
          </w:tcPr>
          <w:p>
            <w:pPr>
              <w:spacing w:after="0" w:line="196"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reference to the Current Report on Form 8-K filed on August 28, 2025).</w:t>
              </w:r>
            </w:hyperlink>
          </w:p>
        </w:tc>
      </w:tr>
      <w:tr>
        <w:trPr>
          <w:trHeight w:val="20"/>
        </w:trPr>
        <w:tc>
          <w:tcPr>
            <w:tcW w:w="138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930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Agreement and Plan of Merger, dated December 8, 2022, by and among Banzai, 7GC, First Merger Sub and Second Merger Sub</w:t>
              </w:r>
            </w:hyperlink>
          </w:p>
        </w:tc>
        <w:tc>
          <w:tcPr>
            <w:tcW w:w="560" w:type="dxa"/>
            <w:vAlign w:val="bottom"/>
            <w:gridSpan w:val="18"/>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802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(incorporated by reference to Annex A-1 to the Registration Statement on Form S-4 filed on August 31, 2023).</w:t>
              </w:r>
            </w:hyperlink>
          </w:p>
        </w:tc>
        <w:tc>
          <w:tcPr>
            <w:tcW w:w="1840" w:type="dxa"/>
            <w:vAlign w:val="bottom"/>
            <w:gridSpan w:val="22"/>
          </w:tcPr>
          <w:p>
            <w:pPr>
              <w:spacing w:after="0"/>
              <w:rPr>
                <w:sz w:val="17"/>
                <w:szCs w:val="17"/>
                <w:color w:val="auto"/>
              </w:rPr>
            </w:pPr>
          </w:p>
        </w:tc>
      </w:tr>
      <w:tr>
        <w:trPr>
          <w:trHeight w:val="196"/>
        </w:trPr>
        <w:tc>
          <w:tcPr>
            <w:tcW w:w="1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9780" w:type="dxa"/>
            <w:vAlign w:val="bottom"/>
            <w:tcBorders>
              <w:bottom w:val="single" w:sz="8" w:color="0000FF"/>
            </w:tcBorders>
            <w:gridSpan w:val="36"/>
          </w:tcPr>
          <w:p>
            <w:pPr>
              <w:spacing w:after="0" w:line="196" w:lineRule="exact"/>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Amendment to Agreement and Plan of Merger, dated August 4, 2023, by and among the Company and 7GC (incorporated by reference</w:t>
              </w:r>
            </w:hyperlink>
          </w:p>
        </w:tc>
        <w:tc>
          <w:tcPr>
            <w:tcW w:w="80" w:type="dxa"/>
            <w:vAlign w:val="bottom"/>
            <w:gridSpan w:val="3"/>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602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212">
              <w:r>
                <w:rPr>
                  <w:rFonts w:ascii="Times New Roman" w:cs="Times New Roman" w:eastAsia="Times New Roman" w:hAnsi="Times New Roman"/>
                  <w:sz w:val="18"/>
                  <w:szCs w:val="18"/>
                  <w:color w:val="0000FF"/>
                  <w:w w:val="99"/>
                </w:rPr>
                <w:t>to Annex A-2 to the Registration Statement on Form S-4 filed on August 31, 2023).</w:t>
              </w:r>
            </w:hyperlink>
          </w:p>
        </w:tc>
        <w:tc>
          <w:tcPr>
            <w:tcW w:w="3840" w:type="dxa"/>
            <w:vAlign w:val="bottom"/>
            <w:gridSpan w:val="28"/>
          </w:tcPr>
          <w:p>
            <w:pPr>
              <w:spacing w:after="0"/>
              <w:rPr>
                <w:sz w:val="17"/>
                <w:szCs w:val="17"/>
                <w:color w:val="auto"/>
              </w:rPr>
            </w:pPr>
          </w:p>
        </w:tc>
      </w:tr>
      <w:tr>
        <w:trPr>
          <w:trHeight w:val="196"/>
        </w:trPr>
        <w:tc>
          <w:tcPr>
            <w:tcW w:w="1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942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Agreement and Plan of Merger, dated December 10, 2024, by and among Banzai International, Inc., Banzai Reel Acquisition, Inc.</w:t>
              </w:r>
            </w:hyperlink>
          </w:p>
        </w:tc>
        <w:tc>
          <w:tcPr>
            <w:tcW w:w="440" w:type="dxa"/>
            <w:vAlign w:val="bottom"/>
            <w:gridSpan w:val="15"/>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760" w:type="dxa"/>
            <w:vAlign w:val="bottom"/>
            <w:tcBorders>
              <w:bottom w:val="single" w:sz="8" w:color="0000FF"/>
            </w:tcBorders>
            <w:gridSpan w:val="35"/>
          </w:tcPr>
          <w:p>
            <w:pPr>
              <w:spacing w:after="0" w:line="196"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ClearDoc, Inc., and certain stockholders of ClearDoc, Inc. (incorporated by reference to Exhibit 2.1 to the Current Report on Form 8-K</w:t>
              </w:r>
            </w:hyperlink>
          </w:p>
        </w:tc>
        <w:tc>
          <w:tcPr>
            <w:tcW w:w="100" w:type="dxa"/>
            <w:vAlign w:val="bottom"/>
            <w:gridSpan w:val="4"/>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212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213">
              <w:r>
                <w:rPr>
                  <w:rFonts w:ascii="Times New Roman" w:cs="Times New Roman" w:eastAsia="Times New Roman" w:hAnsi="Times New Roman"/>
                  <w:sz w:val="18"/>
                  <w:szCs w:val="18"/>
                  <w:color w:val="0000FF"/>
                  <w:w w:val="99"/>
                </w:rPr>
                <w:t>filed on December 19, 2024).</w:t>
              </w:r>
            </w:hyperlink>
          </w:p>
        </w:tc>
        <w:tc>
          <w:tcPr>
            <w:tcW w:w="7740" w:type="dxa"/>
            <w:vAlign w:val="bottom"/>
            <w:gridSpan w:val="37"/>
          </w:tcPr>
          <w:p>
            <w:pPr>
              <w:spacing w:after="0"/>
              <w:rPr>
                <w:sz w:val="17"/>
                <w:szCs w:val="17"/>
                <w:color w:val="auto"/>
              </w:rPr>
            </w:pPr>
          </w:p>
        </w:tc>
      </w:tr>
      <w:tr>
        <w:trPr>
          <w:trHeight w:val="196"/>
        </w:trPr>
        <w:tc>
          <w:tcPr>
            <w:tcW w:w="1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968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Acquisition Agreement, dated December 19, 2024, by and among Banzai International, Inc., Vidello Limited, and the Shareholders of</w:t>
              </w:r>
            </w:hyperlink>
          </w:p>
        </w:tc>
        <w:tc>
          <w:tcPr>
            <w:tcW w:w="180" w:type="dxa"/>
            <w:vAlign w:val="bottom"/>
            <w:gridSpan w:val="8"/>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886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w w:val="99"/>
              </w:rPr>
            </w:pPr>
            <w:hyperlink r:id="rId214">
              <w:r>
                <w:rPr>
                  <w:rFonts w:ascii="Times New Roman" w:cs="Times New Roman" w:eastAsia="Times New Roman" w:hAnsi="Times New Roman"/>
                  <w:sz w:val="18"/>
                  <w:szCs w:val="18"/>
                  <w:color w:val="0000FF"/>
                  <w:w w:val="99"/>
                </w:rPr>
                <w:t>Vidello Limited (incorporated by reference to Exhibit 2.1 to the Current Report on Form 8-K filed on December 20, 2024).</w:t>
              </w:r>
            </w:hyperlink>
          </w:p>
        </w:tc>
        <w:tc>
          <w:tcPr>
            <w:tcW w:w="1000" w:type="dxa"/>
            <w:vAlign w:val="bottom"/>
            <w:gridSpan w:val="20"/>
          </w:tcPr>
          <w:p>
            <w:pPr>
              <w:spacing w:after="0"/>
              <w:rPr>
                <w:sz w:val="17"/>
                <w:szCs w:val="17"/>
                <w:color w:val="auto"/>
              </w:rPr>
            </w:pPr>
          </w:p>
        </w:tc>
      </w:tr>
      <w:tr>
        <w:trPr>
          <w:trHeight w:val="196"/>
        </w:trPr>
        <w:tc>
          <w:tcPr>
            <w:tcW w:w="1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902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Agreement and Plan of Merger, dated January 22, 2025 by and between Banzai International, Inc. and Act-On Software, Inc.</w:t>
              </w:r>
            </w:hyperlink>
          </w:p>
        </w:tc>
        <w:tc>
          <w:tcPr>
            <w:tcW w:w="840" w:type="dxa"/>
            <w:vAlign w:val="bottom"/>
            <w:gridSpan w:val="19"/>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860" w:type="dxa"/>
            <w:vAlign w:val="bottom"/>
            <w:gridSpan w:val="39"/>
          </w:tcPr>
          <w:p>
            <w:pPr>
              <w:spacing w:after="0" w:line="196"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(incorporated by reference to the Current Report on Form 8-K filed on January 23, 2025)</w:t>
              </w:r>
            </w:hyperlink>
          </w:p>
        </w:tc>
      </w:tr>
      <w:tr>
        <w:trPr>
          <w:trHeight w:val="20"/>
        </w:trPr>
        <w:tc>
          <w:tcPr>
            <w:tcW w:w="138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9860" w:type="dxa"/>
            <w:vAlign w:val="bottom"/>
            <w:tcBorders>
              <w:bottom w:val="single" w:sz="8" w:color="0000FF"/>
            </w:tcBorders>
            <w:gridSpan w:val="39"/>
          </w:tcPr>
          <w:p>
            <w:pPr>
              <w:spacing w:after="0" w:line="196" w:lineRule="exact"/>
              <w:rPr>
                <w:rFonts w:ascii="Times New Roman" w:cs="Times New Roman" w:eastAsia="Times New Roman" w:hAnsi="Times New Roman"/>
                <w:sz w:val="18"/>
                <w:szCs w:val="18"/>
                <w:color w:val="0000FF"/>
                <w:w w:val="99"/>
              </w:rPr>
            </w:pPr>
            <w:hyperlink r:id="rId216">
              <w:r>
                <w:rPr>
                  <w:rFonts w:ascii="Times New Roman" w:cs="Times New Roman" w:eastAsia="Times New Roman" w:hAnsi="Times New Roman"/>
                  <w:sz w:val="18"/>
                  <w:szCs w:val="18"/>
                  <w:color w:val="0000FF"/>
                  <w:w w:val="99"/>
                </w:rPr>
                <w:t>Second Amended and Restated Certificate of Incorporation of the Company, dated December 14, 2023. (incorporated by reference to the</w:t>
              </w:r>
            </w:hyperlink>
          </w:p>
        </w:tc>
      </w:tr>
      <w:tr>
        <w:trPr>
          <w:trHeight w:val="196"/>
        </w:trPr>
        <w:tc>
          <w:tcPr>
            <w:tcW w:w="1380" w:type="dxa"/>
            <w:vAlign w:val="bottom"/>
          </w:tcPr>
          <w:p>
            <w:pPr>
              <w:spacing w:after="0"/>
              <w:rPr>
                <w:sz w:val="17"/>
                <w:szCs w:val="17"/>
                <w:color w:val="auto"/>
              </w:rPr>
            </w:pPr>
          </w:p>
        </w:tc>
        <w:tc>
          <w:tcPr>
            <w:tcW w:w="556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Exhibit 3.1 to the Current Report on Form 8-K filed on December 20, 2023).</w:t>
              </w:r>
            </w:hyperlink>
          </w:p>
        </w:tc>
        <w:tc>
          <w:tcPr>
            <w:tcW w:w="4300" w:type="dxa"/>
            <w:vAlign w:val="bottom"/>
            <w:gridSpan w:val="31"/>
          </w:tcPr>
          <w:p>
            <w:pPr>
              <w:spacing w:after="0"/>
              <w:rPr>
                <w:sz w:val="17"/>
                <w:szCs w:val="17"/>
                <w:color w:val="auto"/>
              </w:rPr>
            </w:pPr>
          </w:p>
        </w:tc>
      </w:tr>
      <w:tr>
        <w:trPr>
          <w:trHeight w:val="196"/>
        </w:trPr>
        <w:tc>
          <w:tcPr>
            <w:tcW w:w="1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9700" w:type="dxa"/>
            <w:vAlign w:val="bottom"/>
            <w:tcBorders>
              <w:bottom w:val="single" w:sz="8" w:color="0000FF"/>
            </w:tcBorders>
            <w:gridSpan w:val="32"/>
          </w:tcPr>
          <w:p>
            <w:pPr>
              <w:spacing w:after="0" w:line="196" w:lineRule="exact"/>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Second Amended and Restated Bylaws of the Company, dated December 14, 2023 (incorporated by reference to the Exhibit 3.2 to the</w:t>
              </w:r>
            </w:hyperlink>
          </w:p>
        </w:tc>
        <w:tc>
          <w:tcPr>
            <w:tcW w:w="160" w:type="dxa"/>
            <w:vAlign w:val="bottom"/>
            <w:gridSpan w:val="7"/>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426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Current Report on Form 8-K filed on December 20, 2023).</w:t>
              </w:r>
            </w:hyperlink>
          </w:p>
        </w:tc>
        <w:tc>
          <w:tcPr>
            <w:tcW w:w="5600" w:type="dxa"/>
            <w:vAlign w:val="bottom"/>
            <w:gridSpan w:val="33"/>
          </w:tcPr>
          <w:p>
            <w:pPr>
              <w:spacing w:after="0"/>
              <w:rPr>
                <w:sz w:val="17"/>
                <w:szCs w:val="17"/>
                <w:color w:val="auto"/>
              </w:rPr>
            </w:pPr>
          </w:p>
        </w:tc>
      </w:tr>
      <w:tr>
        <w:trPr>
          <w:trHeight w:val="196"/>
        </w:trPr>
        <w:tc>
          <w:tcPr>
            <w:tcW w:w="1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9820" w:type="dxa"/>
            <w:vAlign w:val="bottom"/>
            <w:tcBorders>
              <w:bottom w:val="single" w:sz="8" w:color="0000FF"/>
            </w:tcBorders>
            <w:gridSpan w:val="38"/>
          </w:tcPr>
          <w:p>
            <w:pPr>
              <w:spacing w:after="0" w:line="196" w:lineRule="exact"/>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Third Amended and Restated Bylaws of the Company, dated March 3, 2025 (incorporated by reference to the Exhibit 3.2 to the Current</w:t>
              </w:r>
            </w:hyperlink>
          </w:p>
        </w:tc>
        <w:tc>
          <w:tcPr>
            <w:tcW w:w="4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860" w:type="dxa"/>
            <w:vAlign w:val="bottom"/>
            <w:gridSpan w:val="39"/>
          </w:tcPr>
          <w:p>
            <w:pPr>
              <w:spacing w:after="0" w:line="196" w:lineRule="exact"/>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Report on Form 8-K filed on March 4, 2025).</w:t>
              </w:r>
            </w:hyperlink>
          </w:p>
        </w:tc>
      </w:tr>
      <w:tr>
        <w:trPr>
          <w:trHeight w:val="20"/>
        </w:trPr>
        <w:tc>
          <w:tcPr>
            <w:tcW w:w="138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9860" w:type="dxa"/>
            <w:vAlign w:val="bottom"/>
            <w:tcBorders>
              <w:bottom w:val="single" w:sz="8" w:color="0000FF"/>
            </w:tcBorders>
            <w:gridSpan w:val="39"/>
          </w:tcPr>
          <w:p>
            <w:pPr>
              <w:spacing w:after="0" w:line="196" w:lineRule="exact"/>
              <w:rPr>
                <w:rFonts w:ascii="Times New Roman" w:cs="Times New Roman" w:eastAsia="Times New Roman" w:hAnsi="Times New Roman"/>
                <w:sz w:val="18"/>
                <w:szCs w:val="18"/>
                <w:color w:val="0000FF"/>
                <w:w w:val="99"/>
              </w:rPr>
            </w:pPr>
            <w:hyperlink r:id="rId219">
              <w:r>
                <w:rPr>
                  <w:rFonts w:ascii="Times New Roman" w:cs="Times New Roman" w:eastAsia="Times New Roman" w:hAnsi="Times New Roman"/>
                  <w:sz w:val="18"/>
                  <w:szCs w:val="18"/>
                  <w:color w:val="0000FF"/>
                  <w:w w:val="99"/>
                </w:rPr>
                <w:t>Amendment to Second Amended and Restated Certificate of Incorporation of the Company, dated September 11, 2024. (incorporated by</w:t>
              </w:r>
            </w:hyperlink>
          </w:p>
        </w:tc>
      </w:tr>
      <w:tr>
        <w:trPr>
          <w:trHeight w:val="196"/>
        </w:trPr>
        <w:tc>
          <w:tcPr>
            <w:tcW w:w="1380" w:type="dxa"/>
            <w:vAlign w:val="bottom"/>
          </w:tcPr>
          <w:p>
            <w:pPr>
              <w:spacing w:after="0"/>
              <w:rPr>
                <w:sz w:val="17"/>
                <w:szCs w:val="17"/>
                <w:color w:val="auto"/>
              </w:rPr>
            </w:pPr>
          </w:p>
        </w:tc>
        <w:tc>
          <w:tcPr>
            <w:tcW w:w="672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219">
              <w:r>
                <w:rPr>
                  <w:rFonts w:ascii="Times New Roman" w:cs="Times New Roman" w:eastAsia="Times New Roman" w:hAnsi="Times New Roman"/>
                  <w:sz w:val="18"/>
                  <w:szCs w:val="18"/>
                  <w:color w:val="0000FF"/>
                  <w:w w:val="99"/>
                </w:rPr>
                <w:t>reference to the Exhibit 3.1 to the Current Report on Form 8-K filed on September 16, 2024).</w:t>
              </w:r>
            </w:hyperlink>
          </w:p>
        </w:tc>
        <w:tc>
          <w:tcPr>
            <w:tcW w:w="3140" w:type="dxa"/>
            <w:vAlign w:val="bottom"/>
            <w:gridSpan w:val="23"/>
          </w:tcPr>
          <w:p>
            <w:pPr>
              <w:spacing w:after="0"/>
              <w:rPr>
                <w:sz w:val="17"/>
                <w:szCs w:val="17"/>
                <w:color w:val="auto"/>
              </w:rPr>
            </w:pPr>
          </w:p>
        </w:tc>
      </w:tr>
      <w:tr>
        <w:trPr>
          <w:trHeight w:val="196"/>
        </w:trPr>
        <w:tc>
          <w:tcPr>
            <w:tcW w:w="1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948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Amendment to Second Amended and Restated Certificate of Incorporation of the Company, dated March 3, 2025. (incorporated by</w:t>
              </w:r>
            </w:hyperlink>
          </w:p>
        </w:tc>
        <w:tc>
          <w:tcPr>
            <w:tcW w:w="380" w:type="dxa"/>
            <w:vAlign w:val="bottom"/>
            <w:gridSpan w:val="14"/>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860" w:type="dxa"/>
            <w:vAlign w:val="bottom"/>
            <w:gridSpan w:val="39"/>
          </w:tcPr>
          <w:p>
            <w:pPr>
              <w:spacing w:after="0" w:line="196" w:lineRule="exact"/>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reference to the Exhibit 3.1 to the Current Report on Form 8-K filed on March 4, 2025).</w:t>
              </w:r>
            </w:hyperlink>
          </w:p>
        </w:tc>
      </w:tr>
      <w:tr>
        <w:trPr>
          <w:trHeight w:val="20"/>
        </w:trPr>
        <w:tc>
          <w:tcPr>
            <w:tcW w:w="138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952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Certificate of Amendment (2025 Stock Split) to Certificate of Incorporation of the Company, dated June 24, 2025. (incorporated by</w:t>
              </w:r>
            </w:hyperlink>
          </w:p>
        </w:tc>
        <w:tc>
          <w:tcPr>
            <w:tcW w:w="340" w:type="dxa"/>
            <w:vAlign w:val="bottom"/>
            <w:gridSpan w:val="12"/>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632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221">
              <w:r>
                <w:rPr>
                  <w:rFonts w:ascii="Times New Roman" w:cs="Times New Roman" w:eastAsia="Times New Roman" w:hAnsi="Times New Roman"/>
                  <w:sz w:val="18"/>
                  <w:szCs w:val="18"/>
                  <w:color w:val="0000FF"/>
                  <w:w w:val="99"/>
                </w:rPr>
                <w:t>reference to the Exhibit 3.1 to the Current Report on Form 8-K filed on June 27, 2025).</w:t>
              </w:r>
            </w:hyperlink>
          </w:p>
        </w:tc>
        <w:tc>
          <w:tcPr>
            <w:tcW w:w="3540" w:type="dxa"/>
            <w:vAlign w:val="bottom"/>
            <w:gridSpan w:val="26"/>
          </w:tcPr>
          <w:p>
            <w:pPr>
              <w:spacing w:after="0"/>
              <w:rPr>
                <w:sz w:val="17"/>
                <w:szCs w:val="17"/>
                <w:color w:val="auto"/>
              </w:rPr>
            </w:pPr>
          </w:p>
        </w:tc>
      </w:tr>
      <w:tr>
        <w:trPr>
          <w:trHeight w:val="196"/>
        </w:trPr>
        <w:tc>
          <w:tcPr>
            <w:tcW w:w="1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9800" w:type="dxa"/>
            <w:vAlign w:val="bottom"/>
            <w:tcBorders>
              <w:bottom w:val="single" w:sz="8" w:color="0000FF"/>
            </w:tcBorders>
            <w:gridSpan w:val="37"/>
          </w:tcPr>
          <w:p>
            <w:pPr>
              <w:spacing w:after="0" w:line="196" w:lineRule="exact"/>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Amendment to Second Amended and Restated Certificate of Incorporation of the Company (incorporated by reference to Exhibit 3.1 to</w:t>
              </w:r>
            </w:hyperlink>
          </w:p>
        </w:tc>
        <w:tc>
          <w:tcPr>
            <w:tcW w:w="60" w:type="dxa"/>
            <w:vAlign w:val="bottom"/>
            <w:gridSpan w:val="2"/>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860" w:type="dxa"/>
            <w:vAlign w:val="bottom"/>
            <w:gridSpan w:val="39"/>
          </w:tcPr>
          <w:p>
            <w:pPr>
              <w:spacing w:after="0" w:line="196" w:lineRule="exact"/>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the Current Report on Form 8-K filed on April 28, 2026)</w:t>
              </w:r>
            </w:hyperlink>
          </w:p>
        </w:tc>
      </w:tr>
      <w:tr>
        <w:trPr>
          <w:trHeight w:val="20"/>
        </w:trPr>
        <w:tc>
          <w:tcPr>
            <w:tcW w:w="138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960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Specimen Class A Common Stock Certificate of the Company (incorporated by reference to the Exhibit 4.1 to the Current Report on</w:t>
              </w:r>
            </w:hyperlink>
          </w:p>
        </w:tc>
        <w:tc>
          <w:tcPr>
            <w:tcW w:w="260" w:type="dxa"/>
            <w:vAlign w:val="bottom"/>
            <w:gridSpan w:val="9"/>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292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Form 8-K filed on December 20, 2023).</w:t>
              </w:r>
            </w:hyperlink>
          </w:p>
        </w:tc>
        <w:tc>
          <w:tcPr>
            <w:tcW w:w="6940" w:type="dxa"/>
            <w:vAlign w:val="bottom"/>
            <w:gridSpan w:val="36"/>
          </w:tcPr>
          <w:p>
            <w:pPr>
              <w:spacing w:after="0"/>
              <w:rPr>
                <w:sz w:val="17"/>
                <w:szCs w:val="17"/>
                <w:color w:val="auto"/>
              </w:rPr>
            </w:pPr>
          </w:p>
        </w:tc>
      </w:tr>
      <w:tr>
        <w:trPr>
          <w:trHeight w:val="196"/>
        </w:trPr>
        <w:tc>
          <w:tcPr>
            <w:tcW w:w="1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958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Specimen Class B Common Stock Certificate of the Company (incorporated by reference to the Exhibit 4.2 to the Current Report on</w:t>
              </w:r>
            </w:hyperlink>
          </w:p>
        </w:tc>
        <w:tc>
          <w:tcPr>
            <w:tcW w:w="280" w:type="dxa"/>
            <w:vAlign w:val="bottom"/>
            <w:gridSpan w:val="10"/>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292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Form 8-K filed on December 20, 2023).</w:t>
              </w:r>
            </w:hyperlink>
          </w:p>
        </w:tc>
        <w:tc>
          <w:tcPr>
            <w:tcW w:w="6940" w:type="dxa"/>
            <w:vAlign w:val="bottom"/>
            <w:gridSpan w:val="36"/>
          </w:tcPr>
          <w:p>
            <w:pPr>
              <w:spacing w:after="0"/>
              <w:rPr>
                <w:sz w:val="17"/>
                <w:szCs w:val="17"/>
                <w:color w:val="auto"/>
              </w:rPr>
            </w:pPr>
          </w:p>
        </w:tc>
      </w:tr>
      <w:tr>
        <w:trPr>
          <w:trHeight w:val="196"/>
        </w:trPr>
        <w:tc>
          <w:tcPr>
            <w:tcW w:w="1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9800" w:type="dxa"/>
            <w:vAlign w:val="bottom"/>
            <w:tcBorders>
              <w:bottom w:val="single" w:sz="8" w:color="0000FF"/>
            </w:tcBorders>
            <w:gridSpan w:val="37"/>
          </w:tcPr>
          <w:p>
            <w:pPr>
              <w:spacing w:after="0" w:line="196" w:lineRule="exact"/>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Specimen Warrant Certificate of the Company (incorporated by reference to the Exhibit 4.3 to the Current Report on Form 8-K filed on</w:t>
              </w:r>
            </w:hyperlink>
          </w:p>
        </w:tc>
        <w:tc>
          <w:tcPr>
            <w:tcW w:w="60" w:type="dxa"/>
            <w:vAlign w:val="bottom"/>
            <w:gridSpan w:val="2"/>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56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December 20, 2023).</w:t>
              </w:r>
            </w:hyperlink>
          </w:p>
        </w:tc>
        <w:tc>
          <w:tcPr>
            <w:tcW w:w="8300" w:type="dxa"/>
            <w:vAlign w:val="bottom"/>
            <w:gridSpan w:val="38"/>
          </w:tcPr>
          <w:p>
            <w:pPr>
              <w:spacing w:after="0"/>
              <w:rPr>
                <w:sz w:val="17"/>
                <w:szCs w:val="17"/>
                <w:color w:val="auto"/>
              </w:rPr>
            </w:pPr>
          </w:p>
        </w:tc>
      </w:tr>
      <w:tr>
        <w:trPr>
          <w:trHeight w:val="196"/>
        </w:trPr>
        <w:tc>
          <w:tcPr>
            <w:tcW w:w="1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950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Warrant Agreement, dated December 22, 2020, by and between 7GC and Continental Stock Transfer &amp; Trust Company, as warrant</w:t>
              </w:r>
            </w:hyperlink>
          </w:p>
        </w:tc>
        <w:tc>
          <w:tcPr>
            <w:tcW w:w="360" w:type="dxa"/>
            <w:vAlign w:val="bottom"/>
            <w:gridSpan w:val="13"/>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874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agent (incorporated by reference to Exhibit 4.1 to the Current Report on Form 8-K filed by 7GC on December 28, 2020).</w:t>
              </w:r>
            </w:hyperlink>
          </w:p>
        </w:tc>
        <w:tc>
          <w:tcPr>
            <w:tcW w:w="1120" w:type="dxa"/>
            <w:vAlign w:val="bottom"/>
            <w:gridSpan w:val="21"/>
          </w:tcPr>
          <w:p>
            <w:pPr>
              <w:spacing w:after="0"/>
              <w:rPr>
                <w:sz w:val="17"/>
                <w:szCs w:val="17"/>
                <w:color w:val="auto"/>
              </w:rPr>
            </w:pPr>
          </w:p>
        </w:tc>
      </w:tr>
      <w:tr>
        <w:trPr>
          <w:trHeight w:val="196"/>
        </w:trPr>
        <w:tc>
          <w:tcPr>
            <w:tcW w:w="1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956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Amended and Restated Convertible Promissory Note, by and among Banzai and CP BF Lending, LLC (incorporated by reference to</w:t>
              </w:r>
            </w:hyperlink>
          </w:p>
        </w:tc>
        <w:tc>
          <w:tcPr>
            <w:tcW w:w="300" w:type="dxa"/>
            <w:vAlign w:val="bottom"/>
            <w:gridSpan w:val="11"/>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648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Exhibit 4.7 to the Registration Statement on Form S-4 filed by 7GC on August 30, 2023).</w:t>
              </w:r>
            </w:hyperlink>
          </w:p>
        </w:tc>
        <w:tc>
          <w:tcPr>
            <w:tcW w:w="3380" w:type="dxa"/>
            <w:vAlign w:val="bottom"/>
            <w:gridSpan w:val="24"/>
          </w:tcPr>
          <w:p>
            <w:pPr>
              <w:spacing w:after="0"/>
              <w:rPr>
                <w:sz w:val="17"/>
                <w:szCs w:val="17"/>
                <w:color w:val="auto"/>
              </w:rPr>
            </w:pPr>
          </w:p>
        </w:tc>
      </w:tr>
      <w:tr>
        <w:trPr>
          <w:trHeight w:val="196"/>
        </w:trPr>
        <w:tc>
          <w:tcPr>
            <w:tcW w:w="1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938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Subordinated Promissory Note, dated December 13, 2023, issued by the Company to Alco Investment Company (incorporated by</w:t>
              </w:r>
            </w:hyperlink>
          </w:p>
        </w:tc>
        <w:tc>
          <w:tcPr>
            <w:tcW w:w="480" w:type="dxa"/>
            <w:vAlign w:val="bottom"/>
            <w:gridSpan w:val="17"/>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672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reference to the Exhibit 4.5 to the Current Report on Form 8-K filed on December 20, 2023).</w:t>
              </w:r>
            </w:hyperlink>
          </w:p>
        </w:tc>
        <w:tc>
          <w:tcPr>
            <w:tcW w:w="3140" w:type="dxa"/>
            <w:vAlign w:val="bottom"/>
            <w:gridSpan w:val="23"/>
          </w:tcPr>
          <w:p>
            <w:pPr>
              <w:spacing w:after="0"/>
              <w:rPr>
                <w:sz w:val="17"/>
                <w:szCs w:val="17"/>
                <w:color w:val="auto"/>
              </w:rPr>
            </w:pPr>
          </w:p>
        </w:tc>
      </w:tr>
      <w:tr>
        <w:trPr>
          <w:trHeight w:val="196"/>
        </w:trPr>
        <w:tc>
          <w:tcPr>
            <w:tcW w:w="1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9800" w:type="dxa"/>
            <w:vAlign w:val="bottom"/>
            <w:tcBorders>
              <w:bottom w:val="single" w:sz="8" w:color="0000FF"/>
            </w:tcBorders>
            <w:gridSpan w:val="37"/>
          </w:tcPr>
          <w:p>
            <w:pPr>
              <w:spacing w:after="0" w:line="196" w:lineRule="exact"/>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Warrant to Purchase Shares of Common Stock of Banzai International, Inc., dated December 15, 2023, issued by the Company to GEM</w:t>
              </w:r>
            </w:hyperlink>
          </w:p>
        </w:tc>
        <w:tc>
          <w:tcPr>
            <w:tcW w:w="60" w:type="dxa"/>
            <w:vAlign w:val="bottom"/>
            <w:gridSpan w:val="2"/>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740" w:type="dxa"/>
            <w:vAlign w:val="bottom"/>
            <w:tcBorders>
              <w:bottom w:val="single" w:sz="8" w:color="0000FF"/>
            </w:tcBorders>
            <w:gridSpan w:val="34"/>
          </w:tcPr>
          <w:p>
            <w:pPr>
              <w:spacing w:after="0" w:line="196" w:lineRule="exact"/>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Yield Bahamas Limited (incorporated by reference to the Exhibit 4.7 to the Current Report on Form 8-K filed on December 20, 2023).</w:t>
              </w:r>
            </w:hyperlink>
          </w:p>
        </w:tc>
        <w:tc>
          <w:tcPr>
            <w:tcW w:w="120" w:type="dxa"/>
            <w:vAlign w:val="bottom"/>
            <w:gridSpan w:val="5"/>
          </w:tcPr>
          <w:p>
            <w:pPr>
              <w:spacing w:after="0"/>
              <w:rPr>
                <w:sz w:val="17"/>
                <w:szCs w:val="17"/>
                <w:color w:val="auto"/>
              </w:rPr>
            </w:pPr>
          </w:p>
        </w:tc>
      </w:tr>
      <w:tr>
        <w:trPr>
          <w:trHeight w:val="196"/>
        </w:trPr>
        <w:tc>
          <w:tcPr>
            <w:tcW w:w="1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972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Promissory Note, dated as of December 14, 2023, issued by Banzai International, Inc. to YA II PN, LTD (incorporated by reference to</w:t>
              </w:r>
            </w:hyperlink>
          </w:p>
        </w:tc>
        <w:tc>
          <w:tcPr>
            <w:tcW w:w="140" w:type="dxa"/>
            <w:vAlign w:val="bottom"/>
            <w:gridSpan w:val="6"/>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860" w:type="dxa"/>
            <w:vAlign w:val="bottom"/>
            <w:gridSpan w:val="39"/>
          </w:tcPr>
          <w:p>
            <w:pPr>
              <w:spacing w:after="0" w:line="196" w:lineRule="exact"/>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Exhibit 10.2 to the Current Report on Form 8-K filed on December 18, 2023).</w:t>
              </w:r>
            </w:hyperlink>
          </w:p>
        </w:tc>
      </w:tr>
      <w:tr>
        <w:trPr>
          <w:trHeight w:val="20"/>
        </w:trPr>
        <w:tc>
          <w:tcPr>
            <w:tcW w:w="1380" w:type="dxa"/>
            <w:vAlign w:val="bottom"/>
          </w:tcPr>
          <w:p>
            <w:pPr>
              <w:spacing w:after="0" w:line="20" w:lineRule="exact"/>
              <w:rPr>
                <w:sz w:val="1"/>
                <w:szCs w:val="1"/>
                <w:color w:val="auto"/>
              </w:rPr>
            </w:pPr>
          </w:p>
        </w:tc>
        <w:tc>
          <w:tcPr>
            <w:tcW w:w="5600" w:type="dxa"/>
            <w:vAlign w:val="bottom"/>
            <w:gridSpan w:val="9"/>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40" w:type="dxa"/>
            <w:vAlign w:val="bottom"/>
            <w:gridSpan w:val="7"/>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460" w:type="dxa"/>
            <w:vAlign w:val="bottom"/>
            <w:gridSpan w:val="16"/>
          </w:tcPr>
          <w:p>
            <w:pPr>
              <w:spacing w:after="0" w:line="20" w:lineRule="exact"/>
              <w:rPr>
                <w:sz w:val="1"/>
                <w:szCs w:val="1"/>
                <w:color w:val="auto"/>
              </w:rPr>
            </w:pPr>
          </w:p>
        </w:tc>
      </w:tr>
      <w:tr>
        <w:trPr>
          <w:trHeight w:val="196"/>
        </w:trPr>
        <w:tc>
          <w:tcPr>
            <w:tcW w:w="1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9820" w:type="dxa"/>
            <w:vAlign w:val="bottom"/>
            <w:tcBorders>
              <w:bottom w:val="single" w:sz="8" w:color="0000FF"/>
            </w:tcBorders>
            <w:gridSpan w:val="38"/>
          </w:tcPr>
          <w:p>
            <w:pPr>
              <w:spacing w:after="0" w:line="196" w:lineRule="exact"/>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Promissory Note, dated as of February 5, 2024, issued by Banzai International, Inc. to YA II PN, LTD (incorporated by reference to the</w:t>
              </w:r>
            </w:hyperlink>
          </w:p>
        </w:tc>
        <w:tc>
          <w:tcPr>
            <w:tcW w:w="4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600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Exhibit 4.11 to the Registration Statement on Form S-1 filed on February 5, 2024).</w:t>
              </w:r>
            </w:hyperlink>
          </w:p>
        </w:tc>
        <w:tc>
          <w:tcPr>
            <w:tcW w:w="3860" w:type="dxa"/>
            <w:vAlign w:val="bottom"/>
            <w:gridSpan w:val="29"/>
          </w:tcPr>
          <w:p>
            <w:pPr>
              <w:spacing w:after="0"/>
              <w:rPr>
                <w:sz w:val="17"/>
                <w:szCs w:val="17"/>
                <w:color w:val="auto"/>
              </w:rPr>
            </w:pPr>
          </w:p>
        </w:tc>
      </w:tr>
      <w:tr>
        <w:trPr>
          <w:trHeight w:val="196"/>
        </w:trPr>
        <w:tc>
          <w:tcPr>
            <w:tcW w:w="1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4.10</w:t>
            </w:r>
          </w:p>
        </w:tc>
        <w:tc>
          <w:tcPr>
            <w:tcW w:w="940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Promissory Note Agreement, dated as of March 26, 2024, issued by Banzai International, Inc. to YA II PN, LTD (incorporated by</w:t>
              </w:r>
            </w:hyperlink>
          </w:p>
        </w:tc>
        <w:tc>
          <w:tcPr>
            <w:tcW w:w="460" w:type="dxa"/>
            <w:vAlign w:val="bottom"/>
            <w:gridSpan w:val="16"/>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622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232">
              <w:r>
                <w:rPr>
                  <w:rFonts w:ascii="Times New Roman" w:cs="Times New Roman" w:eastAsia="Times New Roman" w:hAnsi="Times New Roman"/>
                  <w:sz w:val="18"/>
                  <w:szCs w:val="18"/>
                  <w:color w:val="0000FF"/>
                  <w:w w:val="99"/>
                </w:rPr>
                <w:t>reference to Exhibit 4.10 to the Annual Report on Form 10-K filed on April 15, 2025).</w:t>
              </w:r>
            </w:hyperlink>
          </w:p>
        </w:tc>
        <w:tc>
          <w:tcPr>
            <w:tcW w:w="3640" w:type="dxa"/>
            <w:vAlign w:val="bottom"/>
            <w:gridSpan w:val="27"/>
          </w:tcPr>
          <w:p>
            <w:pPr>
              <w:spacing w:after="0"/>
              <w:rPr>
                <w:sz w:val="17"/>
                <w:szCs w:val="17"/>
                <w:color w:val="auto"/>
              </w:rPr>
            </w:pPr>
          </w:p>
        </w:tc>
      </w:tr>
      <w:tr>
        <w:trPr>
          <w:trHeight w:val="196"/>
        </w:trPr>
        <w:tc>
          <w:tcPr>
            <w:tcW w:w="1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4.11</w:t>
            </w:r>
          </w:p>
        </w:tc>
        <w:tc>
          <w:tcPr>
            <w:tcW w:w="9860" w:type="dxa"/>
            <w:vAlign w:val="bottom"/>
            <w:gridSpan w:val="39"/>
          </w:tcPr>
          <w:p>
            <w:pPr>
              <w:spacing w:after="0" w:line="196" w:lineRule="exact"/>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Certificate of Designation of Series FE Preferred Stock (incorporated by reference to the 8-K filed on December 19, 2024).</w:t>
              </w:r>
            </w:hyperlink>
          </w:p>
        </w:tc>
      </w:tr>
      <w:tr>
        <w:trPr>
          <w:trHeight w:val="236"/>
        </w:trPr>
        <w:tc>
          <w:tcPr>
            <w:tcW w:w="1380" w:type="dxa"/>
            <w:vAlign w:val="bottom"/>
          </w:tcPr>
          <w:p>
            <w:pPr>
              <w:spacing w:after="0"/>
              <w:rPr>
                <w:sz w:val="20"/>
                <w:szCs w:val="20"/>
                <w:color w:val="auto"/>
              </w:rPr>
            </w:pPr>
          </w:p>
        </w:tc>
        <w:tc>
          <w:tcPr>
            <w:tcW w:w="5160" w:type="dxa"/>
            <w:vAlign w:val="bottom"/>
            <w:tcBorders>
              <w:top w:val="single" w:sz="8" w:color="0000FF"/>
            </w:tcBorders>
            <w:gridSpan w:val="7"/>
          </w:tcPr>
          <w:p>
            <w:pPr>
              <w:ind w:left="4160"/>
              <w:spacing w:after="0"/>
              <w:rPr>
                <w:sz w:val="20"/>
                <w:szCs w:val="20"/>
                <w:color w:val="auto"/>
              </w:rPr>
            </w:pPr>
            <w:r>
              <w:rPr>
                <w:rFonts w:ascii="Times New Roman" w:cs="Times New Roman" w:eastAsia="Times New Roman" w:hAnsi="Times New Roman"/>
                <w:sz w:val="18"/>
                <w:szCs w:val="18"/>
                <w:color w:val="auto"/>
              </w:rPr>
              <w:t>57</w:t>
            </w:r>
          </w:p>
        </w:tc>
        <w:tc>
          <w:tcPr>
            <w:tcW w:w="40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1300" w:type="dxa"/>
            <w:vAlign w:val="bottom"/>
            <w:tcBorders>
              <w:top w:val="single" w:sz="8" w:color="0000FF"/>
            </w:tcBorders>
          </w:tcPr>
          <w:p>
            <w:pPr>
              <w:spacing w:after="0"/>
              <w:rPr>
                <w:sz w:val="20"/>
                <w:szCs w:val="20"/>
                <w:color w:val="auto"/>
              </w:rPr>
            </w:pPr>
          </w:p>
        </w:tc>
        <w:tc>
          <w:tcPr>
            <w:tcW w:w="72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763"/>
        </w:trPr>
        <w:tc>
          <w:tcPr>
            <w:tcW w:w="13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4.12</w:t>
            </w:r>
          </w:p>
        </w:tc>
        <w:tc>
          <w:tcPr>
            <w:tcW w:w="916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9"/>
              </w:rPr>
            </w:pPr>
            <w:hyperlink r:id="rId236">
              <w:r>
                <w:rPr>
                  <w:rFonts w:ascii="Times New Roman" w:cs="Times New Roman" w:eastAsia="Times New Roman" w:hAnsi="Times New Roman"/>
                  <w:sz w:val="18"/>
                  <w:szCs w:val="18"/>
                  <w:color w:val="0000FF"/>
                  <w:w w:val="99"/>
                </w:rPr>
                <w:t>Form of Senior Secured Convertible Note (incorporated by reference to the Current Report on Form 8-K filed on July 3, 2025).</w:t>
              </w:r>
            </w:hyperlink>
          </w:p>
        </w:tc>
        <w:tc>
          <w:tcPr>
            <w:tcW w:w="680" w:type="dxa"/>
            <w:vAlign w:val="bottom"/>
            <w:gridSpan w:val="9"/>
          </w:tcPr>
          <w:p>
            <w:pPr>
              <w:spacing w:after="0"/>
              <w:rPr>
                <w:sz w:val="17"/>
                <w:szCs w:val="17"/>
                <w:color w:val="auto"/>
              </w:rPr>
            </w:pPr>
          </w:p>
        </w:tc>
      </w:tr>
      <w:tr>
        <w:trPr>
          <w:trHeight w:val="196"/>
        </w:trPr>
        <w:tc>
          <w:tcPr>
            <w:tcW w:w="1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4.13</w:t>
            </w:r>
          </w:p>
        </w:tc>
        <w:tc>
          <w:tcPr>
            <w:tcW w:w="9840" w:type="dxa"/>
            <w:vAlign w:val="bottom"/>
            <w:gridSpan w:val="14"/>
          </w:tcPr>
          <w:p>
            <w:pPr>
              <w:spacing w:after="0" w:line="196" w:lineRule="exact"/>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Form of Warrant (incorporated by reference to the Current Report on Form 8-K filed on July 3, 2025).</w:t>
              </w:r>
            </w:hyperlink>
          </w:p>
        </w:tc>
      </w:tr>
      <w:tr>
        <w:trPr>
          <w:trHeight w:val="20"/>
        </w:trPr>
        <w:tc>
          <w:tcPr>
            <w:tcW w:w="13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600" w:type="dxa"/>
            <w:vAlign w:val="bottom"/>
            <w:shd w:val="clear" w:color="auto" w:fill="0000FF"/>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1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4.14</w:t>
            </w:r>
          </w:p>
        </w:tc>
        <w:tc>
          <w:tcPr>
            <w:tcW w:w="928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238">
              <w:r>
                <w:rPr>
                  <w:rFonts w:ascii="Times New Roman" w:cs="Times New Roman" w:eastAsia="Times New Roman" w:hAnsi="Times New Roman"/>
                  <w:sz w:val="18"/>
                  <w:szCs w:val="18"/>
                  <w:color w:val="0000FF"/>
                  <w:w w:val="99"/>
                </w:rPr>
                <w:t>Form of Additional Note (incorporated by reference to Exhibit 4.3 to the Current Report on Form 8-K filed on August 22, 2025).</w:t>
              </w:r>
            </w:hyperlink>
          </w:p>
        </w:tc>
        <w:tc>
          <w:tcPr>
            <w:tcW w:w="560" w:type="dxa"/>
            <w:vAlign w:val="bottom"/>
            <w:gridSpan w:val="8"/>
          </w:tcPr>
          <w:p>
            <w:pPr>
              <w:spacing w:after="0"/>
              <w:rPr>
                <w:sz w:val="17"/>
                <w:szCs w:val="17"/>
                <w:color w:val="auto"/>
              </w:rPr>
            </w:pPr>
          </w:p>
        </w:tc>
      </w:tr>
      <w:tr>
        <w:trPr>
          <w:trHeight w:val="196"/>
        </w:trPr>
        <w:tc>
          <w:tcPr>
            <w:tcW w:w="1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4.15</w:t>
            </w:r>
          </w:p>
        </w:tc>
        <w:tc>
          <w:tcPr>
            <w:tcW w:w="950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239">
              <w:r>
                <w:rPr>
                  <w:rFonts w:ascii="Times New Roman" w:cs="Times New Roman" w:eastAsia="Times New Roman" w:hAnsi="Times New Roman"/>
                  <w:sz w:val="18"/>
                  <w:szCs w:val="18"/>
                  <w:color w:val="0000FF"/>
                  <w:w w:val="99"/>
                </w:rPr>
                <w:t>Form of Additional Warrant (incorporated by reference to Exhibit 4.4 to the Current Report on Form 8-k filed on August 22, 2025).</w:t>
              </w:r>
            </w:hyperlink>
          </w:p>
        </w:tc>
        <w:tc>
          <w:tcPr>
            <w:tcW w:w="340" w:type="dxa"/>
            <w:vAlign w:val="bottom"/>
            <w:gridSpan w:val="6"/>
          </w:tcPr>
          <w:p>
            <w:pPr>
              <w:spacing w:after="0"/>
              <w:rPr>
                <w:sz w:val="17"/>
                <w:szCs w:val="17"/>
                <w:color w:val="auto"/>
              </w:rPr>
            </w:pPr>
          </w:p>
        </w:tc>
      </w:tr>
      <w:tr>
        <w:trPr>
          <w:trHeight w:val="196"/>
        </w:trPr>
        <w:tc>
          <w:tcPr>
            <w:tcW w:w="1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4.16</w:t>
            </w:r>
          </w:p>
        </w:tc>
        <w:tc>
          <w:tcPr>
            <w:tcW w:w="9840" w:type="dxa"/>
            <w:vAlign w:val="bottom"/>
            <w:gridSpan w:val="14"/>
          </w:tcPr>
          <w:p>
            <w:pPr>
              <w:spacing w:after="0" w:line="196" w:lineRule="exact"/>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Senior Secured Convertible Note (incorporated by reference to Exhibit 4.3 to the Current Report on Form 8-K filed on February 13,</w:t>
              </w:r>
            </w:hyperlink>
          </w:p>
        </w:tc>
      </w:tr>
      <w:tr>
        <w:trPr>
          <w:trHeight w:val="196"/>
        </w:trPr>
        <w:tc>
          <w:tcPr>
            <w:tcW w:w="1380" w:type="dxa"/>
            <w:vAlign w:val="bottom"/>
          </w:tcPr>
          <w:p>
            <w:pPr>
              <w:spacing w:after="0"/>
              <w:rPr>
                <w:sz w:val="17"/>
                <w:szCs w:val="17"/>
                <w:color w:val="auto"/>
              </w:rPr>
            </w:pPr>
          </w:p>
        </w:tc>
        <w:tc>
          <w:tcPr>
            <w:tcW w:w="46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4"/>
              </w:rPr>
            </w:pPr>
            <w:hyperlink r:id="rId240">
              <w:r>
                <w:rPr>
                  <w:rFonts w:ascii="Times New Roman" w:cs="Times New Roman" w:eastAsia="Times New Roman" w:hAnsi="Times New Roman"/>
                  <w:sz w:val="18"/>
                  <w:szCs w:val="18"/>
                  <w:color w:val="0000FF"/>
                  <w:w w:val="94"/>
                </w:rPr>
                <w:t>2026).</w:t>
              </w:r>
            </w:hyperlink>
          </w:p>
        </w:tc>
        <w:tc>
          <w:tcPr>
            <w:tcW w:w="920" w:type="dxa"/>
            <w:vAlign w:val="bottom"/>
            <w:tcBorders>
              <w:top w:val="single" w:sz="8" w:color="0000FF"/>
            </w:tcBorders>
          </w:tcPr>
          <w:p>
            <w:pPr>
              <w:spacing w:after="0"/>
              <w:rPr>
                <w:sz w:val="17"/>
                <w:szCs w:val="17"/>
                <w:color w:val="auto"/>
              </w:rPr>
            </w:pPr>
          </w:p>
        </w:tc>
        <w:tc>
          <w:tcPr>
            <w:tcW w:w="3600" w:type="dxa"/>
            <w:vAlign w:val="bottom"/>
            <w:tcBorders>
              <w:top w:val="single" w:sz="8" w:color="0000FF"/>
            </w:tcBorders>
          </w:tcPr>
          <w:p>
            <w:pPr>
              <w:spacing w:after="0"/>
              <w:rPr>
                <w:sz w:val="17"/>
                <w:szCs w:val="17"/>
                <w:color w:val="auto"/>
              </w:rPr>
            </w:pPr>
          </w:p>
        </w:tc>
        <w:tc>
          <w:tcPr>
            <w:tcW w:w="2380" w:type="dxa"/>
            <w:vAlign w:val="bottom"/>
            <w:tcBorders>
              <w:top w:val="single" w:sz="8" w:color="0000FF"/>
            </w:tcBorders>
          </w:tcPr>
          <w:p>
            <w:pPr>
              <w:spacing w:after="0"/>
              <w:rPr>
                <w:sz w:val="17"/>
                <w:szCs w:val="17"/>
                <w:color w:val="auto"/>
              </w:rPr>
            </w:pPr>
          </w:p>
        </w:tc>
        <w:tc>
          <w:tcPr>
            <w:tcW w:w="18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96"/>
        </w:trPr>
        <w:tc>
          <w:tcPr>
            <w:tcW w:w="1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4.17</w:t>
            </w:r>
          </w:p>
        </w:tc>
        <w:tc>
          <w:tcPr>
            <w:tcW w:w="984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241">
              <w:r>
                <w:rPr>
                  <w:rFonts w:ascii="Times New Roman" w:cs="Times New Roman" w:eastAsia="Times New Roman" w:hAnsi="Times New Roman"/>
                  <w:sz w:val="18"/>
                  <w:szCs w:val="18"/>
                  <w:color w:val="0000FF"/>
                </w:rPr>
                <w:t>Warrant To Purchase Common Stock (incorporated by reference to Exhibit 4.4 to the Current Report on Form 8-K filed on February 13,</w:t>
              </w:r>
            </w:hyperlink>
          </w:p>
        </w:tc>
      </w:tr>
      <w:tr>
        <w:trPr>
          <w:trHeight w:val="196"/>
        </w:trPr>
        <w:tc>
          <w:tcPr>
            <w:tcW w:w="1380" w:type="dxa"/>
            <w:vAlign w:val="bottom"/>
          </w:tcPr>
          <w:p>
            <w:pPr>
              <w:spacing w:after="0"/>
              <w:rPr>
                <w:sz w:val="17"/>
                <w:szCs w:val="17"/>
                <w:color w:val="auto"/>
              </w:rPr>
            </w:pPr>
          </w:p>
        </w:tc>
        <w:tc>
          <w:tcPr>
            <w:tcW w:w="46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4"/>
              </w:rPr>
            </w:pPr>
            <w:hyperlink r:id="rId241">
              <w:r>
                <w:rPr>
                  <w:rFonts w:ascii="Times New Roman" w:cs="Times New Roman" w:eastAsia="Times New Roman" w:hAnsi="Times New Roman"/>
                  <w:sz w:val="18"/>
                  <w:szCs w:val="18"/>
                  <w:color w:val="0000FF"/>
                  <w:w w:val="94"/>
                </w:rPr>
                <w:t>2026).</w:t>
              </w:r>
            </w:hyperlink>
          </w:p>
        </w:tc>
        <w:tc>
          <w:tcPr>
            <w:tcW w:w="9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96"/>
        </w:trPr>
        <w:tc>
          <w:tcPr>
            <w:tcW w:w="1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948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242">
              <w:r>
                <w:rPr>
                  <w:rFonts w:ascii="Times New Roman" w:cs="Times New Roman" w:eastAsia="Times New Roman" w:hAnsi="Times New Roman"/>
                  <w:sz w:val="18"/>
                  <w:szCs w:val="18"/>
                  <w:color w:val="0000FF"/>
                  <w:w w:val="99"/>
                </w:rPr>
                <w:t>Form of Exchange Agreement (incorporated by reference to Exhibit 10.3 to the Current Report on Form 8-K filed on May 5, 2026).</w:t>
              </w:r>
            </w:hyperlink>
          </w:p>
        </w:tc>
        <w:tc>
          <w:tcPr>
            <w:tcW w:w="360" w:type="dxa"/>
            <w:vAlign w:val="bottom"/>
            <w:gridSpan w:val="7"/>
          </w:tcPr>
          <w:p>
            <w:pPr>
              <w:spacing w:after="0"/>
              <w:rPr>
                <w:sz w:val="17"/>
                <w:szCs w:val="17"/>
                <w:color w:val="auto"/>
              </w:rPr>
            </w:pPr>
          </w:p>
        </w:tc>
      </w:tr>
      <w:tr>
        <w:trPr>
          <w:trHeight w:val="196"/>
        </w:trPr>
        <w:tc>
          <w:tcPr>
            <w:tcW w:w="1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966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hyperlink>
          </w:p>
        </w:tc>
        <w:tc>
          <w:tcPr>
            <w:tcW w:w="18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498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243">
              <w:r>
                <w:rPr>
                  <w:rFonts w:ascii="Times New Roman" w:cs="Times New Roman" w:eastAsia="Times New Roman" w:hAnsi="Times New Roman"/>
                  <w:sz w:val="18"/>
                  <w:szCs w:val="18"/>
                  <w:color w:val="0000FF"/>
                  <w:w w:val="99"/>
                </w:rPr>
                <w:t>Adopted Pursuant to Section 302 of the Sarbanes-Oxley Act of 2002.</w:t>
              </w:r>
            </w:hyperlink>
          </w:p>
        </w:tc>
        <w:tc>
          <w:tcPr>
            <w:tcW w:w="4860" w:type="dxa"/>
            <w:vAlign w:val="bottom"/>
            <w:gridSpan w:val="11"/>
          </w:tcPr>
          <w:p>
            <w:pPr>
              <w:spacing w:after="0"/>
              <w:rPr>
                <w:sz w:val="17"/>
                <w:szCs w:val="17"/>
                <w:color w:val="auto"/>
              </w:rPr>
            </w:pPr>
          </w:p>
        </w:tc>
      </w:tr>
      <w:tr>
        <w:trPr>
          <w:trHeight w:val="196"/>
        </w:trPr>
        <w:tc>
          <w:tcPr>
            <w:tcW w:w="1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962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hyperlink>
          </w:p>
        </w:tc>
        <w:tc>
          <w:tcPr>
            <w:tcW w:w="220" w:type="dxa"/>
            <w:vAlign w:val="bottom"/>
            <w:gridSpan w:val="2"/>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498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244">
              <w:r>
                <w:rPr>
                  <w:rFonts w:ascii="Times New Roman" w:cs="Times New Roman" w:eastAsia="Times New Roman" w:hAnsi="Times New Roman"/>
                  <w:sz w:val="18"/>
                  <w:szCs w:val="18"/>
                  <w:color w:val="0000FF"/>
                  <w:w w:val="99"/>
                </w:rPr>
                <w:t>Adopted Pursuant to Section 302 of the Sarbanes-Oxley Act of 2002.</w:t>
              </w:r>
            </w:hyperlink>
          </w:p>
        </w:tc>
        <w:tc>
          <w:tcPr>
            <w:tcW w:w="4860" w:type="dxa"/>
            <w:vAlign w:val="bottom"/>
            <w:gridSpan w:val="11"/>
          </w:tcPr>
          <w:p>
            <w:pPr>
              <w:spacing w:after="0"/>
              <w:rPr>
                <w:sz w:val="17"/>
                <w:szCs w:val="17"/>
                <w:color w:val="auto"/>
              </w:rPr>
            </w:pPr>
          </w:p>
        </w:tc>
      </w:tr>
      <w:tr>
        <w:trPr>
          <w:trHeight w:val="196"/>
        </w:trPr>
        <w:tc>
          <w:tcPr>
            <w:tcW w:w="1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9840" w:type="dxa"/>
            <w:vAlign w:val="bottom"/>
            <w:gridSpan w:val="14"/>
          </w:tcPr>
          <w:p>
            <w:pPr>
              <w:spacing w:after="0" w:line="196" w:lineRule="exact"/>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w:t>
              </w:r>
            </w:hyperlink>
          </w:p>
        </w:tc>
      </w:tr>
      <w:tr>
        <w:trPr>
          <w:trHeight w:val="196"/>
        </w:trPr>
        <w:tc>
          <w:tcPr>
            <w:tcW w:w="1380" w:type="dxa"/>
            <w:vAlign w:val="bottom"/>
          </w:tcPr>
          <w:p>
            <w:pPr>
              <w:spacing w:after="0"/>
              <w:rPr>
                <w:sz w:val="17"/>
                <w:szCs w:val="17"/>
                <w:color w:val="auto"/>
              </w:rPr>
            </w:pPr>
          </w:p>
        </w:tc>
        <w:tc>
          <w:tcPr>
            <w:tcW w:w="9600" w:type="dxa"/>
            <w:vAlign w:val="bottom"/>
            <w:tcBorders>
              <w:top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Oxley Act of 2002.</w:t>
              </w:r>
            </w:hyperlink>
          </w:p>
        </w:tc>
        <w:tc>
          <w:tcPr>
            <w:tcW w:w="240" w:type="dxa"/>
            <w:vAlign w:val="bottom"/>
            <w:gridSpan w:val="3"/>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8180" w:type="dxa"/>
            <w:vAlign w:val="bottom"/>
            <w:gridSpan w:val="8"/>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r>
      <w:tr>
        <w:trPr>
          <w:trHeight w:val="196"/>
        </w:trPr>
        <w:tc>
          <w:tcPr>
            <w:tcW w:w="1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956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246">
              <w:r>
                <w:rPr>
                  <w:rFonts w:ascii="Times New Roman" w:cs="Times New Roman" w:eastAsia="Times New Roman" w:hAnsi="Times New Roman"/>
                  <w:sz w:val="18"/>
                  <w:szCs w:val="18"/>
                  <w:color w:val="0000FF"/>
                  <w:w w:val="99"/>
                </w:rPr>
                <w:t>Certification of Principal Financial Officer Pursuant to 18 U.S.C. Section 1350, as Adopted Pursuant to Section 906 of the Sarbanes-</w:t>
              </w:r>
            </w:hyperlink>
          </w:p>
        </w:tc>
        <w:tc>
          <w:tcPr>
            <w:tcW w:w="280" w:type="dxa"/>
            <w:vAlign w:val="bottom"/>
            <w:gridSpan w:val="4"/>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840" w:type="dxa"/>
            <w:vAlign w:val="bottom"/>
            <w:gridSpan w:val="14"/>
          </w:tcPr>
          <w:p>
            <w:pPr>
              <w:spacing w:after="0" w:line="196" w:lineRule="exact"/>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Oxley Act of 2002.</w:t>
              </w:r>
            </w:hyperlink>
          </w:p>
        </w:tc>
      </w:tr>
      <w:tr>
        <w:trPr>
          <w:trHeight w:val="20"/>
        </w:trPr>
        <w:tc>
          <w:tcPr>
            <w:tcW w:w="138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8460" w:type="dxa"/>
            <w:vAlign w:val="bottom"/>
            <w:gridSpan w:val="12"/>
          </w:tcPr>
          <w:p>
            <w:pPr>
              <w:spacing w:after="0" w:line="20" w:lineRule="exact"/>
              <w:rPr>
                <w:sz w:val="1"/>
                <w:szCs w:val="1"/>
                <w:color w:val="auto"/>
              </w:rPr>
            </w:pPr>
          </w:p>
        </w:tc>
      </w:tr>
      <w:tr>
        <w:trPr>
          <w:trHeight w:val="21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101.INS ***</w:t>
            </w:r>
          </w:p>
        </w:tc>
        <w:tc>
          <w:tcPr>
            <w:tcW w:w="9840" w:type="dxa"/>
            <w:vAlign w:val="bottom"/>
            <w:gridSpan w:val="14"/>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XBRL tags are embedded</w:t>
            </w:r>
          </w:p>
        </w:tc>
      </w:tr>
      <w:tr>
        <w:trPr>
          <w:trHeight w:val="216"/>
        </w:trPr>
        <w:tc>
          <w:tcPr>
            <w:tcW w:w="1380" w:type="dxa"/>
            <w:vAlign w:val="bottom"/>
          </w:tcPr>
          <w:p>
            <w:pPr>
              <w:spacing w:after="0"/>
              <w:rPr>
                <w:sz w:val="18"/>
                <w:szCs w:val="18"/>
                <w:color w:val="auto"/>
              </w:rPr>
            </w:pPr>
          </w:p>
        </w:tc>
        <w:tc>
          <w:tcPr>
            <w:tcW w:w="98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101.SCH ****</w:t>
            </w:r>
          </w:p>
        </w:tc>
        <w:tc>
          <w:tcPr>
            <w:tcW w:w="98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r>
        <w:trPr>
          <w:trHeight w:val="234"/>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104 ***</w:t>
            </w:r>
          </w:p>
        </w:tc>
        <w:tc>
          <w:tcPr>
            <w:tcW w:w="98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98" w:lineRule="exact"/>
        <w:rPr>
          <w:sz w:val="20"/>
          <w:szCs w:val="20"/>
          <w:color w:val="auto"/>
        </w:rPr>
      </w:pPr>
    </w:p>
    <w:p>
      <w:pPr>
        <w:ind w:left="1360" w:hanging="1248"/>
        <w:spacing w:after="0"/>
        <w:tabs>
          <w:tab w:leader="none" w:pos="1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1360" w:hanging="1248"/>
        <w:spacing w:after="0"/>
        <w:tabs>
          <w:tab w:leader="none" w:pos="1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9" w:lineRule="exact"/>
        <w:rPr>
          <w:sz w:val="20"/>
          <w:szCs w:val="20"/>
          <w:color w:val="auto"/>
        </w:rPr>
      </w:pPr>
    </w:p>
    <w:p>
      <w:pPr>
        <w:ind w:left="1360" w:hanging="1248"/>
        <w:spacing w:after="0"/>
        <w:tabs>
          <w:tab w:leader="none" w:pos="1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or arrangement.</w:t>
      </w:r>
    </w:p>
    <w:p>
      <w:pPr>
        <w:spacing w:after="0" w:line="9" w:lineRule="exact"/>
        <w:rPr>
          <w:sz w:val="20"/>
          <w:szCs w:val="20"/>
          <w:color w:val="auto"/>
        </w:rPr>
      </w:pPr>
    </w:p>
    <w:p>
      <w:pPr>
        <w:ind w:left="1360" w:hanging="1248"/>
        <w:spacing w:after="0"/>
        <w:tabs>
          <w:tab w:leader="none" w:pos="1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schedules and exhibits to this agreement have been omitted pursuant to Item 601(b)(2) of Regulation S-K. A copy of any omitted</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schedule and/or exhibit will be furnished to the SEC upon request.</w:t>
      </w:r>
    </w:p>
    <w:p>
      <w:pPr>
        <w:spacing w:after="0" w:line="9" w:lineRule="exact"/>
        <w:rPr>
          <w:sz w:val="20"/>
          <w:szCs w:val="20"/>
          <w:color w:val="auto"/>
        </w:rPr>
      </w:pPr>
    </w:p>
    <w:p>
      <w:pPr>
        <w:ind w:left="1360" w:right="400" w:hanging="1248"/>
        <w:spacing w:after="0" w:line="250" w:lineRule="auto"/>
        <w:tabs>
          <w:tab w:leader="none" w:pos="1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XBRL Instance Document and Cover Page Interactive Data File do not appear in the Interactive Data File because their XBRL tags are embedded within the Inline XBRL document.</w:t>
      </w:r>
    </w:p>
    <w:p>
      <w:pPr>
        <w:ind w:left="1360" w:hanging="1248"/>
        <w:spacing w:after="0"/>
        <w:tabs>
          <w:tab w:leader="none" w:pos="1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Submitted electronically herewith.</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2" w:right="359" w:bottom="1440" w:gutter="0" w:footer="0" w:header="0"/>
        </w:sectPr>
      </w:pPr>
    </w:p>
    <w:bookmarkStart w:id="58" w:name="page59"/>
    <w:bookmarkEnd w:id="5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Securities Exchange Act of 1934, the registrant has duly caused this report to be signed on its behalf by the undersigned, thereunto duly authorized, on May 15, 2026.</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74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BANZAI INTERNATIONAL, INC.</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2026</w:t>
            </w:r>
          </w:p>
        </w:tc>
        <w:tc>
          <w:tcPr>
            <w:tcW w:w="254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Joseph Davy</w:t>
            </w:r>
          </w:p>
        </w:tc>
      </w:tr>
      <w:tr>
        <w:trPr>
          <w:trHeight w:val="187"/>
        </w:trPr>
        <w:tc>
          <w:tcPr>
            <w:tcW w:w="35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2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Joseph Davy</w:t>
            </w:r>
          </w:p>
        </w:tc>
      </w:tr>
      <w:tr>
        <w:trPr>
          <w:trHeight w:val="238"/>
        </w:trPr>
        <w:tc>
          <w:tcPr>
            <w:tcW w:w="35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Executive Officer</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2026</w:t>
            </w:r>
          </w:p>
        </w:tc>
        <w:tc>
          <w:tcPr>
            <w:tcW w:w="254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Dean Ditto</w:t>
            </w:r>
          </w:p>
        </w:tc>
      </w:tr>
      <w:tr>
        <w:trPr>
          <w:trHeight w:val="187"/>
        </w:trPr>
        <w:tc>
          <w:tcPr>
            <w:tcW w:w="35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2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Dean Ditto</w:t>
            </w:r>
          </w:p>
        </w:tc>
      </w:tr>
      <w:tr>
        <w:trPr>
          <w:trHeight w:val="238"/>
        </w:trPr>
        <w:tc>
          <w:tcPr>
            <w:tcW w:w="35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864"/>
        </w:trPr>
        <w:tc>
          <w:tcPr>
            <w:tcW w:w="3500" w:type="dxa"/>
            <w:vAlign w:val="bottom"/>
          </w:tcPr>
          <w:p>
            <w:pPr>
              <w:spacing w:after="0"/>
              <w:rPr>
                <w:sz w:val="24"/>
                <w:szCs w:val="24"/>
                <w:color w:val="auto"/>
              </w:rPr>
            </w:pPr>
          </w:p>
        </w:tc>
        <w:tc>
          <w:tcPr>
            <w:tcW w:w="2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59</w:t>
            </w:r>
          </w:p>
        </w:tc>
        <w:tc>
          <w:tcPr>
            <w:tcW w:w="5200" w:type="dxa"/>
            <w:vAlign w:val="bottom"/>
          </w:tcPr>
          <w:p>
            <w:pPr>
              <w:spacing w:after="0"/>
              <w:rPr>
                <w:sz w:val="24"/>
                <w:szCs w:val="24"/>
                <w:color w:val="auto"/>
              </w:rPr>
            </w:pPr>
          </w:p>
        </w:tc>
      </w:tr>
      <w:tr>
        <w:trPr>
          <w:trHeight w:val="763"/>
        </w:trPr>
        <w:tc>
          <w:tcPr>
            <w:tcW w:w="350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sectPr>
      <w:pgSz w:w="11900" w:h="16838" w:orient="portrait"/>
      <w:cols w:equalWidth="0" w:num="1">
        <w:col w:w="11240"/>
      </w:cols>
      <w:pgMar w:left="320" w:top="98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lvl w:ilvl="1">
      <w:lvlJc w:val="left"/>
      <w:lvlText w:val="☐"/>
      <w:numFmt w:val="bullet"/>
      <w:start w:val="1"/>
    </w:lvl>
  </w:abstractNum>
  <w:abstractNum w:abstractNumId="1">
    <w:nsid w:val="1190CDE7"/>
    <w:multiLevelType w:val="hybridMultilevel"/>
    <w:lvl w:ilvl="0">
      <w:lvlJc w:val="left"/>
      <w:lvlText w:val="%1."/>
      <w:numFmt w:val="decimal"/>
      <w:start w:val="1"/>
    </w:lvl>
  </w:abstractNum>
  <w:abstractNum w:abstractNumId="2">
    <w:nsid w:val="66EF438D"/>
    <w:multiLevelType w:val="hybridMultilevel"/>
    <w:lvl w:ilvl="0">
      <w:lvlJc w:val="left"/>
      <w:lvlText w:val="(%1)"/>
      <w:numFmt w:val="lowerRoman"/>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1)"/>
      <w:numFmt w:val="lowerRoman"/>
      <w:start w:val="1"/>
    </w:lvl>
  </w:abstractNum>
  <w:abstractNum w:abstractNumId="5">
    <w:nsid w:val="109CF92E"/>
    <w:multiLevelType w:val="hybridMultilevel"/>
    <w:lvl w:ilvl="0">
      <w:lvlJc w:val="left"/>
      <w:lvlText w:val="(%1)"/>
      <w:numFmt w:val="lowerRoman"/>
      <w:start w:val="2"/>
    </w:lvl>
  </w:abstractNum>
  <w:abstractNum w:abstractNumId="6">
    <w:nsid w:val="DED7263"/>
    <w:multiLevelType w:val="hybridMultilevel"/>
    <w:lvl w:ilvl="0">
      <w:lvlJc w:val="left"/>
      <w:lvlText w:val="(%1)"/>
      <w:numFmt w:val="lowerRoman"/>
      <w:start w:val="2"/>
    </w:lvl>
  </w:abstractNum>
  <w:abstractNum w:abstractNumId="7">
    <w:nsid w:val="7FDCC233"/>
    <w:multiLevelType w:val="hybridMultilevel"/>
    <w:lvl w:ilvl="0">
      <w:lvlJc w:val="left"/>
      <w:lvlText w:val="1"/>
      <w:numFmt w:val="bullet"/>
      <w:start w:val="1"/>
    </w:lvl>
  </w:abstractNum>
  <w:abstractNum w:abstractNumId="8">
    <w:nsid w:val="1BEFD79F"/>
    <w:multiLevelType w:val="hybridMultilevel"/>
    <w:lvl w:ilvl="0">
      <w:lvlJc w:val="left"/>
      <w:lvlText w:val="1"/>
      <w:numFmt w:val="bullet"/>
      <w:start w:val="1"/>
    </w:lvl>
  </w:abstractNum>
  <w:abstractNum w:abstractNumId="9">
    <w:nsid w:val="41A7C4C9"/>
    <w:multiLevelType w:val="hybridMultilevel"/>
    <w:lvl w:ilvl="0">
      <w:lvlJc w:val="left"/>
      <w:lvlText w:val="2"/>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
      <w:numFmt w:val="bullet"/>
      <w:start w:val="1"/>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34" Type="http://schemas.openxmlformats.org/officeDocument/2006/relationships/image" Target="media/image203.png"/><Relationship Id="rId235" Type="http://schemas.openxmlformats.org/officeDocument/2006/relationships/image" Target="media/image204.png"/><Relationship Id="rId247" Type="http://schemas.openxmlformats.org/officeDocument/2006/relationships/image" Target="media/image205.png"/><Relationship Id="rId248" Type="http://schemas.openxmlformats.org/officeDocument/2006/relationships/image" Target="media/image206.png"/><Relationship Id="rId249" Type="http://schemas.openxmlformats.org/officeDocument/2006/relationships/image" Target="media/image207.png"/><Relationship Id="rId210" Type="http://schemas.openxmlformats.org/officeDocument/2006/relationships/hyperlink" Target="https://www.sec.gov/Archives/edgar/data/1826011/000149315225012412/ex1-1.htm" TargetMode="External"/><Relationship Id="rId211" Type="http://schemas.openxmlformats.org/officeDocument/2006/relationships/hyperlink" Target="https://www.sec.gov/Archives/edgar/data/1826011/000119312523225201/d441541ds4.htm#rom441541_40" TargetMode="External"/><Relationship Id="rId212" Type="http://schemas.openxmlformats.org/officeDocument/2006/relationships/hyperlink" Target="https://www.sec.gov/Archives/edgar/data/1826011/000119312523225201/d441541ds4.htm#rom441541_41" TargetMode="External"/><Relationship Id="rId213" Type="http://schemas.openxmlformats.org/officeDocument/2006/relationships/hyperlink" Target="https://www.sec.gov/Archives/edgar/data/1826011/000149315224049374/ex2-1.htm" TargetMode="External"/><Relationship Id="rId214" Type="http://schemas.openxmlformats.org/officeDocument/2006/relationships/hyperlink" Target="https://www.sec.gov/Archives/edgar/data/1826011/000149315224050891/ex2-1.htm" TargetMode="External"/><Relationship Id="rId215" Type="http://schemas.openxmlformats.org/officeDocument/2006/relationships/hyperlink" Target="https://www.sec.gov/Archives/edgar/data/1826011/000149315225003319/ex2-1.htm" TargetMode="External"/><Relationship Id="rId216" Type="http://schemas.openxmlformats.org/officeDocument/2006/relationships/hyperlink" Target="https://www.sec.gov/Archives/edgar/data/1826011/000119312523300033/d449527dex31.htm" TargetMode="External"/><Relationship Id="rId217" Type="http://schemas.openxmlformats.org/officeDocument/2006/relationships/hyperlink" Target="https://www.sec.gov/Archives/edgar/data/1826011/000119312523300033/d449527dex32.htm" TargetMode="External"/><Relationship Id="rId218" Type="http://schemas.openxmlformats.org/officeDocument/2006/relationships/hyperlink" Target="https://www.sec.gov/Archives/edgar/data/1826011/000149315225009079/ex3-2.htm" TargetMode="External"/><Relationship Id="rId219" Type="http://schemas.openxmlformats.org/officeDocument/2006/relationships/hyperlink" Target="https://www.sec.gov/Archives/edgar/data/1826011/000149315224036413/ex3-1.htm" TargetMode="External"/><Relationship Id="rId220" Type="http://schemas.openxmlformats.org/officeDocument/2006/relationships/hyperlink" Target="https://www.sec.gov/Archives/edgar/data/1826011/000149315225009079/ex3-1.htm" TargetMode="External"/><Relationship Id="rId221" Type="http://schemas.openxmlformats.org/officeDocument/2006/relationships/hyperlink" Target="https://www.sec.gov/Archives/edgar/data/1826011/000164117225016949/ex3-1.htm" TargetMode="External"/><Relationship Id="rId222" Type="http://schemas.openxmlformats.org/officeDocument/2006/relationships/hyperlink" Target="https://www.sec.gov/Archives/edgar/data/1826011/000119312526187087/bnzi-ex3_1.htm" TargetMode="External"/><Relationship Id="rId223" Type="http://schemas.openxmlformats.org/officeDocument/2006/relationships/hyperlink" Target="https://www.sec.gov/Archives/edgar/data/1826011/000119312523300033/d449527dex41.htm" TargetMode="External"/><Relationship Id="rId224" Type="http://schemas.openxmlformats.org/officeDocument/2006/relationships/hyperlink" Target="https://www.sec.gov/Archives/edgar/data/1826011/000119312523300033/d449527dex42.htm" TargetMode="External"/><Relationship Id="rId225" Type="http://schemas.openxmlformats.org/officeDocument/2006/relationships/hyperlink" Target="https://www.sec.gov/Archives/edgar/data/1826011/000119312523300033/d449527dex43.htm" TargetMode="External"/><Relationship Id="rId226" Type="http://schemas.openxmlformats.org/officeDocument/2006/relationships/hyperlink" Target="https://www.sec.gov/Archives/edgar/data/1826011/000121390020044825/ea132294ex4-1_7gcholdings.htm" TargetMode="External"/><Relationship Id="rId227" Type="http://schemas.openxmlformats.org/officeDocument/2006/relationships/hyperlink" Target="https://www.sec.gov/Archives/edgar/data/1826011/000119312523225201/d441541dex47.htm" TargetMode="External"/><Relationship Id="rId228" Type="http://schemas.openxmlformats.org/officeDocument/2006/relationships/hyperlink" Target="https://www.sec.gov/Archives/edgar/data/1826011/000119312523300033/d449527dex45.htm" TargetMode="External"/><Relationship Id="rId229" Type="http://schemas.openxmlformats.org/officeDocument/2006/relationships/hyperlink" Target="https://www.sec.gov/Archives/edgar/data/1826011/000119312523300033/d449527dex47.htm" TargetMode="External"/><Relationship Id="rId230" Type="http://schemas.openxmlformats.org/officeDocument/2006/relationships/hyperlink" Target="https://www.sec.gov/Archives/edgar/data/1826011/000119312523297160/d564833dex102.htm" TargetMode="External"/><Relationship Id="rId231" Type="http://schemas.openxmlformats.org/officeDocument/2006/relationships/hyperlink" Target="https://www.sec.gov/Archives/edgar/data/1826011/000119312524023808/d567008dex411.htm" TargetMode="External"/><Relationship Id="rId232" Type="http://schemas.openxmlformats.org/officeDocument/2006/relationships/hyperlink" Target="https://www.sec.gov/Archives/edgar/data/1826011/000095017025054303/bnzi-ex4_10.htm" TargetMode="External"/><Relationship Id="rId233" Type="http://schemas.openxmlformats.org/officeDocument/2006/relationships/hyperlink" Target="https://www.sec.gov/Archives/edgar/data/1826011/000149315224050696/ex3-1.htm" TargetMode="External"/><Relationship Id="rId236" Type="http://schemas.openxmlformats.org/officeDocument/2006/relationships/hyperlink" Target="https://www.sec.gov/Archives/edgar/data/1826011/000164117225017861/ex4-1.htm" TargetMode="External"/><Relationship Id="rId237" Type="http://schemas.openxmlformats.org/officeDocument/2006/relationships/hyperlink" Target="https://www.sec.gov/Archives/edgar/data/1826011/000164117225017861/ex4-2.htm" TargetMode="External"/><Relationship Id="rId238" Type="http://schemas.openxmlformats.org/officeDocument/2006/relationships/hyperlink" Target="https://www.sec.gov/Archives/edgar/data/1826011/000149315225012268/ex4-3.htm" TargetMode="External"/><Relationship Id="rId239" Type="http://schemas.openxmlformats.org/officeDocument/2006/relationships/hyperlink" Target="https://www.sec.gov/Archives/edgar/data/1826011/000149315225012268/ex4-4.htm" TargetMode="External"/><Relationship Id="rId240" Type="http://schemas.openxmlformats.org/officeDocument/2006/relationships/hyperlink" Target="https://www.sec.gov/Archives/edgar/data/1826011/000149315226006807/ex4-3.htm" TargetMode="External"/><Relationship Id="rId241" Type="http://schemas.openxmlformats.org/officeDocument/2006/relationships/hyperlink" Target="https://www.sec.gov/Archives/edgar/data/1826011/000149315226006807/ex4-4.htm" TargetMode="External"/><Relationship Id="rId242" Type="http://schemas.openxmlformats.org/officeDocument/2006/relationships/hyperlink" Target="https://www.sec.gov/Archives/edgar/data/1826011/000119312526206397/bnzi-ex10_3.htm" TargetMode="External"/><Relationship Id="rId243" Type="http://schemas.openxmlformats.org/officeDocument/2006/relationships/hyperlink" Target="https://www.sec.gov/Archives/edgar/data/1826011/000119312526226795/bnzi-ex31_1.htm" TargetMode="External"/><Relationship Id="rId244" Type="http://schemas.openxmlformats.org/officeDocument/2006/relationships/hyperlink" Target="https://www.sec.gov/Archives/edgar/data/1826011/000119312526226795/bnzi-ex31_2.htm" TargetMode="External"/><Relationship Id="rId245" Type="http://schemas.openxmlformats.org/officeDocument/2006/relationships/hyperlink" Target="https://www.sec.gov/Archives/edgar/data/1826011/000119312526226795/bnzi-ex32_1.htm" TargetMode="External"/><Relationship Id="rId246" Type="http://schemas.openxmlformats.org/officeDocument/2006/relationships/hyperlink" Target="https://www.sec.gov/Archives/edgar/data/1826011/000119312526226795/bnzi-ex32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2026-05-18T15:26:04Z</dcterms:created>
  <dcterms:modified xsi:type="dcterms:W3CDTF">2026-05-18T15:26:04Z</dcterms:modified>
</cp:coreProperties>
</file>