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June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101__20"/>
      <w:bookmarkEnd w:id="2"/>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B_edei--EntityRegistrantName_c2026"/>
      <w:bookmarkEnd w:id="3"/>
      <w:r>
        <w:rPr>
          <w:rFonts w:ascii="Times New Roman;Times;Serif" w:hAnsi="Times New Roman;Times;Serif"/>
          <w:b/>
          <w:i w:val="false"/>
          <w:caps w:val="false"/>
          <w:smallCaps w:val="false"/>
          <w:sz w:val="36"/>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2720"/>
        <w:gridCol w:w="60"/>
        <w:gridCol w:w="2525"/>
        <w:gridCol w:w="6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6_edei--EntityIncorporationStateCo"/>
            <w:bookmarkEnd w:id="4"/>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PrimarySicNumber_c20"/>
            <w:bookmarkEnd w:id="5"/>
            <w:r>
              <w:rPr>
                <w:rFonts w:ascii="Times New Roman;Times;Serif" w:hAnsi="Times New Roman;Times;Serif"/>
                <w:b/>
                <w:i w:val="false"/>
                <w:caps w:val="false"/>
                <w:smallCaps w:val="false"/>
                <w:sz w:val="20"/>
              </w:rPr>
              <w:t>7372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TaxIdentificationNum"/>
            <w:bookmarkEnd w:id="6"/>
            <w:r>
              <w:rPr>
                <w:rFonts w:ascii="Times New Roman;Times;Serif" w:hAnsi="Times New Roman;Times;Serif"/>
                <w:b/>
                <w:i w:val="false"/>
                <w:caps w:val="false"/>
                <w:smallCaps w:val="false"/>
                <w:sz w:val="20"/>
              </w:rPr>
              <w:t>85-3118980</w:t>
            </w:r>
          </w:p>
        </w:tc>
      </w:tr>
      <w:tr>
        <w:trPr/>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D_edei--EntityAddressAddressLine1_"/>
      <w:bookmarkEnd w:id="7"/>
      <w:r>
        <w:rPr>
          <w:rFonts w:ascii="Times New Roman;Times;Serif" w:hAnsi="Times New Roman;Times;Serif"/>
          <w:b/>
          <w:i w:val="false"/>
          <w:caps w:val="false"/>
          <w:smallCaps w:val="false"/>
          <w:sz w:val="20"/>
        </w:rPr>
        <w:t xml:space="preserve">435 Ericksen Ave, </w:t>
      </w:r>
      <w:bookmarkStart w:id="8" w:name="xdx_907_edei--EntityAddressAddressLine2_"/>
      <w:bookmarkEnd w:id="8"/>
      <w:r>
        <w:rPr>
          <w:rFonts w:ascii="Times New Roman;Times;Serif" w:hAnsi="Times New Roman;Times;Serif"/>
          <w:b/>
          <w:i w:val="false"/>
          <w:caps w:val="false"/>
          <w:smallCaps w:val="false"/>
          <w:sz w:val="20"/>
        </w:rPr>
        <w:t>Suite 250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Bainbridge Island, </w:t>
      </w:r>
      <w:bookmarkStart w:id="10" w:name="xdx_90F_edei--EntityAddressStateOrProvin"/>
      <w:bookmarkEnd w:id="10"/>
      <w:r>
        <w:rPr>
          <w:rFonts w:ascii="Times New Roman;Times;Serif" w:hAnsi="Times New Roman;Times;Serif"/>
          <w:b/>
          <w:i w:val="false"/>
          <w:caps w:val="false"/>
          <w:smallCaps w:val="false"/>
          <w:sz w:val="20"/>
        </w:rPr>
        <w:t xml:space="preserve">Washington </w:t>
      </w:r>
      <w:bookmarkStart w:id="11" w:name="xdx_90B_edei--EntityAddressPostalZipCode"/>
      <w:bookmarkEnd w:id="11"/>
      <w:r>
        <w:rPr>
          <w:rFonts w:ascii="Times New Roman;Times;Serif" w:hAnsi="Times New Roman;Times;Serif"/>
          <w:b/>
          <w:i w:val="false"/>
          <w:caps w:val="false"/>
          <w:smallCaps w:val="false"/>
          <w:sz w:val="20"/>
        </w:rPr>
        <w:t>98110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12" w:name="xdx_906_edei--CityAreaCode_c20260101__20"/>
      <w:bookmarkEnd w:id="12"/>
      <w:r>
        <w:rPr>
          <w:rFonts w:ascii="Times New Roman;Times;Serif" w:hAnsi="Times New Roman;Times;Serif"/>
          <w:b/>
          <w:i w:val="false"/>
          <w:caps w:val="false"/>
          <w:smallCaps w:val="false"/>
          <w:sz w:val="20"/>
        </w:rPr>
        <w:t xml:space="preserve">(206) </w:t>
      </w:r>
      <w:bookmarkStart w:id="13" w:name="xdx_902_edei--LocalPhoneNumber_c20260101"/>
      <w:bookmarkEnd w:id="13"/>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2_edei--ContactPersonnelName_c2026"/>
      <w:bookmarkEnd w:id="14"/>
      <w:r>
        <w:rPr>
          <w:rFonts w:ascii="Times New Roman;Times;Serif" w:hAnsi="Times New Roman;Times;Serif"/>
          <w:b/>
          <w:i w:val="false"/>
          <w:caps w:val="false"/>
          <w:smallCaps w:val="false"/>
          <w:sz w:val="20"/>
        </w:rPr>
        <w:t>Joseph Davy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B_edei--EntityAddressAddressLine1_"/>
      <w:bookmarkEnd w:id="15"/>
      <w:r>
        <w:rPr>
          <w:rFonts w:ascii="Times New Roman;Times;Serif" w:hAnsi="Times New Roman;Times;Serif"/>
          <w:b/>
          <w:i w:val="false"/>
          <w:caps w:val="false"/>
          <w:smallCaps w:val="false"/>
          <w:sz w:val="20"/>
        </w:rPr>
        <w:t xml:space="preserve">435 Ericksen Ave, </w:t>
      </w:r>
      <w:bookmarkStart w:id="16" w:name="xdx_903_edei--EntityAddressAddressLine2_"/>
      <w:bookmarkEnd w:id="16"/>
      <w:r>
        <w:rPr>
          <w:rFonts w:ascii="Times New Roman;Times;Serif" w:hAnsi="Times New Roman;Times;Serif"/>
          <w:b/>
          <w:i w:val="false"/>
          <w:caps w:val="false"/>
          <w:smallCaps w:val="false"/>
          <w:sz w:val="20"/>
        </w:rPr>
        <w:t>Suite 250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8_edei--EntityAddressCityOrTown_c2"/>
      <w:bookmarkEnd w:id="17"/>
      <w:r>
        <w:rPr>
          <w:rFonts w:ascii="Times New Roman;Times;Serif" w:hAnsi="Times New Roman;Times;Serif"/>
          <w:b/>
          <w:i w:val="false"/>
          <w:caps w:val="false"/>
          <w:smallCaps w:val="false"/>
          <w:sz w:val="20"/>
        </w:rPr>
        <w:t xml:space="preserve">Bainbridge Island, </w:t>
      </w:r>
      <w:bookmarkStart w:id="18" w:name="xdx_901_edei--EntityAddressStateOrProvin"/>
      <w:bookmarkEnd w:id="18"/>
      <w:r>
        <w:rPr>
          <w:rFonts w:ascii="Times New Roman;Times;Serif" w:hAnsi="Times New Roman;Times;Serif"/>
          <w:b/>
          <w:i w:val="false"/>
          <w:caps w:val="false"/>
          <w:smallCaps w:val="false"/>
          <w:sz w:val="20"/>
        </w:rPr>
        <w:t xml:space="preserve">Washington </w:t>
      </w:r>
      <w:bookmarkStart w:id="19" w:name="xdx_904_edei--EntityAddressPostalZipCode"/>
      <w:bookmarkEnd w:id="19"/>
      <w:r>
        <w:rPr>
          <w:rFonts w:ascii="Times New Roman;Times;Serif" w:hAnsi="Times New Roman;Times;Serif"/>
          <w:b/>
          <w:i w:val="false"/>
          <w:caps w:val="false"/>
          <w:smallCaps w:val="false"/>
          <w:sz w:val="20"/>
        </w:rPr>
        <w:t>98110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w:t>
      </w:r>
      <w:bookmarkStart w:id="20" w:name="xdx_904_edei--CityAreaCode_c20260101__20"/>
      <w:bookmarkEnd w:id="20"/>
      <w:r>
        <w:rPr>
          <w:rFonts w:ascii="Times New Roman;Times;Serif" w:hAnsi="Times New Roman;Times;Serif"/>
          <w:b/>
          <w:i w:val="false"/>
          <w:caps w:val="false"/>
          <w:smallCaps w:val="false"/>
          <w:sz w:val="20"/>
        </w:rPr>
        <w:t xml:space="preserve">(206) </w:t>
      </w:r>
      <w:bookmarkStart w:id="21" w:name="xdx_906_edei--LocalPhoneNumber_c20260101"/>
      <w:bookmarkEnd w:id="21"/>
      <w:r>
        <w:rPr>
          <w:rFonts w:ascii="Times New Roman;Times;Serif" w:hAnsi="Times New Roman;Times;Serif"/>
          <w:b/>
          <w:i w:val="false"/>
          <w:caps w:val="false"/>
          <w:smallCaps w:val="false"/>
          <w:sz w:val="20"/>
        </w:rPr>
        <w:t>414-1777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Taubman,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(917) 512-0827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5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3" w:name="xdx_90F_edei--EntitySmallBusiness_c20260"/>
            <w:bookmarkEnd w:id="23"/>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4" w:name="xdx_903_edei--EntityEmergingGrowthCompan"/>
            <w:bookmarkEnd w:id="24"/>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Neither we nor the selling securityholder named herein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345" w:type="dxa"/>
        <w:jc w:val="left"/>
        <w:tblInd w:w="0" w:type="dxa"/>
        <w:tblLayout w:type="fixed"/>
        <w:tblCellMar>
          <w:top w:w="0" w:type="dxa"/>
          <w:left w:w="0" w:type="dxa"/>
          <w:bottom w:w="0" w:type="dxa"/>
          <w:right w:w="0" w:type="dxa"/>
        </w:tblCellMar>
      </w:tblPr>
      <w:tblGrid>
        <w:gridCol w:w="2750"/>
        <w:gridCol w:w="4595"/>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459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COMPLETION-DATED JUNE 4,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667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61912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2,309,107 shares of Class A Common Stock underlying the Notes; and Up to 1,422,639 shares of Class A Common Stock underlying the Common Warrants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stockholders named herein (collectively, the “Selling Stockholders”) of up to an aggregate of 3,731,746 shares of Class A common stock, par value $0.0001 per share (the “Class A Common Stock” or “Common Stock”), of Banzai International, Inc., a Delaware corporation (the “Company”) consisting of (i) 2,309,107 shares of Class A Common Stock issuable upon the conversion of a senior secured convertible note (the “Note”) in the original principal amount of $11,000,000 plus accrued interest issued pursuant to a securities purchase agreement, dated June 27, 2025, by and between the Company and an institutional investor (the “Purchase Agreement”) (the shares of Common Stock issuable pursuant to the terms of the Notes, including, without limitation, upon conversion or otherwise, collectively, the “Conversion Shares”) and (ii) shares of Class A Common Stock issuable upon the exercise of a warrant (the “Buyer Warrant”) to purchase up to 1,422,639 shares of Class A Common Stock (the “Warrant Shares”), also issued pursuant to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registered an aggregate of 9,004,003 shares of Class A Common Stock issuable pursuant to the Purchase Agreement to the Selling Stockholders, which shares consisted of (i) 8,332,759 shares of Class A Common Stock issuable upon conversion of the Note and (ii) shares of Class A Common Stock issuable upon the exercise of a warrant to purchase up to 671,244 shares of Class A Common Stock, in the Registration Statement on Form S-3 (File No. 333-289099) (the “Prior Registration Statement”), which the U.S. Securities and Exchange Commission (the “SEC”) declared effective on August 8, 2024. However, the Prior Registration Statement does not include enough shares of Class A Common Stock now issuable under the Note and Buyer Warrant due to the adjustment terms of the Note and Buyer Warrant, as further explained herein (See, “Recent Developments - Private Placement Offering (3i, LP).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sell, transfer, or otherwise dispose of any or all of their Class A Common Stock on any stock exchange, market, or trading facility on which the Class A Common Stock is traded or in private transactions. These dispositions may be at fixed prices, at prevailing market prices at the time of sale, at prices related to the prevailing market price, at varying prices determined at the time of sale, at negotiated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Class A Common Stock by the Selling Stockholders, but we will bear all costs, fees, and expenses in connection with the registration of the Class A Common Stock offered by the Selling Stockholders. The Selling Stockholders will bear all commissions or discounts, if any, attributable to the sale of the Class A Common Stock offered for resale through this prospectus. All net proceeds from the sale of the shares of common stock covered by this prospectus will go to the selling stockholders. However, we may receive the proceeds from any exercise of the Buyer Warrants if the holders do not exercise the Buyer Warrants on a cashless basis, of which there is no guarantee. See “Use of Proceeds.” For information regarding the Selling Stockholders and the times and manner in which they may offer or sell the Class A Common Stock, see “Selling Stockholders” and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“BNZI.” On June 2, 2026, the last reported sale price of our Class A Common Stock on Nasdaq was $3.31 per share. Our warrants, each exercisable for one share of Common Stock at a price of $115,000.00 per share, originally issued in our initial public offering (the “Public Warrants”), are currently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10 of this prospectus to read about factors you should consider before buying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June 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470"/>
        <w:gridCol w:w="6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both"/>
              <w:rPr/>
            </w:pPr>
            <w:hyperlink w:anchor="vb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vb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vb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vb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7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FFFF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70" w:type="dxa"/>
            <w:tcBorders/>
            <w:shd w:fill="FFFF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BUSINESS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947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MANAGEMENT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470" w:type="dxa"/>
            <w:tcBorders/>
            <w:shd w:fill="FFFFFF" w:val="clear"/>
            <w:vAlign w:val="center"/>
          </w:tcPr>
          <w:p>
            <w:pPr>
              <w:pStyle w:val="TableContents"/>
              <w:bidi w:val="0"/>
              <w:spacing w:before="0" w:after="283"/>
              <w:jc w:val="both"/>
              <w:rPr/>
            </w:pPr>
            <w:hyperlink w:anchor="sa_007">
              <w:r>
                <w:rPr>
                  <w:rStyle w:val="InternetLink"/>
                  <w:rFonts w:ascii="Times New Roman;Times;Serif" w:hAnsi="Times New Roman;Times;Serif"/>
                  <w:b w:val="false"/>
                  <w:i w:val="false"/>
                  <w:caps w:val="false"/>
                  <w:smallCaps w:val="false"/>
                  <w:sz w:val="20"/>
                </w:rPr>
                <w:t>EXECUTIVE AND DIRECTOR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470" w:type="dxa"/>
            <w:tcBorders/>
            <w:shd w:fill="CCEEFF" w:val="clear"/>
            <w:vAlign w:val="center"/>
          </w:tcPr>
          <w:p>
            <w:pPr>
              <w:pStyle w:val="TableContents"/>
              <w:bidi w:val="0"/>
              <w:spacing w:before="0" w:after="283"/>
              <w:jc w:val="both"/>
              <w:rPr/>
            </w:pPr>
            <w:hyperlink w:anchor="sa_008">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9470" w:type="dxa"/>
            <w:tcBorders/>
            <w:shd w:fill="FFFFFF" w:val="clear"/>
            <w:vAlign w:val="center"/>
          </w:tcPr>
          <w:p>
            <w:pPr>
              <w:pStyle w:val="TableContents"/>
              <w:bidi w:val="0"/>
              <w:spacing w:before="0" w:after="283"/>
              <w:jc w:val="both"/>
              <w:rPr/>
            </w:pPr>
            <w:hyperlink w:anchor="sa_009">
              <w:r>
                <w:rPr>
                  <w:rStyle w:val="InternetLink"/>
                  <w:rFonts w:ascii="Times New Roman;Times;Serif" w:hAnsi="Times New Roman;Times;Serif"/>
                  <w:b w:val="false"/>
                  <w:i w:val="false"/>
                  <w:caps w:val="false"/>
                  <w:smallCaps w:val="false"/>
                  <w:sz w:val="20"/>
                </w:rPr>
                <w:t>PRINCIPAL SECURITYHOLDERS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470" w:type="dxa"/>
            <w:tcBorders/>
            <w:shd w:fill="CCEEFF" w:val="clear"/>
            <w:vAlign w:val="center"/>
          </w:tcPr>
          <w:p>
            <w:pPr>
              <w:pStyle w:val="TableContents"/>
              <w:bidi w:val="0"/>
              <w:spacing w:before="0" w:after="283"/>
              <w:jc w:val="both"/>
              <w:rPr/>
            </w:pPr>
            <w:hyperlink w:anchor="sa_010">
              <w:r>
                <w:rPr>
                  <w:rStyle w:val="InternetLink"/>
                  <w:rFonts w:ascii="Times New Roman;Times;Serif" w:hAnsi="Times New Roman;Times;Serif"/>
                  <w:b w:val="false"/>
                  <w:i w:val="false"/>
                  <w:caps w:val="false"/>
                  <w:smallCaps w:val="false"/>
                  <w:sz w:val="20"/>
                </w:rPr>
                <w:t>SELLING SECURITYHOLDER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470" w:type="dxa"/>
            <w:tcBorders/>
            <w:shd w:fill="FFFFFF" w:val="cle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470" w:type="dxa"/>
            <w:tcBorders/>
            <w:shd w:fill="CCEEFF" w:val="clear"/>
            <w:vAlign w:val="center"/>
          </w:tcPr>
          <w:p>
            <w:pPr>
              <w:pStyle w:val="TableContents"/>
              <w:bidi w:val="0"/>
              <w:spacing w:before="0" w:after="283"/>
              <w:jc w:val="both"/>
              <w:rPr/>
            </w:pPr>
            <w:hyperlink w:anchor="sa_013">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470" w:type="dxa"/>
            <w:tcBorders/>
            <w:shd w:fill="FFFFFF" w:val="clear"/>
            <w:vAlign w:val="center"/>
          </w:tcPr>
          <w:p>
            <w:pPr>
              <w:pStyle w:val="TableContents"/>
              <w:bidi w:val="0"/>
              <w:spacing w:before="0" w:after="283"/>
              <w:jc w:val="both"/>
              <w:rPr/>
            </w:pPr>
            <w:hyperlink w:anchor="ta_009">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470" w:type="dxa"/>
            <w:tcBorders/>
            <w:shd w:fill="CCEEFF" w:val="clear"/>
            <w:vAlign w:val="center"/>
          </w:tcPr>
          <w:p>
            <w:pPr>
              <w:pStyle w:val="TableContents"/>
              <w:bidi w:val="0"/>
              <w:spacing w:before="0" w:after="283"/>
              <w:jc w:val="both"/>
              <w:rPr/>
            </w:pPr>
            <w:hyperlink w:anchor="ta_010">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FFFFFF" w:val="clear"/>
            <w:vAlign w:val="center"/>
          </w:tcPr>
          <w:p>
            <w:pPr>
              <w:pStyle w:val="TableContents"/>
              <w:bidi w:val="0"/>
              <w:spacing w:before="0" w:after="283"/>
              <w:jc w:val="both"/>
              <w:rPr/>
            </w:pPr>
            <w:hyperlink w:anchor="ta_011">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CCEEFF" w:val="clear"/>
            <w:vAlign w:val="center"/>
          </w:tcPr>
          <w:p>
            <w:pPr>
              <w:pStyle w:val="TableContents"/>
              <w:bidi w:val="0"/>
              <w:spacing w:before="0" w:after="283"/>
              <w:jc w:val="both"/>
              <w:rPr/>
            </w:pPr>
            <w:hyperlink w:anchor="ta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FFFFFF" w:val="clear"/>
            <w:vAlign w:val="center"/>
          </w:tcPr>
          <w:p>
            <w:pPr>
              <w:pStyle w:val="TableContents"/>
              <w:bidi w:val="0"/>
              <w:spacing w:before="0" w:after="283"/>
              <w:jc w:val="both"/>
              <w:rPr/>
            </w:pPr>
            <w:hyperlink w:anchor="ta_013">
              <w:r>
                <w:rPr>
                  <w:rStyle w:val="InternetLink"/>
                  <w:rFonts w:ascii="Times New Roman;Times;Serif" w:hAnsi="Times New Roman;Times;Serif"/>
                  <w:b w:val="false"/>
                  <w:i w:val="false"/>
                  <w:caps w:val="false"/>
                  <w:smallCaps w:val="false"/>
                  <w:sz w:val="20"/>
                </w:rPr>
                <w:t>INDEX TO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with in connection with this offering is accurate only as of the date of such free writing prospectus.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vb_001"/>
      <w:bookmarkEnd w:id="25"/>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vb_002"/>
      <w:bookmarkEnd w:id="2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vb_003"/>
      <w:bookmarkEnd w:id="27"/>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and in November 2025 we acquired the assets of Superblocks, in order to expand our product offerings and customer base. Our </w:t>
      </w:r>
      <w:r>
        <w:rPr>
          <w:rFonts w:ascii="Times New Roman;Times;Serif" w:hAnsi="Times New Roman;Times;Serif"/>
          <w:b w:val="false"/>
          <w:i w:val="false"/>
          <w:caps w:val="false"/>
          <w:smallCaps w:val="false"/>
          <w:sz w:val="20"/>
          <w:shd w:fill="FFFFFF" w:val="clear"/>
        </w:rPr>
        <w:t>platform currently includes several products, ranging across demand generation, webinar hosting, video creation and email newsletters.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stockholders holding approximately 40.52% of the Company’s voting power approved a 1-for-20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The Nasdaq Capital Market on May 8, 2026, under the symbol “BNZI,” and the reverse stock split reduced the number of outstanding shares of Class A and Class B common stock from 22,910,282 and 677,118 shares to 1,145,515 and 33,856 shares, respectively (the “May 2026 Reverse Stock Split”).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Asset Purchase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that certain Exchange Agreement (the “Agile Exchange Agreement”) by and among Agile Capital Funding, LLC, a New York limited liability company, and Agile Lending, LLC, a Virginia limited liability company (“Agile”), on the one hand, and the Company, on the other hand, pursuant to which the Company exchanged 11,640 shares of Common Stock, valued at $24.40 per share, for a reduction of the outstanding balance of that certain Subordinated Secured Promissory Note issued to Agile in the original principal amount of $4,000,000 (the “Agile Note”). In connection therewith, the Company entered into that certain Forbearance Agreement (the “Forbearance Agreement”), dated as of December 15, 2025, pursuant to which, among other things, the Company agreed to pay to Agile a forbearance fee of $628,058 in the form of an increase in the principal amount due under the Agile Note. Following the initial exchange, the Company and Agile entered into nine additional exchange agreements on substantially similar terms between January 2026 and May 2026 (each, a “Subsequent Exchange Agreement”), pursuant to which the Company issued an aggregate of 165,183 additional shares of Common Stock to Agile at prices ranging from $3.46 to $23.60 per share in exchange for corresponding reductions in the outstanding balance under the Agile Note (the Agile Exchange Agreement, the Subsequent Exchange Agreements, and the transactions contemplated thereby, collectively, the “Agile Exchanges”). Following these exchanges, the outstanding balance of the Agile Note was reduced to approximately $419 thousand.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Private Placement Offering (3i, LP)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$22.20 per share and issuance date of February 13, 2026 (the “February 3i Note,” together with the August Note, the October Note, and the Initial Note, are collectively referred to herein as the “Notes”), and additional warrants to purchase up to 21,021 shares of Common Stock, at an initial exercise price equal to $50.00 per share (the “February Warrants,” together with the August Warrant, the October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 The shares of Common Stock being registered for resale in this prospectus (as described on the cover page hereof) include shares issuable upon conversion of the Notes and exercise of the Buyer Warrants issued pursuant to the Purchase Agreement, including shares issuable as a result of the adjustment provisions described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$5.08. The Conversion Price of the Notes and the exercise price of the Buyer Warrants are each subject to adjustment pursuant to the terms of the Notes and Buyer Warrants, respectively, including: (i) customary adjustments for stock splits, stock dividends, recapitalizations and similar events; (ii) anti-dilution adjustments pursuant to which the Conversion Price or exercise price, as applicable, may be reduced if the Company issues or is deemed to issue shares of Common Stock or other convertible securities at a price below the then-applicable Conversion Price or exercise price; and (iii) certain alternative conversion pricing provisions contained in the Notes based on the market price of the Common Stock. As a result of these adjustment provisions, the number of shares of Common Stock issuable upon conversion of the Notes and exercise of the Buyer Warrants could increase materially above the number of shares initially issuable based on the original Conversion Price and exercise price, and the Company is registering additional shares of Common Stock pursuant to this prospectus to account for such potential increases.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Agile Exchanges that took place in late 2025 and 2026, the number of shares of Class A Common Stock issuable upon exercise of the Buyer Warrants was adjusted from 1,666,386 to 560,005 and the Exercise Price of the Buyer Warrant was adjusted from $1.11 to $3.303. In addition, pursuant to the anti-dilution provisions contained in the Notes, the conversion price of the Notes was automatically adjusted downward, which increased the number of shares issuable upon conversion of the Notes, although the outstanding principal amount of the Notes remained unchanged. Following the May 2026 Reverse Stock Split, the Buyer Warrants and Notes have a current Exercise Price and Conversion Price of $3.303 and $3.303,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$206 and received net proceeds of approximately $150, after discount and transaction fees. The note has a maturity date of January 30, 2027, and bears interest at 14%.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Loan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26,085 shares of Class A Common Stock, Warrants to purchase up to 56,555 shares of Class A Common Stock and Pre-Funded Warrants to purchase up to 30,470 shares of Class A Common Stock (collectively, the “CP BF Registrable Securities”). After giving effect to the purchase and sale pursuant to the CP BF SPA, the Company’s remaining obligation to CP BF was $8,758,775. CP BF agreed to convert such debt into a consolidated convertible note with a principal amount of $10,758,775 (the “Note”), via the Second Amendment to Loan Agreement, dated September 23, 2024 (the “Amended Loan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 (the “Floor Price”);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2.3(a)(i) of the Note, the Conversion Price was proportionately adjusted to reflect the May 2026 Reverse Stock Split. As of May 14, 2026, there was an aggregate of $5,361,910 outstanding under the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Issuances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Conversions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$142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a Standby Equity Purchase Agreement (as amended and supplemented from time to time, the “SEPA”), pursuant to which Yorkville has committed to purchase up to $100 million of Common Stock, subject to certain limitations and conditions set forth in the SEPA. The prior SEPA registration statements have been fully utilized. We previously registered shares of Class A Common Stock issuable under the SEPA on a registration statement on Form S-1 (File No. 333-290241), which became effective on September 19, 2025; as of the date hereof, 328,400 shares remain available for issuance thereunder. Since inception through the date of this prospectus, the Company has issued Advance Notices to Yorkville pursuant to the SEPA pursuant to which Yorkville has purchased an aggregate of approximately 1,046,731 shares of the Company’s Class A Common Stock for aggregate gross proceeds of approximately $23.4 million, approximately $5.8 million of which were applied against outstanding balances under the Yorkville Convertible Notes.  As of the date of this prospectus, the Yorkville Convertible Notes are fully repaid.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center"/>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in the past and may never achieve or maintain profitability.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with our current offerings, which makes it difficult to evaluate our current and future business prospects and increases the risk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tc>
      </w:tr>
    </w:tbl>
    <w:p>
      <w:pPr>
        <w:pStyle w:val="TextBody"/>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new customers on a cost-effective basis, our business will be harmed.</w:t>
            </w:r>
          </w:p>
        </w:tc>
      </w:tr>
    </w:tbl>
    <w:p>
      <w:pPr>
        <w:pStyle w:val="TextBody"/>
        <w:bidi w:val="0"/>
        <w:spacing w:before="0" w:after="0"/>
        <w:jc w:val="center"/>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growth, our business, results of operations, and financial condition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our growth initiatives, business strategies, or operating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assumptions, analyses, and estimates upon which our forecasts, projections and outlook are based prove to be incorrect or inaccurate, our actual results may differ materially from those forecasted or projected.</w:t>
            </w:r>
          </w:p>
        </w:tc>
      </w:tr>
    </w:tbl>
    <w:p>
      <w:pPr>
        <w:pStyle w:val="TextBody"/>
        <w:bidi w:val="0"/>
        <w:spacing w:before="0" w:after="0"/>
        <w:ind w:left="0"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and retain qualified personnel, our business could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a limited history working together operating the Company and, as a result, our past results may not be indicative of future operating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adequately fund our development efforts, we may not be able to compete effectively and our business and operating results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tc>
      </w:tr>
    </w:tbl>
    <w:p>
      <w:pPr>
        <w:pStyle w:val="TextBody"/>
        <w:bidi w:val="0"/>
        <w:spacing w:before="0" w:after="0"/>
        <w:ind w:left="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can be lengthy and unpredictable, which may cause our operating results to vary significantly.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data security breaches and ransomware attacks may create financial liabilities for us, damage our reputation, and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and regulations could impose additional costs and reduce demand for our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solutions, and internal systems, as well as external internet infrastructure, may be subject to disruption that could harm our reputation and future sales or result in claims against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in our product offerings could harm our reputation or decrease market acceptance of our product offerings, which would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maintain and enhance our brands, our business may suffer.</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to offset future taxable income may be subject to certain limitations.</w:t>
            </w:r>
          </w:p>
        </w:tc>
      </w:tr>
    </w:tbl>
    <w:p>
      <w:pPr>
        <w:pStyle w:val="TextBody"/>
        <w:bidi w:val="0"/>
        <w:spacing w:before="0" w:after="0"/>
        <w:ind w:left="0" w:right="0" w:hanging="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continue making significant investments in software development and equipment to improve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results could have a material adverse impact on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or enforce our intellectual property rights could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or otherwise violating their intellectual property rights, the outcome of which would be uncertain and could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 could adversely affect our ability to offer our solutions and subject us to possible litigation.</w:t>
            </w:r>
          </w:p>
        </w:tc>
      </w:tr>
    </w:tbl>
    <w:p>
      <w:pPr>
        <w:pStyle w:val="TextBody"/>
        <w:bidi w:val="0"/>
        <w:spacing w:before="0" w:after="0"/>
        <w:ind w:left="0" w:right="0" w:firstLine="45"/>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Offering and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tc>
      </w:tr>
    </w:tbl>
    <w:p>
      <w:pPr>
        <w:pStyle w:val="TextBody"/>
        <w:bidi w:val="0"/>
        <w:spacing w:before="0" w:after="0"/>
        <w:ind w:left="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may depress their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(as defined below) may delist our securities from trading on its exchange, which could limit investors’ ability to make transactions in our securities and subject us to additional trading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on a national securities exchange it will become subject to the so-called “penny stock” rules that impose restrictive sales practice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has the effect of concentrating voting power with our Chief Executive Officer and Co-Founder, Joseph Davy, which may limit an investor’s ability to influence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our dual class structure will have on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Class A Common Stock is likely to be highly volatile, and you may lose some or all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Class A Common Stock could subject us to securities class action litigation.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us, or publish negative reports, then our stock price and trading volume could decline.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increased costs and demands upon management as a result of complying with the laws and regulations affecting public companies, which could adversely affect our business, 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collectively beneficially own approximately 14.17% of the voting power of our outstanding Common Stock and may have significant influence over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currently anticipated that we will pay dividends on shares of Class A Common Stock, and, consequently, your ability to achieve a return on your investment will depend on appreciation, if any, in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(“DGCL”) and our Charter and Bylaws contain certain provisions, including anti-takeover provisions, that limit the ability of stockholders to take certain actions and could delay or discourage takeover attempts that stockholders may consider favorable.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clause set forth in certain of the agreements covering certain outstanding warrants may have the effect of limiting an investor’s rights to bring legal action and could limit the investor’s ability to obtain a favorable judicial forum.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prove to be incorrect or financial reporting standards or interpretations change, our results of operations could be adversely affected.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your unexpired Public Warrants (as hereinafter defined) prior to their exercise at a time that is disadvantageous to you, thereby making your Public Warrants worthless.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Class A Common Stock or Preferred Stock, including under our equity incentive plan. Any such issuances would dilute the interest of our stockholders and likely present other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effective registration statement could reduce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435 Ericksen Ave NE, Suite 250, Bainbridge Island, WA 98110. Our telephone number is (206) 414-1777. Our website address is </w:t>
      </w:r>
      <w:r>
        <w:rPr>
          <w:rFonts w:ascii="Times New Roman;Times;Serif" w:hAnsi="Times New Roman;Times;Serif"/>
          <w:b w:val="false"/>
          <w:i w:val="false"/>
          <w:caps w:val="false"/>
          <w:smallCaps w:val="false"/>
          <w:sz w:val="20"/>
          <w:u w:val="single"/>
        </w:rPr>
        <w:t>www.banzai.io</w:t>
      </w:r>
      <w:r>
        <w:rPr>
          <w:rFonts w:ascii="Times New Roman;Times;Serif" w:hAnsi="Times New Roman;Times;Serif"/>
          <w:b w:val="false"/>
          <w:i w:val="false"/>
          <w:caps w:val="false"/>
          <w:smallCaps w:val="false"/>
          <w:sz w:val="20"/>
        </w:rPr>
        <w:t>. The information on our corporate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Implications of Being a Smaller Reporting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8"/>
        <w:gridCol w:w="60"/>
        <w:gridCol w:w="7157"/>
      </w:tblGrid>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3,731,746 shares of Class A Common Stock issuable upon the conversion of the Note and upon the exercise of the Buyer Warrants.</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outstanding on June 2,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2,112,325</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Securityholders.</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and other information included in this prospectus for a discussion of factors you should consider before investing in our securities.</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traded on The Nasdaq Capital Market under the symbol “BNZI.”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A Common Stock that are and will be outstanding immediately before and after this registration statement is effective is based on 2,112,325 shares of our Class A Common Stock outstanding as of June 2, 2026, which excludes: </w:t>
      </w:r>
    </w:p>
    <w:p>
      <w:pPr>
        <w:pStyle w:val="TextBody"/>
        <w:bidi w:val="0"/>
        <w:spacing w:before="0" w:after="0"/>
        <w:ind w:left="0" w:right="0" w:firstLine="36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$64,900.00 per share, which will be adjusted downward to 105% of the per share consideration received in this offering pursuant to anti-dilution price protections contained within those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 shares issuable within 60 days from the report date upon exercise of outstanding stock options with a weighted average exercise price of $9,217.17 granted through July 28,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55,214 shares issuable within 60 days from the report date upon vesting of outstanding restricted stock units granted through July 28, 2026;</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bl>
    <w:p>
      <w:pPr>
        <w:pStyle w:val="TextBody"/>
        <w:bidi w:val="0"/>
        <w:spacing w:before="0" w:after="0"/>
        <w:ind w:left="0" w:right="0" w:hanging="0"/>
        <w:jc w:val="left"/>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134,128 shares issuable upon exercise of common stock purchase of 3i, LP warrants issued on June 30, 2025, with an exercise price of $3.3030 as per exercise adjusted and reset as of February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42,386 shares issuable upon exercise of warrants issued to the financial advisor of the transaction that closed on June 30, 2025, with an exercise price of $4.1288;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133,213 shares issuable upon exercise of common stock purchase of 3i, LP warrants issued on August 19, 2025, with an exercise price of $3.3030 as per exercise price adjusted and reset as of February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42,372 shares issuable upon exercise of warrants issued to the financial advisor of 3i, LP of the transaction that closed on August 19, 2025, with an exercise price of $4.1288;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151,378 shares issuable upon exercise of common stock purchase of 3i, LP warrants issued on October 8, 2025, with an exercise price of $3.3030 as per exercise price adjusted and reset as of February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48,243 shares issuable upon exercise of warrants issued to the financial advisor of 3i, LP of the transaction that closed on October 8, 2025, with an exercise price of $4.1288;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141,286 shares issuable upon exercise of common stock purchase of 3i, LP warrants issued on February 13, 2026, with an exercise price of $3.3030;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45,036 shares issuable upon exercise of warrants issued to the financial advisor of 3i, LP of the transaction that closed on February 13, 2026 with an exercise price of $4.1288.</w:t>
            </w:r>
          </w:p>
        </w:tc>
      </w:tr>
    </w:tbl>
    <w:p>
      <w:pPr>
        <w:pStyle w:val="TextBody"/>
        <w:bidi w:val="0"/>
        <w:spacing w:before="0" w:after="0"/>
        <w:ind w:left="72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vb_004"/>
      <w:bookmarkEnd w:id="2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$18.5 million, and $13.5 million, in the years ended December 31, 2025, and 2024, respectively. For the three months ended March 31, 2026 and 2025, we incurred operating losses of $5.8 million and $4.9 million,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Times;Serif" w:hAnsi="Times New Roman;Times;Serif"/>
          <w:b w:val="false"/>
          <w:i w:val="false"/>
          <w:caps w:val="false"/>
          <w:smallCaps w:val="false"/>
          <w:color w:val="212529"/>
          <w:sz w:val="20"/>
          <w:shd w:fill="FFFFFF" w:val="clear"/>
        </w:rPr>
        <w:t>i</w:t>
      </w:r>
      <w:r>
        <w:rPr>
          <w:rFonts w:ascii="Times New Roman;Times;Serif" w:hAnsi="Times New Roman;Times;Serif"/>
          <w:b w:val="false"/>
          <w:i w:val="false"/>
          <w:caps w:val="false"/>
          <w:smallCaps w:val="false"/>
          <w:sz w:val="20"/>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including OpenReel in 2024 and Vidello in 2025.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firstLine="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resulting from our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from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acquired operations, personnel, technologies, or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 from existing business operations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resources that are needed in other parts of our business, including integration of other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write-offs of acquired assets;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relationships with customers and partners of the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of transitioning acquired technology and related infrastructures into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maintaining security and privacy standards of acquired technology consistent with our existing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financial and credit risks associated with the acquired businesses or their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implement internal controls, procedures, and policies at the acquired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comply with additional laws and regulations applicable to the acquired businesses;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and indirect tax impacts of any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find attractive targets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firstLine="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Vimeo, Zoom, and GoToWebinar with respect to video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Mailchimp and Constant Contact with respect to email marketing;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Marketo, Hubspot, and Braze with respect to marketing automation platforms.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condition of our current and potential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sales and implementation cycles;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and expansions of our product offerings, or challenges with their introduction;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or fee structures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offering introductions by us or our competitors or any other change in the competitive landscape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expenses that we may incur to grow and expand our operations and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information security or privacy;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stock-based compensation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costs and capital expenditures related to the expansion of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ongoing or future regulatory investigations or examinations, or of future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accurate accounting estimates and appropriately recognize revenue for our existing and future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both domestic and international;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global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 including terrorist activities and outbreaks of public health threats, such as coronavirus, influenza, or other highly communicable diseases or viruses, and any disruption these events may cause to the global economy;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example, for the three months ended March 31, 2026 and 2025, our net cash used in operating activities was $5.5 million and $5.0 million, respectively. For  the years ended December 31, 2025 and 2024, our net cash used in operating activities was $15.7 million and $9.6 million, respectively. As of March 31, 2026, December 31, 2025, and December 31, 2024, we had $0.1 million, $0.3 million, and $1.1 million of cash, respectively, which were held for working capital purposes, and as of March 31, 2026, December 31, 2025, and December 31, 2024, we had borrowings totaling $9.8 million, $10.6 million, and $12.4 million, respectively, outstanding under our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firstLine="36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w:t>
      </w:r>
      <w:r>
        <w:rPr>
          <w:rFonts w:ascii="Times New Roman;Times;Serif" w:hAnsi="Times New Roman;Times;Serif"/>
          <w:b w:val="false"/>
          <w:i/>
          <w:caps w:val="false"/>
          <w:smallCaps w:val="false"/>
          <w:sz w:val="20"/>
        </w:rPr>
        <w:t>Risk Factors – Sales of a substantial number of shares of Class A Common Stock in the public market pursuant to our registration statements could reduce the market price of Class A Common Stock.”</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the consolidated financial statements elsewhere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the July Reverse Stock Split on July 8, 2025, and the May 2026 Reverse Stock Split on May 8, 2026. Following the May 2026 Reverse Stock Split, the bid price of our Class A Common Stock surpassed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31, 2024, our Class A Common Stock trades on The Nasdaq Capital Market, under the same symbol, BNZI. There can be no assurance that we will be able to maintain compliance with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regulation in each state in which we offer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13.88% of our outstanding voting power as of June 2,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 including fluctuations in its quarterly and annual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involving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its competitors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its other public announcements and its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estimates and projections of the investment community or that it may otherwise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Common Stock by us or our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pandemics, epidemics, or other public health emergencies;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 other events or factors, many of which are beyond our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14.17% of the voting power of our outstanding Common Stock and may have significant influence over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14.17% of the voting power of our outstanding shares of Common Stock as of the date of this prospectus, based on the number of shares outstanding as of June 2,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shares of our Class B Common Stock are entitled to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stockholders to take action by written consent in lieu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the liability of, and the indemnification of, our directors and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amend the Bylaws, which may allow the Board to take additional actions to prevent an unsolicited takeover and inhibit the ability of an acquirer to amend the Bylaws to facilitate an unsolicited takeover attempt;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a smaller reporting company. We cannot be certain whether the reduced disclosure requirements applicable to smaller reporting companies will make our common stock less attractive to investors or otherwise limit our ability to raise additional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Any such issuances of additional shares of Common Stock or Preferred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Common Stock and/or Public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to the consolidated financial statements and “</w:t>
      </w:r>
      <w:r>
        <w:rPr>
          <w:rFonts w:ascii="Times New Roman;Times;Serif" w:hAnsi="Times New Roman;Times;Serif"/>
          <w:b w:val="false"/>
          <w:i/>
          <w:caps w:val="false"/>
          <w:smallCaps w:val="false"/>
          <w:sz w:val="20"/>
        </w:rPr>
        <w:t>Management’s Discussion and Analysis — Liquidity and Capital Resources”</w:t>
      </w:r>
      <w:r>
        <w:rPr>
          <w:rFonts w:ascii="Times New Roman;Times;Serif" w:hAnsi="Times New Roman;Times;Serif"/>
          <w:b w:val="false"/>
          <w:i w:val="false"/>
          <w:caps w:val="false"/>
          <w:smallCaps w:val="false"/>
          <w:sz w:val="20"/>
        </w:rPr>
        <w:t xml:space="preserve"> for additional information regarding these notes and the related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clause set forth in the Warrant Agreement may have the effect of limiting an investor’s rights to bring legal action and could limit the investor’s ability to obtain a favorable judicial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dated December 22, 2020, with Continental Stock Transfer &amp; Trust Company, as warrant agent,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outstanding warrants, including public warrants originally issued in 7GC’s initial public offering (the “Public Warrants”) and warrants issued to other investors in connection with various financings that the Company has completed (collectively,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to the consolidated financial statements for additional information regarding the Warrants, including the number of shares underlying the Warrants, exercise prices and expiration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making your Public Warrants worthless.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$180,000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sa_001"/>
      <w:bookmarkEnd w:id="29"/>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Common Stock being offered by the 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sa_002"/>
      <w:bookmarkEnd w:id="30"/>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 2026, our Class A Common Stock is listed on The Nasdaq Capital Market under the symbol “BNZI”. Our Public Warrants are currently listed on The Nasdaq Capital Market under the symbol “BNZIW.” As of June 2, 2026, there were 55 holders of record of our Class A Common Stock and one holder of record of our Public Warrants. These numbers do not include beneficial owners whose securities were held in street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following receipt of the necessary shareholder and Nasdaq approval, we implemented a reverse stock split of our Class A and Class B Common Stock at a 1:20 ratio, which went effective on May 8, 2026. Following the split, we have a new CUSIP number 06682J605.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331"/>
        <w:gridCol w:w="2110"/>
        <w:gridCol w:w="60"/>
        <w:gridCol w:w="60"/>
        <w:gridCol w:w="277"/>
        <w:gridCol w:w="1945"/>
        <w:gridCol w:w="60"/>
        <w:gridCol w:w="60"/>
        <w:gridCol w:w="317"/>
        <w:gridCol w:w="2968"/>
        <w:gridCol w:w="80"/>
      </w:tblGrid>
      <w:tr>
        <w:trPr/>
        <w:tc>
          <w:tcPr>
            <w:tcW w:w="1877"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283"/>
              <w:jc w:val="center"/>
              <w:rPr>
                <w:b/>
              </w:rPr>
            </w:pPr>
            <w:r>
              <w:rPr>
                <w:b/>
              </w:rPr>
              <w:t>Weighted 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 (1)</w:t>
            </w:r>
          </w:p>
        </w:tc>
        <w:tc>
          <w:tcPr>
            <w:tcW w:w="80"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 </w:t>
            </w:r>
          </w:p>
        </w:tc>
        <w:tc>
          <w:tcPr>
            <w:tcW w:w="2110"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w:t>
            </w:r>
          </w:p>
        </w:tc>
        <w:tc>
          <w:tcPr>
            <w:tcW w:w="1945" w:type="dxa"/>
            <w:tcBorders/>
            <w:shd w:fill="CCEEFF" w:val="clear"/>
            <w:tcMar>
              <w:bottom w:w="0" w:type="dxa"/>
            </w:tcM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2968" w:type="dxa"/>
            <w:tcBorders/>
            <w:shd w:fill="CCEEFF" w:val="clear"/>
            <w:tcMar>
              <w:bottom w:w="0" w:type="dxa"/>
            </w:tcM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FFFFFF" w:val="clear"/>
            <w:vAlign w:val="center"/>
          </w:tcPr>
          <w:p>
            <w:pPr>
              <w:pStyle w:val="TableContents"/>
              <w:bidi w:val="0"/>
              <w:spacing w:before="0" w:after="283"/>
              <w:jc w:val="left"/>
              <w:rPr/>
            </w:pPr>
            <w:r>
              <w:rPr/>
              <w:t> </w:t>
            </w:r>
          </w:p>
        </w:tc>
        <w:tc>
          <w:tcPr>
            <w:tcW w:w="211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bottom w:val="single" w:sz="8" w:space="0" w:color="000000"/>
            </w:tcBorders>
            <w:shd w:fill="FFFFFF" w:val="clear"/>
            <w:vAlign w:val="center"/>
          </w:tcPr>
          <w:p>
            <w:pPr>
              <w:pStyle w:val="TableContents"/>
              <w:bidi w:val="0"/>
              <w:spacing w:before="0" w:after="283"/>
              <w:jc w:val="left"/>
              <w:rPr/>
            </w:pPr>
            <w:r>
              <w:rPr/>
              <w:t> </w:t>
            </w:r>
          </w:p>
        </w:tc>
        <w:tc>
          <w:tcPr>
            <w:tcW w:w="194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bottom w:val="single" w:sz="8" w:space="0" w:color="000000"/>
            </w:tcBorders>
            <w:shd w:fill="FFFFFF" w:val="clear"/>
            <w:vAlign w:val="center"/>
          </w:tcPr>
          <w:p>
            <w:pPr>
              <w:pStyle w:val="TableContents"/>
              <w:bidi w:val="0"/>
              <w:spacing w:before="0" w:after="283"/>
              <w:jc w:val="left"/>
              <w:rPr/>
            </w:pPr>
            <w:r>
              <w:rPr/>
              <w:t> </w:t>
            </w:r>
          </w:p>
        </w:tc>
        <w:tc>
          <w:tcPr>
            <w:tcW w:w="2968"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double" w:sz="6" w:space="0" w:color="000000"/>
            </w:tcBorders>
            <w:shd w:fill="CCEEFF" w:val="clear"/>
            <w:vAlign w:val="center"/>
          </w:tcPr>
          <w:p>
            <w:pPr>
              <w:pStyle w:val="TableContents"/>
              <w:bidi w:val="0"/>
              <w:spacing w:before="0" w:after="283"/>
              <w:jc w:val="left"/>
              <w:rPr/>
            </w:pPr>
            <w:r>
              <w:rPr/>
              <w:t> </w:t>
            </w:r>
          </w:p>
        </w:tc>
        <w:tc>
          <w:tcPr>
            <w:tcW w:w="2110" w:type="dxa"/>
            <w:tcBorders>
              <w:bottom w:val="double" w:sz="6" w:space="0" w:color="000000"/>
            </w:tcBorders>
            <w:shd w:fill="CCEEFF" w:val="cle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bottom w:val="double" w:sz="6" w:space="0" w:color="000000"/>
            </w:tcBorders>
            <w:shd w:fill="CCEEFF" w:val="clear"/>
            <w:vAlign w:val="center"/>
          </w:tcPr>
          <w:p>
            <w:pPr>
              <w:pStyle w:val="TableContents"/>
              <w:bidi w:val="0"/>
              <w:spacing w:before="0" w:after="283"/>
              <w:jc w:val="left"/>
              <w:rPr/>
            </w:pPr>
            <w:r>
              <w:rPr/>
              <w:t>$</w:t>
            </w:r>
          </w:p>
        </w:tc>
        <w:tc>
          <w:tcPr>
            <w:tcW w:w="1945" w:type="dxa"/>
            <w:tcBorders>
              <w:bottom w:val="double" w:sz="6" w:space="0" w:color="000000"/>
            </w:tcBorders>
            <w:shd w:fill="CCEEFF" w:val="cle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vAlign w:val="center"/>
          </w:tcPr>
          <w:p>
            <w:pPr>
              <w:pStyle w:val="TableContents"/>
              <w:bidi w:val="0"/>
              <w:spacing w:before="0" w:after="283"/>
              <w:jc w:val="left"/>
              <w:rPr/>
            </w:pPr>
            <w:r>
              <w:rPr/>
              <w:t> </w:t>
            </w:r>
          </w:p>
        </w:tc>
        <w:tc>
          <w:tcPr>
            <w:tcW w:w="2968" w:type="dxa"/>
            <w:tcBorders>
              <w:bottom w:val="double" w:sz="6" w:space="0" w:color="000000"/>
            </w:tcBorders>
            <w:shd w:fill="CCEEFF" w:val="cle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24,319 shares available pursuant to our 2023 Equity Incentive Plan and 58 shares available pursuant to our Employee Stock Purchase Plan. The total number of securities remaining available for future issuance indicated above reflects the expansion of shares available under the 2023 EIP Plan, to 50,000 shares, which Banzai’s shareholders approved on February 28, 2025.</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sa_003"/>
      <w:bookmarkEnd w:id="31"/>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and both Vidello and the assets of Superblocks in 2025, further expanding our platform and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Quarter 2026 Financial and Operational Highlights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20.2% to $2.7 million for first quarter 2026 compared to first quarter 2025. Total cost of revenue decreased by 14.0%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$2.2 million for first quarter 2026, compared to $2.8 million in first quarter 2025. Gross profit was 80.7% in first quarter 2026 compared to 82.1% in first quarter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to $8.4 million for first quarter 2026, compared to $3.6 million in first quarter 2025, which represents a $4.8 million decline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remained at $8.1 million as of March 31, 2026; we converted $3.8 million of debt to equity, and raised an additional $3.3 million from the SEPA and ATM during first quarter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an additional tranche of $2.3 million debt in February 2026 as part of our $11 million debt facility with an institutional investor to support ongoing operations and solidify the foundation for future growth.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Year 2025 Financial and Operational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168.6% to $12.2 million for full year 2025 compared to 2024. Total cost of revenue increased only 53.8% year over year, resulting in improved gross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$10.0 million for full year 2025, compared to $3.1 million in 2024. Gross profit was 82.0% in full year 2025 compared to 68.6% in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to $22.5 million for full year 2025, compared to $31.5 million in 2024, which represents a $9.0 million improvement year over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increased $10.8 million to $8.1 million as of December 31, 2025. The company made substantial improvements to the balance sheet during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 payoff and debt conversion agreement for approximately $4.3 million in outstanding senior secured debt. The decision by senior debt holders to convert into equity reflects a strong vote of confidence in our vision and trajectory.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an $11 million debt facility in June 2025 with an institutional investor to support ongoing operations and solidify the foundation for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our customer base to over 150,000 cumulative total customers that have used Banzai products as of December 31, 2025. Customers include blue chip names across healthcare, financial services, e-commerce, technology, and media, with customers in over 90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Vidello, a suite of products for 3D video creation, royalty free music, and video marketing. Vidello offers a comprehensive video hosting and marketing suite that provides entrepreneurs, startups, agencies, and online businesses with tools to grow their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institutional investor increased their direct equity stake to 18.7% following the exercise of warrants. We believe this demonstrates their confidence in our long-term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strong pipeline focused on the BFSI (banking, financial services, insurance, and FinTech) segment with multiple seven-figure deals. We are seeing substantial improvements in our pipeline, especially for mid-market and enterprise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shifted CreateStudio revenue model from one-time license to recurring subscription revenue. The vast majority of CreateStudio revenue is now recurring, with a very effective customer upsell program running.</w:t>
            </w:r>
          </w:p>
        </w:tc>
      </w:tr>
    </w:tbl>
    <w:p>
      <w:pPr>
        <w:pStyle w:val="TextBody"/>
        <w:bidi w:val="0"/>
        <w:spacing w:before="0" w:after="0"/>
        <w:ind w:left="432"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 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Announcement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noted in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on March 23, 2026, the Company announced that it reached an agreement on terms to acquire assets of ConnectAndSell.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Terminated Act-On Merger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Listing Compliance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Business Combination with 7GC in 2023,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8"/>
        <w:gridCol w:w="60"/>
        <w:gridCol w:w="241"/>
        <w:gridCol w:w="1095"/>
        <w:gridCol w:w="163"/>
        <w:gridCol w:w="103"/>
        <w:gridCol w:w="241"/>
        <w:gridCol w:w="1095"/>
        <w:gridCol w:w="95"/>
        <w:gridCol w:w="60"/>
        <w:gridCol w:w="161"/>
        <w:gridCol w:w="734"/>
        <w:gridCol w:w="109"/>
        <w:gridCol w:w="69"/>
        <w:gridCol w:w="69"/>
        <w:gridCol w:w="738"/>
        <w:gridCol w:w="294"/>
      </w:tblGrid>
      <w:tr>
        <w:trPr/>
        <w:tc>
          <w:tcPr>
            <w:tcW w:w="4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4" w:type="dxa"/>
            <w:tcBorders/>
            <w:vAlign w:val="center"/>
          </w:tcPr>
          <w:p>
            <w:pPr>
              <w:pStyle w:val="TableContents"/>
              <w:bidi w:val="0"/>
              <w:spacing w:before="0" w:after="283"/>
              <w:jc w:val="left"/>
              <w:rPr/>
            </w:pPr>
            <w:r>
              <w:rPr/>
              <w:t> </w:t>
            </w:r>
          </w:p>
        </w:tc>
      </w:tr>
      <w:tr>
        <w:trPr/>
        <w:tc>
          <w:tcPr>
            <w:tcW w:w="487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4" w:type="dxa"/>
            <w:tcBorders/>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2,696</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3,379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(683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(20.2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7,650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(217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(2.9</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(23.5</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7,955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(275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NM</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9</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194</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45.8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(540.0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2,689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(1,337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(4,026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(301.1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(8,469</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(3,570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(4,899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170.3</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(8,417</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(4,773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(131.0</w:t>
            </w:r>
          </w:p>
        </w:tc>
        <w:tc>
          <w:tcPr>
            <w:tcW w:w="29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present favorable period-over-period amounts and percentages as positive and unfavorable as negative, and percentages not considered meaningful as “NM.”</w:t>
      </w:r>
    </w:p>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0" w:right="0" w:hanging="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2,696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(683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(20.2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Banzai Operating, OpenReel and Vidello decreased by approximately $134, $65, and $484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1640"/>
        <w:gridCol w:w="60"/>
        <w:gridCol w:w="386"/>
        <w:gridCol w:w="1048"/>
        <w:gridCol w:w="165"/>
        <w:gridCol w:w="165"/>
        <w:gridCol w:w="386"/>
        <w:gridCol w:w="1048"/>
        <w:gridCol w:w="60"/>
        <w:gridCol w:w="60"/>
        <w:gridCol w:w="258"/>
        <w:gridCol w:w="479"/>
        <w:gridCol w:w="110"/>
        <w:gridCol w:w="110"/>
        <w:gridCol w:w="110"/>
        <w:gridCol w:w="81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521</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14.0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OpenReel and Vidello decreased by approximately $10, and $88, respectively, partially offset by Banzai Operating, which increased by approximately $13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0" w:right="0" w:firstLine="51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2,175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(598</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(21.6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Banzai Operating, OpenReel and Vidello decreased by approximately $147, $55 and $396,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Expense Analysis </w:t>
      </w:r>
    </w:p>
    <w:p>
      <w:pPr>
        <w:pStyle w:val="TextBody"/>
        <w:bidi w:val="0"/>
        <w:spacing w:before="0" w:after="0"/>
        <w:ind w:left="0" w:right="0" w:firstLine="510"/>
        <w:jc w:val="both"/>
        <w:rPr>
          <w:caps w:val="false"/>
          <w:smallCaps w:val="false"/>
        </w:rPr>
      </w:pPr>
      <w:r>
        <w:rPr>
          <w:caps w:val="false"/>
          <w:smallCaps w:val="false"/>
        </w:rPr>
        <w:t> </w:t>
      </w:r>
    </w:p>
    <w:tbl>
      <w:tblPr>
        <w:tblW w:w="7951" w:type="dxa"/>
        <w:jc w:val="left"/>
        <w:tblInd w:w="0" w:type="dxa"/>
        <w:tblLayout w:type="fixed"/>
        <w:tblCellMar>
          <w:top w:w="0" w:type="dxa"/>
          <w:left w:w="0" w:type="dxa"/>
          <w:bottom w:w="0" w:type="dxa"/>
          <w:right w:w="0" w:type="dxa"/>
        </w:tblCellMar>
      </w:tblPr>
      <w:tblGrid>
        <w:gridCol w:w="2390"/>
        <w:gridCol w:w="60"/>
        <w:gridCol w:w="294"/>
        <w:gridCol w:w="1178"/>
        <w:gridCol w:w="126"/>
        <w:gridCol w:w="126"/>
        <w:gridCol w:w="294"/>
        <w:gridCol w:w="1178"/>
        <w:gridCol w:w="60"/>
        <w:gridCol w:w="60"/>
        <w:gridCol w:w="218"/>
        <w:gridCol w:w="709"/>
        <w:gridCol w:w="148"/>
        <w:gridCol w:w="93"/>
        <w:gridCol w:w="93"/>
        <w:gridCol w:w="619"/>
        <w:gridCol w:w="30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7,955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(275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(3.6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Analysis</w:t>
      </w:r>
    </w:p>
    <w:p>
      <w:pPr>
        <w:pStyle w:val="TextBody"/>
        <w:bidi w:val="0"/>
        <w:spacing w:before="0" w:after="0"/>
        <w:ind w:left="0" w:right="0" w:firstLine="51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2750"/>
        <w:gridCol w:w="60"/>
        <w:gridCol w:w="237"/>
        <w:gridCol w:w="921"/>
        <w:gridCol w:w="114"/>
        <w:gridCol w:w="114"/>
        <w:gridCol w:w="237"/>
        <w:gridCol w:w="1035"/>
        <w:gridCol w:w="80"/>
        <w:gridCol w:w="60"/>
        <w:gridCol w:w="142"/>
        <w:gridCol w:w="620"/>
        <w:gridCol w:w="91"/>
        <w:gridCol w:w="68"/>
        <w:gridCol w:w="68"/>
        <w:gridCol w:w="621"/>
        <w:gridCol w:w="260"/>
      </w:tblGrid>
      <w:tr>
        <w:trPr/>
        <w:tc>
          <w:tcPr>
            <w:tcW w:w="27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5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Period-over-Period</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91"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w:t>
            </w:r>
          </w:p>
        </w:tc>
        <w:tc>
          <w:tcPr>
            <w:tcW w:w="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9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w:t>
            </w:r>
          </w:p>
        </w:tc>
        <w:tc>
          <w:tcPr>
            <w:tcW w:w="2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reported total other income of approximately $2.7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$0.2 million recognized during the three months ended March 31, 2026 compared to $0.4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$4.3 million recognized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$49 during the three months ended March 31, 2026 compared to $0.3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$1.6 million during the three months ended 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$6 during the three months ended March 31, 2026 compared to $1.8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$28 during the three months ended March 31, 2026 compared to $0.4 million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approximately $550 expense during the three months ended March 31, 2026 compared to approximately $125 income during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510"/>
        <w:jc w:val="both"/>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2765"/>
        <w:gridCol w:w="60"/>
        <w:gridCol w:w="434"/>
        <w:gridCol w:w="1040"/>
        <w:gridCol w:w="295"/>
        <w:gridCol w:w="186"/>
        <w:gridCol w:w="434"/>
        <w:gridCol w:w="807"/>
        <w:gridCol w:w="60"/>
        <w:gridCol w:w="60"/>
        <w:gridCol w:w="182"/>
        <w:gridCol w:w="591"/>
        <w:gridCol w:w="123"/>
        <w:gridCol w:w="78"/>
        <w:gridCol w:w="78"/>
        <w:gridCol w:w="828"/>
        <w:gridCol w:w="30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29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(52</w:t>
            </w:r>
          </w:p>
        </w:tc>
        <w:tc>
          <w:tcPr>
            <w:tcW w:w="295"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(126</w:t>
            </w:r>
          </w:p>
        </w:tc>
        <w:tc>
          <w:tcPr>
            <w:tcW w:w="123"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(170.3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U.S. deferred tax assets have been reduced by a full valuation allowance, since we cannot currently support that realization of our deferred tax assets is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we had no unrecognized tax benefits that would impact our effective tax rate if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8106" w:type="dxa"/>
        <w:jc w:val="left"/>
        <w:tblInd w:w="0" w:type="dxa"/>
        <w:tblLayout w:type="fixed"/>
        <w:tblCellMar>
          <w:top w:w="0" w:type="dxa"/>
          <w:left w:w="0" w:type="dxa"/>
          <w:bottom w:w="0" w:type="dxa"/>
          <w:right w:w="0" w:type="dxa"/>
        </w:tblCellMar>
      </w:tblPr>
      <w:tblGrid>
        <w:gridCol w:w="2510"/>
        <w:gridCol w:w="60"/>
        <w:gridCol w:w="262"/>
        <w:gridCol w:w="1191"/>
        <w:gridCol w:w="178"/>
        <w:gridCol w:w="112"/>
        <w:gridCol w:w="262"/>
        <w:gridCol w:w="1191"/>
        <w:gridCol w:w="95"/>
        <w:gridCol w:w="60"/>
        <w:gridCol w:w="218"/>
        <w:gridCol w:w="709"/>
        <w:gridCol w:w="148"/>
        <w:gridCol w:w="93"/>
        <w:gridCol w:w="93"/>
        <w:gridCol w:w="619"/>
        <w:gridCol w:w="30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(1,908</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(167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(9.6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43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8"/>
        <w:gridCol w:w="60"/>
        <w:gridCol w:w="240"/>
        <w:gridCol w:w="1091"/>
        <w:gridCol w:w="163"/>
        <w:gridCol w:w="102"/>
        <w:gridCol w:w="240"/>
        <w:gridCol w:w="1091"/>
        <w:gridCol w:w="95"/>
        <w:gridCol w:w="60"/>
        <w:gridCol w:w="161"/>
        <w:gridCol w:w="734"/>
        <w:gridCol w:w="109"/>
        <w:gridCol w:w="69"/>
        <w:gridCol w:w="69"/>
        <w:gridCol w:w="738"/>
        <w:gridCol w:w="295"/>
      </w:tblGrid>
      <w:tr>
        <w:trPr/>
        <w:tc>
          <w:tcPr>
            <w:tcW w:w="4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5" w:type="dxa"/>
            <w:tcBorders/>
            <w:vAlign w:val="center"/>
          </w:tcPr>
          <w:p>
            <w:pPr>
              <w:pStyle w:val="TableContents"/>
              <w:bidi w:val="0"/>
              <w:spacing w:before="0" w:after="283"/>
              <w:jc w:val="left"/>
              <w:rPr/>
            </w:pPr>
            <w:r>
              <w:rPr/>
              <w:t> </w:t>
            </w:r>
          </w:p>
        </w:tc>
      </w:tr>
      <w:tr>
        <w:trPr/>
        <w:tc>
          <w:tcPr>
            <w:tcW w:w="488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5" w:type="dxa"/>
            <w:tcBorders/>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(8,417</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CCEEFF" w:val="clear"/>
            <w:vAlign w:val="center"/>
          </w:tcPr>
          <w:p>
            <w:pPr>
              <w:pStyle w:val="TableContents"/>
              <w:bidi w:val="0"/>
              <w:spacing w:before="0" w:after="283"/>
              <w:jc w:val="left"/>
              <w:rPr/>
            </w:pPr>
            <w:r>
              <w:rPr/>
              <w:t> </w:t>
            </w:r>
          </w:p>
        </w:tc>
      </w:tr>
      <w:tr>
        <w:trPr/>
        <w:tc>
          <w:tcPr>
            <w:tcW w:w="4888"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194</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164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45.8</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170.3</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305</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(23.5</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1,308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(971</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(288.1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2,259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(1,908</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(167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29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8311" w:type="dxa"/>
        <w:jc w:val="left"/>
        <w:tblInd w:w="0" w:type="dxa"/>
        <w:tblLayout w:type="fixed"/>
        <w:tblCellMar>
          <w:top w:w="0" w:type="dxa"/>
          <w:left w:w="0" w:type="dxa"/>
          <w:bottom w:w="0" w:type="dxa"/>
          <w:right w:w="0" w:type="dxa"/>
        </w:tblCellMar>
      </w:tblPr>
      <w:tblGrid>
        <w:gridCol w:w="2750"/>
        <w:gridCol w:w="60"/>
        <w:gridCol w:w="294"/>
        <w:gridCol w:w="1178"/>
        <w:gridCol w:w="126"/>
        <w:gridCol w:w="126"/>
        <w:gridCol w:w="294"/>
        <w:gridCol w:w="1178"/>
        <w:gridCol w:w="60"/>
        <w:gridCol w:w="60"/>
        <w:gridCol w:w="198"/>
        <w:gridCol w:w="645"/>
        <w:gridCol w:w="134"/>
        <w:gridCol w:w="85"/>
        <w:gridCol w:w="85"/>
        <w:gridCol w:w="733"/>
        <w:gridCol w:w="30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367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78</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27.0</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106</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(93</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(46.7</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197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(141</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(41.7</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1,589</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(167</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pPr>
            <w:r>
              <w:rPr/>
              <w:t>(9.5</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2,259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(323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condensed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to our condensed consolidated financial statements in this Report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related to our cash flows for the three months ended March 31, 2026 and 2025. See also our unaudited condensed consolidated statements of cash flows in this Report:</w:t>
      </w:r>
    </w:p>
    <w:p>
      <w:pPr>
        <w:pStyle w:val="TextBody"/>
        <w:bidi w:val="0"/>
        <w:spacing w:before="0" w:after="0"/>
        <w:ind w:left="0" w:right="0" w:firstLine="510"/>
        <w:jc w:val="both"/>
        <w:rPr>
          <w:caps w:val="false"/>
          <w:smallCaps w:val="false"/>
        </w:rPr>
      </w:pPr>
      <w:r>
        <w:rPr>
          <w:caps w:val="false"/>
          <w:smallCaps w:val="false"/>
        </w:rPr>
        <w:t> </w:t>
      </w:r>
    </w:p>
    <w:tbl>
      <w:tblPr>
        <w:tblW w:w="9486" w:type="dxa"/>
        <w:jc w:val="left"/>
        <w:tblInd w:w="0" w:type="dxa"/>
        <w:tblLayout w:type="fixed"/>
        <w:tblCellMar>
          <w:top w:w="0" w:type="dxa"/>
          <w:left w:w="0" w:type="dxa"/>
          <w:bottom w:w="0" w:type="dxa"/>
          <w:right w:w="0" w:type="dxa"/>
        </w:tblCellMar>
      </w:tblPr>
      <w:tblGrid>
        <w:gridCol w:w="3890"/>
        <w:gridCol w:w="60"/>
        <w:gridCol w:w="262"/>
        <w:gridCol w:w="1191"/>
        <w:gridCol w:w="178"/>
        <w:gridCol w:w="112"/>
        <w:gridCol w:w="262"/>
        <w:gridCol w:w="1191"/>
        <w:gridCol w:w="95"/>
        <w:gridCol w:w="60"/>
        <w:gridCol w:w="161"/>
        <w:gridCol w:w="734"/>
        <w:gridCol w:w="109"/>
        <w:gridCol w:w="69"/>
        <w:gridCol w:w="69"/>
        <w:gridCol w:w="738"/>
        <w:gridCol w:w="30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(8,417</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(5,501</w:t>
            </w:r>
          </w:p>
        </w:tc>
        <w:tc>
          <w:tcPr>
            <w:tcW w:w="178"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(527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(10.6</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2,677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5,347</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7,347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(2,000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(122</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182</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59.9</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259</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(828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(76.2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137</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(646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pStyle w:val="TextBody"/>
        <w:bidi w:val="0"/>
        <w:spacing w:before="0" w:after="0"/>
        <w:ind w:left="0" w:right="0" w:firstLine="5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$2.7 million for the three months ended March 31, 2025 and was related to the net cash paid in the acquisition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spacing w:before="0" w:after="0"/>
        <w:ind w:left="0" w:right="0" w:firstLine="5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18"/>
        <w:gridCol w:w="60"/>
        <w:gridCol w:w="184"/>
        <w:gridCol w:w="736"/>
        <w:gridCol w:w="60"/>
        <w:gridCol w:w="60"/>
        <w:gridCol w:w="227"/>
        <w:gridCol w:w="911"/>
        <w:gridCol w:w="60"/>
        <w:gridCol w:w="60"/>
        <w:gridCol w:w="382"/>
        <w:gridCol w:w="1530"/>
        <w:gridCol w:w="60"/>
        <w:gridCol w:w="60"/>
        <w:gridCol w:w="208"/>
        <w:gridCol w:w="833"/>
        <w:gridCol w:w="60"/>
        <w:gridCol w:w="60"/>
        <w:gridCol w:w="264"/>
        <w:gridCol w:w="492"/>
        <w:gridCol w:w="80"/>
      </w:tblGrid>
      <w:tr>
        <w:trPr/>
        <w:tc>
          <w:tcPr>
            <w:tcW w:w="3818"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2" w:type="dxa"/>
            <w:gridSpan w:val="2"/>
            <w:tcBorders>
              <w:bottom w:val="single" w:sz="8" w:space="0" w:color="000000"/>
            </w:tcBorders>
            <w:vAlign w:val="center"/>
          </w:tcPr>
          <w:p>
            <w:pPr>
              <w:pStyle w:val="TableContents"/>
              <w:bidi w:val="0"/>
              <w:spacing w:before="0" w:after="283"/>
              <w:jc w:val="center"/>
              <w:rPr>
                <w:b/>
                <w:i/>
              </w:rPr>
            </w:pPr>
            <w:r>
              <w:rPr>
                <w:b/>
                <w:i/>
              </w:rPr>
              <w:t>Total Principal and 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1"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0" w:type="dxa"/>
            <w:tcBorders/>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911" w:type="dxa"/>
            <w:tcBorders/>
            <w:shd w:fill="CCEEFF" w:val="clear"/>
            <w:tcMar>
              <w:bottom w:w="0" w:type="dxa"/>
            </w:tcMar>
            <w:vAlign w:val="center"/>
          </w:tcPr>
          <w:p>
            <w:pPr>
              <w:pStyle w:val="TableContents"/>
              <w:bidi w:val="0"/>
              <w:spacing w:before="0" w:after="283"/>
              <w:jc w:val="right"/>
              <w:rPr/>
            </w:pPr>
            <w:r>
              <w:rPr/>
              <w:t>1,752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3"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91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530"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833" w:type="dxa"/>
            <w:tcBorders>
              <w:bottom w:val="single" w:sz="8" w:space="0" w:color="000000"/>
            </w:tcBorders>
            <w:shd w:fill="CCEEFF" w:val="cle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bottom w:val="single" w:sz="8" w:space="0" w:color="000000"/>
            </w:tcBorders>
            <w:shd w:fill="CCEEFF" w:val="clear"/>
            <w:vAlign w:val="center"/>
          </w:tcPr>
          <w:p>
            <w:pPr>
              <w:pStyle w:val="TableContents"/>
              <w:bidi w:val="0"/>
              <w:spacing w:before="0" w:after="283"/>
              <w:jc w:val="left"/>
              <w:rPr/>
            </w:pPr>
            <w:r>
              <w:rPr/>
              <w:t> </w:t>
            </w:r>
          </w:p>
        </w:tc>
        <w:tc>
          <w:tcPr>
            <w:tcW w:w="492" w:type="dxa"/>
            <w:tcBorders>
              <w:bottom w:val="single" w:sz="8" w:space="0" w:color="000000"/>
            </w:tcBorders>
            <w:shd w:fill="CCEEFF" w:val="clear"/>
            <w:vAlign w:val="center"/>
          </w:tcPr>
          <w:p>
            <w:pPr>
              <w:pStyle w:val="TableContents"/>
              <w:bidi w:val="0"/>
              <w:spacing w:before="0" w:after="283"/>
              <w:jc w:val="right"/>
              <w:rPr/>
            </w:pPr>
            <w:r>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7,353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911" w:type="dxa"/>
            <w:tcBorders>
              <w:bottom w:val="double" w:sz="6" w:space="0" w:color="000000"/>
            </w:tcBorders>
            <w:shd w:fill="FFFFFF" w:val="clear"/>
            <w:vAlign w:val="center"/>
          </w:tcPr>
          <w:p>
            <w:pPr>
              <w:pStyle w:val="TableContents"/>
              <w:bidi w:val="0"/>
              <w:spacing w:before="0" w:after="283"/>
              <w:jc w:val="right"/>
              <w:rPr/>
            </w:pPr>
            <w:r>
              <w:rPr/>
              <w:t>2,253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vAlign w:val="center"/>
          </w:tcPr>
          <w:p>
            <w:pPr>
              <w:pStyle w:val="TableContents"/>
              <w:bidi w:val="0"/>
              <w:spacing w:before="0" w:after="283"/>
              <w:jc w:val="left"/>
              <w:rPr/>
            </w:pPr>
            <w:r>
              <w:rPr/>
              <w:t>$</w:t>
            </w:r>
          </w:p>
        </w:tc>
        <w:tc>
          <w:tcPr>
            <w:tcW w:w="1530" w:type="dxa"/>
            <w:tcBorders>
              <w:bottom w:val="double" w:sz="6" w:space="0" w:color="000000"/>
            </w:tcBorders>
            <w:shd w:fill="FFFFFF" w:val="clear"/>
            <w:vAlign w:val="center"/>
          </w:tcPr>
          <w:p>
            <w:pPr>
              <w:pStyle w:val="TableContents"/>
              <w:bidi w:val="0"/>
              <w:spacing w:before="0" w:after="283"/>
              <w:jc w:val="right"/>
              <w:rPr/>
            </w:pPr>
            <w:r>
              <w:rPr/>
              <w:t>9,606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pPr>
            <w:r>
              <w:rPr/>
              <w:t>$</w:t>
            </w:r>
          </w:p>
        </w:tc>
        <w:tc>
          <w:tcPr>
            <w:tcW w:w="833" w:type="dxa"/>
            <w:tcBorders>
              <w:bottom w:val="double" w:sz="6" w:space="0" w:color="000000"/>
            </w:tcBorders>
            <w:shd w:fill="FFFFFF" w:val="clear"/>
            <w:vAlign w:val="center"/>
          </w:tcPr>
          <w:p>
            <w:pPr>
              <w:pStyle w:val="TableContents"/>
              <w:bidi w:val="0"/>
              <w:spacing w:before="0" w:after="283"/>
              <w:jc w:val="right"/>
              <w:rPr/>
            </w:pPr>
            <w:r>
              <w:rPr/>
              <w:t>9,587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vAlign w:val="center"/>
          </w:tcPr>
          <w:p>
            <w:pPr>
              <w:pStyle w:val="TableContents"/>
              <w:bidi w:val="0"/>
              <w:spacing w:before="0" w:after="283"/>
              <w:jc w:val="left"/>
              <w:rPr/>
            </w:pPr>
            <w:r>
              <w:rPr/>
              <w:t>$</w:t>
            </w:r>
          </w:p>
        </w:tc>
        <w:tc>
          <w:tcPr>
            <w:tcW w:w="492" w:type="dxa"/>
            <w:tcBorders>
              <w:bottom w:val="double" w:sz="6" w:space="0" w:color="000000"/>
            </w:tcBorders>
            <w:shd w:fill="FFFFFF" w:val="clear"/>
            <w:vAlign w:val="center"/>
          </w:tcPr>
          <w:p>
            <w:pPr>
              <w:pStyle w:val="TableContents"/>
              <w:bidi w:val="0"/>
              <w:spacing w:before="0" w:after="283"/>
              <w:jc w:val="right"/>
              <w:rPr/>
            </w:pPr>
            <w:r>
              <w:rPr/>
              <w:t>19</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March 31, 2026 represents the future minimum lease payments under non-cancellable leases as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Years Ended December 31, 2025 and 2024</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3"/>
        <w:gridCol w:w="60"/>
        <w:gridCol w:w="173"/>
        <w:gridCol w:w="936"/>
        <w:gridCol w:w="117"/>
        <w:gridCol w:w="74"/>
        <w:gridCol w:w="173"/>
        <w:gridCol w:w="936"/>
        <w:gridCol w:w="95"/>
        <w:gridCol w:w="60"/>
        <w:gridCol w:w="140"/>
        <w:gridCol w:w="755"/>
        <w:gridCol w:w="95"/>
        <w:gridCol w:w="60"/>
        <w:gridCol w:w="60"/>
        <w:gridCol w:w="635"/>
        <w:gridCol w:w="233"/>
      </w:tblGrid>
      <w:tr>
        <w:trPr/>
        <w:tc>
          <w:tcPr>
            <w:tcW w:w="56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03"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12,161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168.6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221.2</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27,287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64.9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28,437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GEM settlement fee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1,228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3,968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18,045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-78.0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(22,433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360" w:right="0" w:hanging="0"/>
        <w:jc w:val="both"/>
        <w:rPr>
          <w:caps w:val="false"/>
          <w:smallCaps w:val="false"/>
        </w:rPr>
      </w:pPr>
      <w:r>
        <w:rPr>
          <w:caps w:val="false"/>
          <w:smallCaps w:val="false"/>
        </w:rPr>
        <w:t> </w:t>
      </w:r>
    </w:p>
    <w:tbl>
      <w:tblPr>
        <w:tblW w:w="6167" w:type="dxa"/>
        <w:jc w:val="left"/>
        <w:tblInd w:w="0" w:type="dxa"/>
        <w:tblLayout w:type="fixed"/>
        <w:tblCellMar>
          <w:top w:w="0" w:type="dxa"/>
          <w:left w:w="0" w:type="dxa"/>
          <w:bottom w:w="0" w:type="dxa"/>
          <w:right w:w="0" w:type="dxa"/>
        </w:tblCellMar>
      </w:tblPr>
      <w:tblGrid>
        <w:gridCol w:w="1640"/>
        <w:gridCol w:w="60"/>
        <w:gridCol w:w="221"/>
        <w:gridCol w:w="1078"/>
        <w:gridCol w:w="95"/>
        <w:gridCol w:w="95"/>
        <w:gridCol w:w="221"/>
        <w:gridCol w:w="88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12,161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7,633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168.6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360" w:right="0" w:hanging="0"/>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86"/>
        <w:gridCol w:w="506"/>
        <w:gridCol w:w="80"/>
        <w:gridCol w:w="80"/>
        <w:gridCol w:w="80"/>
        <w:gridCol w:w="588"/>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2,189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766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53.8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432" w:right="0" w:firstLine="432"/>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9,972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6,867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221.2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432" w:right="0" w:firstLine="432"/>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2390"/>
        <w:gridCol w:w="60"/>
        <w:gridCol w:w="206"/>
        <w:gridCol w:w="1004"/>
        <w:gridCol w:w="88"/>
        <w:gridCol w:w="88"/>
        <w:gridCol w:w="206"/>
        <w:gridCol w:w="1004"/>
        <w:gridCol w:w="60"/>
        <w:gridCol w:w="60"/>
        <w:gridCol w:w="147"/>
        <w:gridCol w:w="717"/>
        <w:gridCol w:w="63"/>
        <w:gridCol w:w="63"/>
        <w:gridCol w:w="63"/>
        <w:gridCol w:w="467"/>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28,437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16,573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11,864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71.6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432" w:right="0" w:firstLine="432"/>
        <w:jc w:val="both"/>
        <w:rPr>
          <w:caps w:val="false"/>
          <w:smallCaps w:val="false"/>
        </w:rPr>
      </w:pPr>
      <w:r>
        <w:rPr>
          <w:caps w:val="false"/>
          <w:smallCaps w:val="false"/>
        </w:rPr>
        <w:t> </w:t>
      </w:r>
    </w:p>
    <w:tbl>
      <w:tblPr>
        <w:tblW w:w="7022" w:type="dxa"/>
        <w:jc w:val="left"/>
        <w:tblInd w:w="0" w:type="dxa"/>
        <w:tblLayout w:type="fixed"/>
        <w:tblCellMar>
          <w:top w:w="0" w:type="dxa"/>
          <w:left w:w="0" w:type="dxa"/>
          <w:bottom w:w="0" w:type="dxa"/>
          <w:right w:w="0" w:type="dxa"/>
        </w:tblCellMar>
      </w:tblPr>
      <w:tblGrid>
        <w:gridCol w:w="2390"/>
        <w:gridCol w:w="60"/>
        <w:gridCol w:w="221"/>
        <w:gridCol w:w="887"/>
        <w:gridCol w:w="95"/>
        <w:gridCol w:w="95"/>
        <w:gridCol w:w="221"/>
        <w:gridCol w:w="1078"/>
        <w:gridCol w:w="60"/>
        <w:gridCol w:w="60"/>
        <w:gridCol w:w="140"/>
        <w:gridCol w:w="755"/>
        <w:gridCol w:w="95"/>
        <w:gridCol w:w="60"/>
        <w:gridCol w:w="60"/>
        <w:gridCol w:w="515"/>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reported total other income of approximately $4.0 million. The change in other expenses (income), net was primarily driven by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$2.4 million recognized during the year ended December 31, 2025 compared to $3.0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$4.5 million recognized during the year ended December 31, 2025 compared to $0.7 million recognized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$0.4 million during the year ended December 31, 2025 compared to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$4.9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$2.4 million during the year ended December 31, 2025 compared to $1.1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was a gain of approximately $2.0 million during the year ended December 31, 2025 compared to a loss of approximately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$1.0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terminated Act-On acquisition of $1.4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CP BF notes of approximately $6.5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Alco promissory notes of approximately $4.8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loss associated with the OpenReel acquisition of approximately $2.7 million during the year ended December 31,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432" w:right="0" w:firstLine="432"/>
        <w:jc w:val="both"/>
        <w:rPr>
          <w:caps w:val="false"/>
          <w:smallCaps w:val="false"/>
        </w:rPr>
      </w:pPr>
      <w:r>
        <w:rPr>
          <w:caps w:val="false"/>
          <w:smallCaps w:val="false"/>
        </w:rPr>
        <w:t> </w:t>
      </w:r>
    </w:p>
    <w:tbl>
      <w:tblPr>
        <w:tblW w:w="6436" w:type="dxa"/>
        <w:jc w:val="left"/>
        <w:tblInd w:w="0" w:type="dxa"/>
        <w:tblLayout w:type="fixed"/>
        <w:tblCellMar>
          <w:top w:w="0" w:type="dxa"/>
          <w:left w:w="0" w:type="dxa"/>
          <w:bottom w:w="0" w:type="dxa"/>
          <w:right w:w="0" w:type="dxa"/>
        </w:tblCellMar>
      </w:tblPr>
      <w:tblGrid>
        <w:gridCol w:w="1910"/>
        <w:gridCol w:w="60"/>
        <w:gridCol w:w="393"/>
        <w:gridCol w:w="733"/>
        <w:gridCol w:w="167"/>
        <w:gridCol w:w="167"/>
        <w:gridCol w:w="393"/>
        <w:gridCol w:w="743"/>
        <w:gridCol w:w="60"/>
        <w:gridCol w:w="60"/>
        <w:gridCol w:w="168"/>
        <w:gridCol w:w="313"/>
        <w:gridCol w:w="72"/>
        <w:gridCol w:w="72"/>
        <w:gridCol w:w="72"/>
        <w:gridCol w:w="823"/>
        <w:gridCol w:w="230"/>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61</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313" w:type="dxa"/>
            <w:tcBorders/>
            <w:shd w:fill="CCEEFF" w:val="clear"/>
            <w:vAlign w:val="center"/>
          </w:tcPr>
          <w:p>
            <w:pPr>
              <w:pStyle w:val="TableContents"/>
              <w:bidi w:val="0"/>
              <w:spacing w:before="0" w:after="283"/>
              <w:jc w:val="right"/>
              <w:rPr/>
            </w:pPr>
            <w:r>
              <w:rPr/>
              <w:t>61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1614.3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no unrecognized tax benefits that would impact our effective tax rate if recognized.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method calculated the aggregate market value of the Company based on the total number of outstanding shares of common and preferred stock and the market prices of the shares as of the assessment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quantitative assessment indicated that the fair value of each of the Company’s reporting units exceeded its carrying value, therefore no goodwill impairment was recognized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estimates under the Fair Value Option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7072" w:type="dxa"/>
        <w:jc w:val="left"/>
        <w:tblInd w:w="0" w:type="dxa"/>
        <w:tblLayout w:type="fixed"/>
        <w:tblCellMar>
          <w:top w:w="0" w:type="dxa"/>
          <w:left w:w="0" w:type="dxa"/>
          <w:bottom w:w="0" w:type="dxa"/>
          <w:right w:w="0" w:type="dxa"/>
        </w:tblCellMar>
      </w:tblPr>
      <w:tblGrid>
        <w:gridCol w:w="2510"/>
        <w:gridCol w:w="60"/>
        <w:gridCol w:w="213"/>
        <w:gridCol w:w="968"/>
        <w:gridCol w:w="144"/>
        <w:gridCol w:w="91"/>
        <w:gridCol w:w="213"/>
        <w:gridCol w:w="968"/>
        <w:gridCol w:w="95"/>
        <w:gridCol w:w="60"/>
        <w:gridCol w:w="170"/>
        <w:gridCol w:w="553"/>
        <w:gridCol w:w="115"/>
        <w:gridCol w:w="72"/>
        <w:gridCol w:w="72"/>
        <w:gridCol w:w="538"/>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(7,267</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(761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174"/>
        <w:gridCol w:w="939"/>
        <w:gridCol w:w="117"/>
        <w:gridCol w:w="74"/>
        <w:gridCol w:w="174"/>
        <w:gridCol w:w="939"/>
        <w:gridCol w:w="95"/>
        <w:gridCol w:w="60"/>
        <w:gridCol w:w="140"/>
        <w:gridCol w:w="635"/>
        <w:gridCol w:w="95"/>
        <w:gridCol w:w="60"/>
        <w:gridCol w:w="60"/>
        <w:gridCol w:w="680"/>
        <w:gridCol w:w="233"/>
      </w:tblGrid>
      <w:tr>
        <w:trPr/>
        <w:tc>
          <w:tcPr>
            <w:tcW w:w="5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7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1,228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4691.7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2,679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129.8</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GEM commitment fee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-926.1</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7,369</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 w:right="0" w:firstLine="432"/>
        <w:jc w:val="both"/>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2750"/>
        <w:gridCol w:w="60"/>
        <w:gridCol w:w="239"/>
        <w:gridCol w:w="957"/>
        <w:gridCol w:w="102"/>
        <w:gridCol w:w="102"/>
        <w:gridCol w:w="239"/>
        <w:gridCol w:w="957"/>
        <w:gridCol w:w="60"/>
        <w:gridCol w:w="60"/>
        <w:gridCol w:w="140"/>
        <w:gridCol w:w="635"/>
        <w:gridCol w:w="95"/>
        <w:gridCol w:w="60"/>
        <w:gridCol w:w="60"/>
        <w:gridCol w:w="560"/>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801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467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981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5,121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224.5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7,369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consolidated financial statements in this Registration Statement.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our consolidated financial statements in this Registration Statement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years ended December 31, 2025 and 2024. See also our consolidated statement of cash flows in this prospectus:</w:t>
      </w:r>
    </w:p>
    <w:p>
      <w:pPr>
        <w:pStyle w:val="TextBody"/>
        <w:bidi w:val="0"/>
        <w:spacing w:before="0" w:after="0"/>
        <w:ind w:left="432" w:right="0" w:firstLine="432"/>
        <w:jc w:val="both"/>
        <w:rPr>
          <w:caps w:val="false"/>
          <w:smallCaps w:val="false"/>
        </w:rPr>
      </w:pPr>
      <w:r>
        <w:rPr>
          <w:caps w:val="false"/>
          <w:smallCaps w:val="false"/>
        </w:rPr>
        <w:t> </w:t>
      </w:r>
    </w:p>
    <w:tbl>
      <w:tblPr>
        <w:tblW w:w="9533" w:type="dxa"/>
        <w:jc w:val="left"/>
        <w:tblInd w:w="0" w:type="dxa"/>
        <w:tblLayout w:type="fixed"/>
        <w:tblCellMar>
          <w:top w:w="0" w:type="dxa"/>
          <w:left w:w="0" w:type="dxa"/>
          <w:bottom w:w="0" w:type="dxa"/>
          <w:right w:w="0" w:type="dxa"/>
        </w:tblCellMar>
      </w:tblPr>
      <w:tblGrid>
        <w:gridCol w:w="4745"/>
        <w:gridCol w:w="60"/>
        <w:gridCol w:w="187"/>
        <w:gridCol w:w="1009"/>
        <w:gridCol w:w="126"/>
        <w:gridCol w:w="80"/>
        <w:gridCol w:w="187"/>
        <w:gridCol w:w="1009"/>
        <w:gridCol w:w="95"/>
        <w:gridCol w:w="60"/>
        <w:gridCol w:w="140"/>
        <w:gridCol w:w="635"/>
        <w:gridCol w:w="95"/>
        <w:gridCol w:w="60"/>
        <w:gridCol w:w="60"/>
        <w:gridCol w:w="755"/>
        <w:gridCol w:w="23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(22,492</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(15,707</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64.0</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(2,679</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-3367.1</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17,634</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107.8</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1,087</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primarily related to our acquisition of 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$0.1 million for the year ended December 31, 2024 and was related to cash acquired in the acquisition of 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46"/>
        <w:gridCol w:w="60"/>
        <w:gridCol w:w="184"/>
        <w:gridCol w:w="736"/>
        <w:gridCol w:w="60"/>
        <w:gridCol w:w="60"/>
        <w:gridCol w:w="240"/>
        <w:gridCol w:w="963"/>
        <w:gridCol w:w="60"/>
        <w:gridCol w:w="60"/>
        <w:gridCol w:w="159"/>
        <w:gridCol w:w="773"/>
        <w:gridCol w:w="60"/>
        <w:gridCol w:w="60"/>
        <w:gridCol w:w="223"/>
        <w:gridCol w:w="894"/>
        <w:gridCol w:w="60"/>
        <w:gridCol w:w="60"/>
        <w:gridCol w:w="173"/>
        <w:gridCol w:w="693"/>
        <w:gridCol w:w="81"/>
      </w:tblGrid>
      <w:tr>
        <w:trPr/>
        <w:tc>
          <w:tcPr>
            <w:tcW w:w="4546"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2"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Accrued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7"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1" w:type="dxa"/>
            <w:tcBorders/>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w:t>
            </w:r>
          </w:p>
        </w:tc>
        <w:tc>
          <w:tcPr>
            <w:tcW w:w="963" w:type="dxa"/>
            <w:tcBorders/>
            <w:shd w:fill="CCEEFF" w:val="clear"/>
            <w:tcMar>
              <w:bottom w:w="0" w:type="dxa"/>
            </w:tcMar>
            <w:vAlign w:val="center"/>
          </w:tcPr>
          <w:p>
            <w:pPr>
              <w:pStyle w:val="TableContents"/>
              <w:bidi w:val="0"/>
              <w:spacing w:before="0" w:after="283"/>
              <w:jc w:val="right"/>
              <w:rPr/>
            </w:pPr>
            <w:r>
              <w:rPr/>
              <w:t>1,558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4,923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693" w:type="dxa"/>
            <w:tcBorders/>
            <w:shd w:fill="CCEEFF" w:val="clear"/>
            <w:tcMar>
              <w:bottom w:w="0" w:type="dxa"/>
            </w:tcMar>
            <w:vAlign w:val="center"/>
          </w:tcPr>
          <w:p>
            <w:pPr>
              <w:pStyle w:val="TableContents"/>
              <w:bidi w:val="0"/>
              <w:spacing w:before="0" w:after="283"/>
              <w:jc w:val="right"/>
              <w:rPr/>
            </w:pPr>
            <w:r>
              <w:rPr/>
              <w:t>4,923</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CCEEFF" w:val="clear"/>
            <w:vAlign w:val="center"/>
          </w:tcPr>
          <w:p>
            <w:pPr>
              <w:pStyle w:val="TableContents"/>
              <w:bidi w:val="0"/>
              <w:spacing w:before="0" w:after="283"/>
              <w:jc w:val="left"/>
              <w:rPr/>
            </w:pPr>
            <w:r>
              <w:rPr/>
              <w:t> </w:t>
            </w:r>
          </w:p>
        </w:tc>
        <w:tc>
          <w:tcPr>
            <w:tcW w:w="96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894" w:type="dxa"/>
            <w:tcBorders>
              <w:bottom w:val="single" w:sz="8" w:space="0" w:color="000000"/>
            </w:tcBorders>
            <w:shd w:fill="CCEEFF" w:val="cle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28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9,003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vAlign w:val="center"/>
          </w:tcPr>
          <w:p>
            <w:pPr>
              <w:pStyle w:val="TableContents"/>
              <w:bidi w:val="0"/>
              <w:spacing w:before="0" w:after="283"/>
              <w:jc w:val="left"/>
              <w:rPr/>
            </w:pPr>
            <w:r>
              <w:rPr/>
              <w:t>$</w:t>
            </w:r>
          </w:p>
        </w:tc>
        <w:tc>
          <w:tcPr>
            <w:tcW w:w="963" w:type="dxa"/>
            <w:tcBorders>
              <w:bottom w:val="double" w:sz="6" w:space="0" w:color="000000"/>
            </w:tcBorders>
            <w:shd w:fill="FFFFFF" w:val="clear"/>
            <w:vAlign w:val="center"/>
          </w:tcPr>
          <w:p>
            <w:pPr>
              <w:pStyle w:val="TableContents"/>
              <w:bidi w:val="0"/>
              <w:spacing w:before="0" w:after="283"/>
              <w:jc w:val="right"/>
              <w:rPr/>
            </w:pPr>
            <w:r>
              <w:rPr/>
              <w:t>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pPr>
            <w:r>
              <w:rPr/>
              <w:t>$</w:t>
            </w:r>
          </w:p>
        </w:tc>
        <w:tc>
          <w:tcPr>
            <w:tcW w:w="773" w:type="dxa"/>
            <w:tcBorders>
              <w:bottom w:val="double" w:sz="6" w:space="0" w:color="000000"/>
            </w:tcBorders>
            <w:shd w:fill="FFFFFF" w:val="clear"/>
            <w:vAlign w:val="center"/>
          </w:tcPr>
          <w:p>
            <w:pPr>
              <w:pStyle w:val="TableContents"/>
              <w:bidi w:val="0"/>
              <w:spacing w:before="0" w:after="283"/>
              <w:jc w:val="right"/>
              <w:rPr/>
            </w:pPr>
            <w:r>
              <w:rPr/>
              <w:t>10,839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vAlign w:val="center"/>
          </w:tcPr>
          <w:p>
            <w:pPr>
              <w:pStyle w:val="TableContents"/>
              <w:bidi w:val="0"/>
              <w:spacing w:before="0" w:after="283"/>
              <w:jc w:val="left"/>
              <w:rPr/>
            </w:pPr>
            <w:r>
              <w:rPr/>
              <w:t>$</w:t>
            </w:r>
          </w:p>
        </w:tc>
        <w:tc>
          <w:tcPr>
            <w:tcW w:w="894" w:type="dxa"/>
            <w:tcBorders>
              <w:bottom w:val="double" w:sz="6" w:space="0" w:color="000000"/>
            </w:tcBorders>
            <w:shd w:fill="FFFFFF" w:val="clear"/>
            <w:vAlign w:val="center"/>
          </w:tcPr>
          <w:p>
            <w:pPr>
              <w:pStyle w:val="TableContents"/>
              <w:bidi w:val="0"/>
              <w:spacing w:before="0" w:after="283"/>
              <w:jc w:val="right"/>
              <w:rPr/>
            </w:pPr>
            <w:r>
              <w:rPr/>
              <w:t>5,888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vAlign w:val="center"/>
          </w:tcPr>
          <w:p>
            <w:pPr>
              <w:pStyle w:val="TableContents"/>
              <w:bidi w:val="0"/>
              <w:spacing w:before="0" w:after="283"/>
              <w:jc w:val="left"/>
              <w:rPr/>
            </w:pPr>
            <w:r>
              <w:rPr/>
              <w:t>$</w:t>
            </w:r>
          </w:p>
        </w:tc>
        <w:tc>
          <w:tcPr>
            <w:tcW w:w="693" w:type="dxa"/>
            <w:tcBorders>
              <w:bottom w:val="double" w:sz="6" w:space="0" w:color="000000"/>
            </w:tcBorders>
            <w:shd w:fill="FFFFFF" w:val="clear"/>
            <w:vAlign w:val="center"/>
          </w:tcPr>
          <w:p>
            <w:pPr>
              <w:pStyle w:val="TableContents"/>
              <w:bidi w:val="0"/>
              <w:spacing w:before="0" w:after="283"/>
              <w:jc w:val="right"/>
              <w:rPr/>
            </w:pPr>
            <w:r>
              <w:rPr/>
              <w:t>4,951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December 31, 2025 represents the future minimum lease payments under non-cancellable leases as liabilities.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32" w:name="sa_004"/>
      <w:bookmarkEnd w:id="32"/>
      <w:r>
        <w:rPr>
          <w:rFonts w:ascii="Times New Roman;Times;Serif" w:hAnsi="Times New Roman;Times;Serif"/>
          <w:b/>
          <w:i w:val="false"/>
          <w:caps w:val="false"/>
          <w:smallCaps w:val="false"/>
          <w:sz w:val="20"/>
        </w:rPr>
        <w:t>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and in November 2025 we acquired the assets of Superblocks, in order to expand our product offerings and customer base. Our platform currently includes several products, ranging across demand generation, webinar hosting, video creation and email newsletters.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As the parties continue to negotiate material terms of the transaction, management currently anticipates that the transaction will close in the second half of fiscal 2026. However, since the transaction is also subject to execution of a definitive agreement and closing conditions, we cannot accurately estimate the actual closing date at this time. There can be no assurance that we will be able to complete this acquisition.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Banzai focuses on differentiating itself through exceptional products and customer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functions including creating and distributing content, acquiring and nurturing leads, executing and optimizing campaigns, and managing and measuring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platform offers several SaaS products including: OpenReel, CreateStudio, Vidello, Demio, Boost, Reach and Curate.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an AI-powered video creation platform that enables users to remotely record, edit, host, and share high-quality videos from any location. Its remote capture feature allows users to film professional-grade videos using devices like smartphones or webcams, without needing to be there in person. The platform offers AI-driven editing tools for seamless content refinement and customization, along with secure cloud storage for easy access and sharing. OpenReel’s comprehensive solution streamlines the video production process, making it efficient and cost-effective for businesses and individuals.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CreateStudio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identifying opportunities for new features, enhancements, and market segments, we can strategically plan and execute our growth initiatives, supporting our long-term sustainability and success.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Continue to acquire new customers cost effectively through organic traffic, content, affiliates, social media, partnerships, advertising, word-of-mouth, and other 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Continue to expand our customer success and customer marketing organizations to increase customer retention and customer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Continue to develop our family of products to create defensibly differentiated solutions that are essential to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Roll out new products that attract new customers and expand the ways we can serve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Continue to look for future acquisition opportunities prioritizing companies that are profitable and have highly-rated solutions with customer bases that align with Banzai’s existing customer base.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Progress towards this is reflected in our acquisition of OpenReel, adding 650 customers to the overall Banzai customer base, as well as our increase in multi-host Demio customers from 14 to over 240 between January 2021 and December 31, 2025, an approximately seventeen-fold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a variety of categories within the B2B MarTech landscape including digital events and webinars, demand generation, video creation, engagement platforms and marketing automation, and measurement and attribution.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Times;Serif" w:hAnsi="Times New Roman;Times;Serif"/>
          <w:b w:val="false"/>
          <w:i/>
          <w:caps w:val="false"/>
          <w:smallCaps w:val="false"/>
          <w:sz w:val="20"/>
        </w:rPr>
        <w:t>Risk Factors – Risks Related to Business and Industry – Failure to protect or enforce our intellectual property rights could harm our business and results of operations” and “Risk Factors – Risks Related to Business and Industry – Third parties may initiate legal proceedings alleging that we are infringing or otherwise violating their intellectual property rights, the outcome of which would be uncertain and could harm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33 full-time employees, 1 part-time employee, and 57 contractors.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Technology and marketing are constantly changing. We value learning because adaptation is essential to delivering the best solutions for our customers. Our team members are open-minded, critical-thinkers who are willing to disagree, try new things, and change their minds when warranted.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and are also available free of charge on our corporate website (</w:t>
      </w:r>
      <w:r>
        <w:rPr>
          <w:rFonts w:ascii="Times New Roman;Times;Serif" w:hAnsi="Times New Roman;Times;Serif"/>
          <w:b w:val="false"/>
          <w:i/>
          <w:caps w:val="false"/>
          <w:smallCaps w:val="false"/>
          <w:sz w:val="20"/>
          <w:u w:val="single"/>
        </w:rPr>
        <w:t>https://ir.banzai.io/financial-information/sec-filings</w:t>
      </w:r>
      <w:r>
        <w:rPr>
          <w:rFonts w:ascii="Times New Roman;Times;Serif" w:hAnsi="Times New Roman;Times;Serif"/>
          <w:b w:val="false"/>
          <w:i w:val="false"/>
          <w:caps w:val="false"/>
          <w:smallCaps w:val="false"/>
          <w:sz w:val="20"/>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sa_005"/>
      <w:bookmarkEnd w:id="33"/>
      <w:r>
        <w:rPr>
          <w:rFonts w:ascii="Times New Roman;Times;Serif" w:hAnsi="Times New Roman;Times;Serif"/>
          <w:b/>
          <w:i w:val="false"/>
          <w:caps w:val="false"/>
          <w:smallCaps w:val="false"/>
          <w:sz w:val="20"/>
        </w:rPr>
        <w:t>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age, and position of each director and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both"/>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1250"/>
        <w:gridCol w:w="60"/>
        <w:gridCol w:w="350"/>
        <w:gridCol w:w="60"/>
        <w:gridCol w:w="3890"/>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Davy</w:t>
      </w:r>
      <w:r>
        <w:rPr>
          <w:rFonts w:ascii="Times New Roman;Times;Serif" w:hAnsi="Times New Roman;Times;Serif"/>
          <w:b w:val="false"/>
          <w:i w:val="false"/>
          <w:caps w:val="false"/>
          <w:smallCaps w:val="false"/>
          <w:sz w:val="20"/>
        </w:rPr>
        <w:t xml:space="preserve"> serves as our Chief Executive Officer and Chairman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Dean Ditto</w:t>
      </w:r>
      <w:r>
        <w:rPr>
          <w:rFonts w:ascii="Times New Roman;Times;Serif" w:hAnsi="Times New Roman;Times;Serif"/>
          <w:b w:val="false"/>
          <w:i w:val="false"/>
          <w:caps w:val="false"/>
          <w:smallCaps w:val="false"/>
          <w:sz w:val="20"/>
        </w:rPr>
        <w:t xml:space="preserve"> serves as our Chief Financial Officer. 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Employee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our officers and directors, we currently have one person who we consider to be a significant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Kurtzman</w:t>
      </w:r>
      <w:r>
        <w:rPr>
          <w:rFonts w:ascii="Times New Roman;Times;Serif" w:hAnsi="Times New Roman;Times;Serif"/>
          <w:b w:val="false"/>
          <w:i w:val="false"/>
          <w:caps w:val="false"/>
          <w:smallCaps w:val="false"/>
          <w:sz w:val="20"/>
        </w:rPr>
        <w:t xml:space="preserve"> serves as our Chief Revenue Officer. Most recently, Mr. Kurtzman served as CEO of Violett, Inc., an AI-enabled air health 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which consists of Joseph Davy and Kent Schofield, whose terms will expire at the Company’s annual meeting of stockholders to be held in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which consists of Mason Ward, whose term will expire at the Company’s annual meeting of stockholders to be held in 2028;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which consists of Paula Boggs and Jack Leeney, whose terms will expire at the Company’s annual meeting of stockholders to be held in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1250"/>
        <w:gridCol w:w="60"/>
        <w:gridCol w:w="1460"/>
        <w:gridCol w:w="60"/>
        <w:gridCol w:w="2210"/>
        <w:gridCol w:w="60"/>
        <w:gridCol w:w="4385"/>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its corporate accounting and financial reporting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adequacy and effectiveness of our disclosure controls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with design and implementation of our risk assessment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Company’s Board the compensation of the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the Company’s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incentive plans and other benefit programs;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Company’s employees, including the Company’s overall compensation philosophy;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with the Chief Executive Officer the succession plans for the Company’s executive officers.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which is discussed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Chief Executive Officer the plans for succession to the offices of the Company’s executive officers and make recommendations to the Board with respect to the selection of appropriate individuals to succeed to these 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rPr>
        <w:t>.We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shareholders (the “Special Meeting”) at which the shareholders approved a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the Board determined to effect a reverse stock split at a ratio of 1-for-50 (the “September Reverse Stock Split”), effective September 19, 2024. Accordingly, we filed an amendment to our Second Amended and Restated Certificate of Incorporation with the Delaware Secretary of State, which is filed as Exhibit 3.3 to our 2025 Report for the year ended December 31, 2025. We subsequently effected a 1-for-10 reverse stock split of the shares of the Company’s Class A Common Stock, effective as of July 8, 2025 (the “July Reverse Stock Split”), and a 1-for-20 reverse stock split of the shares of the Company’s Class A and Class B Common Stock, effective as of May 8, 2026 (the “May 2026 Reverse Stock Split”).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we held a special meeting of shareholders. In addition to other approvals, the shareholders approved an amendment to our Second Amended and Restated Certificate of Incorporation to permit stockholder action by written consent.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sa_007"/>
      <w:bookmarkEnd w:id="34"/>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2025, consisting of our principal executive officer, principal financial officer and the next two most highly compensated executive officers, were:</w:t>
      </w:r>
    </w:p>
    <w:p>
      <w:pPr>
        <w:pStyle w:val="TextBody"/>
        <w:bidi w:val="0"/>
        <w:spacing w:before="0" w:after="0"/>
        <w:ind w:left="979" w:right="0" w:hanging="49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 our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 our Chief Revenue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for the years ended December 31, 2025 and 2024:</w:t>
      </w:r>
    </w:p>
    <w:p>
      <w:pPr>
        <w:pStyle w:val="TextBody"/>
        <w:bidi w:val="0"/>
        <w:spacing w:before="0" w:after="0"/>
        <w:ind w:left="0" w:right="0" w:firstLine="432"/>
        <w:jc w:val="both"/>
        <w:rPr>
          <w:caps w:val="false"/>
          <w:smallCaps w:val="false"/>
        </w:rPr>
      </w:pPr>
      <w:r>
        <w:rPr>
          <w:caps w:val="false"/>
          <w:smallCaps w:val="false"/>
        </w:rPr>
        <w:t> </w:t>
      </w:r>
    </w:p>
    <w:tbl>
      <w:tblPr>
        <w:tblW w:w="12450" w:type="dxa"/>
        <w:jc w:val="left"/>
        <w:tblInd w:w="0" w:type="dxa"/>
        <w:tblLayout w:type="fixed"/>
        <w:tblCellMar>
          <w:top w:w="0" w:type="dxa"/>
          <w:left w:w="0" w:type="dxa"/>
          <w:bottom w:w="28" w:type="dxa"/>
          <w:right w:w="0" w:type="dxa"/>
        </w:tblCellMar>
      </w:tblPr>
      <w:tblGrid>
        <w:gridCol w:w="1175"/>
        <w:gridCol w:w="60"/>
        <w:gridCol w:w="530"/>
        <w:gridCol w:w="60"/>
        <w:gridCol w:w="140"/>
        <w:gridCol w:w="800"/>
        <w:gridCol w:w="335"/>
        <w:gridCol w:w="60"/>
        <w:gridCol w:w="140"/>
        <w:gridCol w:w="680"/>
        <w:gridCol w:w="335"/>
        <w:gridCol w:w="60"/>
        <w:gridCol w:w="140"/>
        <w:gridCol w:w="800"/>
        <w:gridCol w:w="215"/>
        <w:gridCol w:w="60"/>
        <w:gridCol w:w="140"/>
        <w:gridCol w:w="680"/>
        <w:gridCol w:w="215"/>
        <w:gridCol w:w="60"/>
        <w:gridCol w:w="183"/>
        <w:gridCol w:w="1052"/>
        <w:gridCol w:w="215"/>
        <w:gridCol w:w="60"/>
        <w:gridCol w:w="432"/>
        <w:gridCol w:w="803"/>
        <w:gridCol w:w="60"/>
        <w:gridCol w:w="60"/>
        <w:gridCol w:w="221"/>
        <w:gridCol w:w="1269"/>
        <w:gridCol w:w="335"/>
        <w:gridCol w:w="60"/>
        <w:gridCol w:w="140"/>
        <w:gridCol w:w="800"/>
        <w:gridCol w:w="75"/>
      </w:tblGrid>
      <w:tr>
        <w:trPr/>
        <w:tc>
          <w:tcPr>
            <w:tcW w:w="117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Plan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Value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 Compensation ($)</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Joseph Davy –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375,700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125,000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8,437</w:t>
            </w:r>
          </w:p>
        </w:tc>
        <w:tc>
          <w:tcPr>
            <w:tcW w:w="33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859,137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Joseph Davy –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310,417</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500,000</w:t>
            </w:r>
          </w:p>
        </w:tc>
        <w:tc>
          <w:tcPr>
            <w:tcW w:w="215"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29,700</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12,000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852,117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325,000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148,635</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18,750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250</w:t>
            </w:r>
          </w:p>
        </w:tc>
        <w:tc>
          <w:tcPr>
            <w:tcW w:w="33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492,635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291,223</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7,425</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298,648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Dean Ditto –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128,125</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100,000</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25,000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10,042</w:t>
            </w:r>
          </w:p>
        </w:tc>
        <w:tc>
          <w:tcPr>
            <w:tcW w:w="33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263,167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241,500</w:t>
            </w:r>
          </w:p>
        </w:tc>
        <w:tc>
          <w:tcPr>
            <w:tcW w:w="335"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148,635</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12,500</w:t>
            </w:r>
          </w:p>
        </w:tc>
        <w:tc>
          <w:tcPr>
            <w:tcW w:w="215"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270</w:t>
            </w:r>
          </w:p>
        </w:tc>
        <w:tc>
          <w:tcPr>
            <w:tcW w:w="335" w:type="dxa"/>
            <w:tcBorders/>
            <w:shd w:fill="FFFFFF" w:val="clear"/>
            <w:tcMar>
              <w:bottom w:w="0" w:type="dxa"/>
            </w:tcMar>
            <w:vAlign w:val="center"/>
          </w:tcPr>
          <w:p>
            <w:pPr>
              <w:pStyle w:val="TableContents"/>
              <w:bidi w:val="0"/>
              <w:spacing w:before="0" w:after="283"/>
              <w:jc w:val="lef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402,905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220,833</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10,455</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281,288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Michael Kurtzman – Chief Revenue Officer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154,375</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56,250</w:t>
            </w:r>
          </w:p>
        </w:tc>
        <w:tc>
          <w:tcPr>
            <w:tcW w:w="335" w:type="dxa"/>
            <w:tcBorders/>
            <w:shd w:fill="FFFFFF" w:val="clear"/>
            <w:tcMar>
              <w:bottom w:w="0" w:type="dxa"/>
            </w:tcMar>
            <w:vAlign w:val="center"/>
          </w:tcPr>
          <w:p>
            <w:pPr>
              <w:pStyle w:val="TableContents"/>
              <w:bidi w:val="0"/>
              <w:spacing w:before="0" w:after="283"/>
              <w:jc w:val="lef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225,000</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250</w:t>
            </w:r>
          </w:p>
        </w:tc>
        <w:tc>
          <w:tcPr>
            <w:tcW w:w="335"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435,875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Mark Musburger – former Chief Financial Officer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106,714</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125,000</w:t>
            </w:r>
          </w:p>
        </w:tc>
        <w:tc>
          <w:tcPr>
            <w:tcW w:w="335" w:type="dxa"/>
            <w:tcBorders/>
            <w:shd w:fill="CCEEFF" w:val="clear"/>
            <w:tcMar>
              <w:bottom w:w="0" w:type="dxa"/>
            </w:tcMar>
            <w:vAlign w:val="center"/>
          </w:tcPr>
          <w:p>
            <w:pPr>
              <w:pStyle w:val="TableContents"/>
              <w:bidi w:val="0"/>
              <w:spacing w:before="0" w:after="283"/>
              <w:jc w:val="left"/>
              <w:rPr/>
            </w:pPr>
            <w:r>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231,714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Ashley Levesque – former Vice President of Marketing (16)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78,750</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3,150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 The Non-Equity Incentive Compensation Plan is described in “2025 Bonuses” below. The All Other Compensation amount consists of Company-match 401(k) plan contributions of $8,167, a home office stipend of $250, and a miscellaneous bonus of $20.</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Company-match 401(k) plan contributions.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annual cash incentive bonuses,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home office stipend.</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Mr. Ditto was appointed as our Chief Financial Officer, as further described in “2025 Compensation Update.” Mr. Ditto replaced Mr. Yip who had served as our interim Chief Financial Officer since June 14,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consists of Company-match 401(k) plan contributions of $5,042 and a temporary housing allowance of $5,000.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increasing Mr. Yip’s salary to $241,500 per year, effective as of January 1, 2025.</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home office stipend of $250, and a miscellaneous bonus of $20.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Mr. Kurtzman was appointed as our Chief Revenue Officer, as further described in “2025 Compensation Update.”</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guaranteed portion of an annual cash incentive bonus,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retention bonus paid in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Compensation Update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received annual performance-based cash bonuses with respect to the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and Mr. Yip 1,525 RSUs and 165 RSUs, which had a grant date fair value of $500,000 and $50,000, respectively.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granted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underlying the option award vests in 36 equal monthly installments, subject to the named executive officer’s continued service at each vesting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Mr. Baumer, and Mr. Yip 60 stock options, 15 stock options, and 1 stock option, which had a grant date fair value of $29,700, $43,433, and $95,074,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
        <w:gridCol w:w="60"/>
        <w:gridCol w:w="246"/>
        <w:gridCol w:w="945"/>
        <w:gridCol w:w="60"/>
        <w:gridCol w:w="60"/>
        <w:gridCol w:w="255"/>
        <w:gridCol w:w="1109"/>
        <w:gridCol w:w="60"/>
        <w:gridCol w:w="60"/>
        <w:gridCol w:w="63"/>
        <w:gridCol w:w="729"/>
        <w:gridCol w:w="60"/>
        <w:gridCol w:w="60"/>
        <w:gridCol w:w="981"/>
        <w:gridCol w:w="60"/>
        <w:gridCol w:w="156"/>
        <w:gridCol w:w="677"/>
        <w:gridCol w:w="60"/>
        <w:gridCol w:w="60"/>
        <w:gridCol w:w="146"/>
        <w:gridCol w:w="642"/>
        <w:gridCol w:w="60"/>
        <w:gridCol w:w="60"/>
        <w:gridCol w:w="120"/>
        <w:gridCol w:w="974"/>
        <w:gridCol w:w="186"/>
        <w:gridCol w:w="60"/>
        <w:gridCol w:w="90"/>
        <w:gridCol w:w="1045"/>
        <w:gridCol w:w="210"/>
      </w:tblGrid>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33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(2)</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Unexercisable (3)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Exercise Prices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 of Unearned Shares, Units or Other Rights That Have Not Been Issued</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or Payout Value of Unearned Shares, Units or Other Rights That Have Not Been Issued</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375,700</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35,159</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Alvin Yip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was granted under the 2016 Plan or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 Awards was granted under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Award will vest into common stock in 4 tranches ranging from $250 thousand to $750 thousand, up to $2.0 million in the aggregate, if specified market capitalization thresholds ranging from $15.0 million to $30.0 million are met. On April 2, 2026, the Company modified the terms of the CEO Award and issued 22,300 shares of Class B Common Stock to the CEO, of which, approximately 14,867 shares relate to a tranche of the CEO Award vesting upon achieving a market capitalization threshold, and the remaining 7,433 shares relate to the CEO’s 2025 bonus payment.</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July 14, 2025 grant date, and the last ¼ will become fully vested in July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August 22, 2025 grant date, and the last ¼ will become fully vested in June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annually commencing with the May 14, 2024 grant date, and the last ¼ will become fully vested in May 2028,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10,848 RSUs. In December 2024, the 4 non-employee directors received compensation of $371,507 in the form of 1,503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base retainer of $100,000, to be paid as determined by the Compensation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 Retainers: Audit Committee, $10,000; Compensation Committee, $5,000; and Nominating and Corporate Governance Committee,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 Retainers: Audit Committee, $5,000; Compensation Committee, $2,500; and Nominating and Corporate Governance Committee, $2,500.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sa_008"/>
      <w:bookmarkEnd w:id="35"/>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transaction and the amount payable to a related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interest of the related party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may involve a conflict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party transaction or related party that would be material to investors in light of the circumstances of the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6" w:name="sa_009"/>
      <w:bookmarkEnd w:id="36"/>
      <w:r>
        <w:rPr>
          <w:rFonts w:ascii="Times New Roman;Times;Serif" w:hAnsi="Times New Roman;Times;Serif"/>
          <w:b/>
          <w:i w:val="false"/>
          <w:caps w:val="false"/>
          <w:smallCaps w:val="false"/>
          <w:sz w:val="20"/>
        </w:rPr>
        <w:t>PRINCIPAL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the date hereof for:</w:t>
      </w:r>
    </w:p>
    <w:p>
      <w:pPr>
        <w:pStyle w:val="TextBody"/>
        <w:bidi w:val="0"/>
        <w:spacing w:before="0" w:after="0"/>
        <w:ind w:left="979" w:right="0" w:hanging="49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named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2,112,325 shares of Class A Common Stock and 33,856 shares of Class B Common Stock outstanding as of June 2, 2026. </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2"/>
        <w:gridCol w:w="60"/>
        <w:gridCol w:w="115"/>
        <w:gridCol w:w="802"/>
        <w:gridCol w:w="380"/>
        <w:gridCol w:w="97"/>
        <w:gridCol w:w="107"/>
        <w:gridCol w:w="203"/>
        <w:gridCol w:w="60"/>
        <w:gridCol w:w="60"/>
        <w:gridCol w:w="80"/>
        <w:gridCol w:w="796"/>
        <w:gridCol w:w="80"/>
        <w:gridCol w:w="80"/>
        <w:gridCol w:w="80"/>
        <w:gridCol w:w="655"/>
        <w:gridCol w:w="185"/>
        <w:gridCol w:w="60"/>
        <w:gridCol w:w="145"/>
        <w:gridCol w:w="1199"/>
        <w:gridCol w:w="209"/>
      </w:tblGrid>
      <w:tr>
        <w:trPr/>
        <w:tc>
          <w:tcPr>
            <w:tcW w:w="4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Common 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Voting Power</w:t>
            </w:r>
          </w:p>
        </w:tc>
        <w:tc>
          <w:tcPr>
            <w:tcW w:w="209" w:type="dxa"/>
            <w:tcBorders/>
            <w:vAlign w:val="center"/>
          </w:tcPr>
          <w:p>
            <w:pPr>
              <w:pStyle w:val="TableContents"/>
              <w:bidi w:val="0"/>
              <w:spacing w:before="0" w:after="283"/>
              <w:jc w:val="left"/>
              <w:rPr/>
            </w:pPr>
            <w:r>
              <w:rPr/>
              <w:t> </w:t>
            </w:r>
          </w:p>
        </w:tc>
      </w:tr>
      <w:tr>
        <w:trPr/>
        <w:tc>
          <w:tcPr>
            <w:tcW w:w="47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 †</w:t>
            </w:r>
          </w:p>
        </w:tc>
        <w:tc>
          <w:tcPr>
            <w:tcW w:w="60" w:type="dxa"/>
            <w:tcBorders/>
            <w:vAlign w:val="center"/>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w:t>
            </w:r>
          </w:p>
        </w:tc>
        <w:tc>
          <w:tcPr>
            <w:tcW w:w="38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09" w:type="dxa"/>
            <w:tcBorders/>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1,556</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13.88</w:t>
            </w:r>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Paula Boggs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38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9"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Leeney</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38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9"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Schofield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w:t>
            </w:r>
          </w:p>
        </w:tc>
        <w:tc>
          <w:tcPr>
            <w:tcW w:w="38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9"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Mason Ward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38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9"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3,328</w:t>
            </w:r>
          </w:p>
        </w:tc>
        <w:tc>
          <w:tcPr>
            <w:tcW w:w="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9" w:type="dxa"/>
            <w:tcBorders/>
            <w:shd w:fill="CCEEFF" w:val="clear"/>
            <w:vAlign w:val="center"/>
          </w:tcPr>
          <w:p>
            <w:pPr>
              <w:pStyle w:val="TableContents"/>
              <w:bidi w:val="0"/>
              <w:spacing w:before="0" w:after="283"/>
              <w:jc w:val="left"/>
              <w:rPr/>
            </w:pPr>
            <w:r>
              <w:rPr/>
              <w:t> </w:t>
            </w:r>
          </w:p>
        </w:tc>
      </w:tr>
      <w:tr>
        <w:trPr/>
        <w:tc>
          <w:tcPr>
            <w:tcW w:w="47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2,313</w:t>
            </w:r>
          </w:p>
        </w:tc>
        <w:tc>
          <w:tcPr>
            <w:tcW w:w="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9" w:type="dxa"/>
            <w:tcBorders/>
            <w:shd w:fill="FFFFFF" w:val="clear"/>
            <w:vAlign w:val="center"/>
          </w:tcPr>
          <w:p>
            <w:pPr>
              <w:pStyle w:val="TableContents"/>
              <w:bidi w:val="0"/>
              <w:spacing w:before="0" w:after="283"/>
              <w:jc w:val="left"/>
              <w:rPr/>
            </w:pPr>
            <w:r>
              <w:rPr/>
              <w:t> </w:t>
            </w:r>
          </w:p>
        </w:tc>
      </w:tr>
      <w:tr>
        <w:trPr/>
        <w:tc>
          <w:tcPr>
            <w:tcW w:w="47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of the Company as a Group (7 Individuals)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8,823</w:t>
            </w:r>
          </w:p>
        </w:tc>
        <w:tc>
          <w:tcPr>
            <w:tcW w:w="38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14.17</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32" w:type="dxa"/>
            <w:tcBorders/>
            <w:vAlign w:val="center"/>
          </w:tcPr>
          <w:p>
            <w:pPr>
              <w:pStyle w:val="TableContents"/>
              <w:bidi w:val="0"/>
              <w:spacing w:before="0" w:after="283"/>
              <w:jc w:val="left"/>
              <w:rPr>
                <w:caps w:val="false"/>
                <w:smallCaps w:val="false"/>
              </w:rPr>
            </w:pPr>
            <w:r>
              <w:rPr>
                <w:caps w:val="false"/>
                <w:smallCaps w:val="false"/>
              </w:rPr>
              <w:t>†</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persons is c/o Banzai International, Inc., 435 Ericksen Ave NE, Suite 250, Bainbridge Island, WA 98110.</w:t>
            </w:r>
          </w:p>
        </w:tc>
      </w:tr>
      <w:tr>
        <w:trPr/>
        <w:tc>
          <w:tcPr>
            <w:tcW w:w="232" w:type="dxa"/>
            <w:tcBorders/>
            <w:vAlign w:val="center"/>
          </w:tcPr>
          <w:p>
            <w:pPr>
              <w:pStyle w:val="TableContents"/>
              <w:bidi w:val="0"/>
              <w:spacing w:before="0" w:after="283"/>
              <w:jc w:val="left"/>
              <w:rPr>
                <w:caps w:val="false"/>
                <w:smallCaps w:val="false"/>
              </w:rPr>
            </w:pPr>
            <w:r>
              <w:rPr>
                <w:caps w:val="false"/>
                <w:smallCaps w:val="false"/>
              </w:rPr>
              <w:t>††</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its holders to one vote per share; each share of Class B Common Stock entitles its holder to ten votes on all matters presented to our stockholders generally. As a result, percentage of voting power is based on 2,450,884 total votes.</w:t>
            </w:r>
          </w:p>
        </w:tc>
      </w:tr>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1,525 shares of Class A Common Stock held directly by Joseph Davy and options to purchase 31 shares of Class A Common Stock exercisable within 60 days of June 2, 2026.</w:t>
            </w:r>
          </w:p>
        </w:tc>
      </w:tr>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2,923 shares of Class A Common Stock held directly by Dean Ditto and options to purchase 405 shares of Class A Common Stock exercisable within 60 days of June 2, 2026.</w:t>
            </w:r>
          </w:p>
        </w:tc>
      </w:tr>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2,295 shares of Class A Common Stock held directly by Simon Baumer, and options to purchase 18 shares of Class A Common Stock exercisable within 60 days of June 2, 2026.</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7" w:name="sa_010"/>
      <w:bookmarkEnd w:id="37"/>
      <w:r>
        <w:rPr>
          <w:rFonts w:ascii="Times New Roman;Times;Serif" w:hAnsi="Times New Roman;Times;Serif"/>
          <w:b/>
          <w:i w:val="false"/>
          <w:caps w:val="false"/>
          <w:smallCaps w:val="false"/>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issuable to the Selling Stockholders upon conversion of the Notes and exercise of the Buyer Warrants. For additional information regarding the issuance of the Notes and the Buyer Warrants, see “Senior Secured Convertible Note Offering” above. We are registering the shares of Common Stock in order to permit the Selling Stockholders to offer the shares for resale from time to time. Except for the ownership of the Notes and the Buyer Warrants issued pursuant to the Securities Purchase Agreement, the Selling Stockholders have not had any material relationship with us within the past three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Notes and Buyer Warrants, as of June 2, 2026, assuming conversion of the Notes and exercise of the Buyer Warrants held by each such Selling Stockholder on that date but taking account of any limitations on conversion and exercise set forth therein.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Stockholders and does not take in account any limitations on (i) conversion of the Notes set forth therein or (ii) exercise of the Buyer Warrants set forth therein.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holders of the Notes and the Buyer Warrants, this prospectus generally covers the resale of 200% of the sum of (i) the maximum number of shares of Common Stock issued or issuable pursuant to the Notes, including payment of interest on the notes through June 30, 2026, and (ii) the maximum number of shares of Common Stock issued or issuable upon exercise of the Buyer Warrants, in each case, determined as if the outstanding Notes (including interest on the notes through June 30, 2026) and Buyer Warrants were converted or exercised (as the case may be) in full (without regard to any limitations on conversion or exercise contained therein solely for the purpose of such calculation) at an alternate conversion price or exercise price (as the case may be) calculated as of the trading day immediately preceding the date this registration statement was initially filed with the SEC. Because the conversion price and alternate conversion price of the Notes and the exercise price of the Buyer Warrants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Notes and the Buyer Warrants, a Selling Stockholder may not convert the Notes or exercise the Buyer Warrants to the extent (but only to the extent) such Selling Stockholder or any of its affiliates would beneficially own a number of shares of our Common Stock which would exceed 4.99% (the “Maximum Percentage”) of the outstanding shares of the Company. The number of shares in the second column reflects these limitations. The Selling Stockholders may sell all, some or none of their shares in this offering. See “Plan of Distribution.”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or entity’s name in the table below does not constitute an admission that such individual or entity is an “affiliate” of the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35"/>
        <w:gridCol w:w="60"/>
        <w:gridCol w:w="305"/>
        <w:gridCol w:w="1322"/>
        <w:gridCol w:w="60"/>
        <w:gridCol w:w="60"/>
        <w:gridCol w:w="153"/>
        <w:gridCol w:w="2160"/>
        <w:gridCol w:w="60"/>
        <w:gridCol w:w="60"/>
        <w:gridCol w:w="490"/>
        <w:gridCol w:w="2128"/>
        <w:gridCol w:w="60"/>
        <w:gridCol w:w="60"/>
        <w:gridCol w:w="184"/>
        <w:gridCol w:w="804"/>
        <w:gridCol w:w="204"/>
      </w:tblGrid>
      <w:tr>
        <w:trPr/>
        <w:tc>
          <w:tcPr>
            <w:tcW w:w="20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627"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13"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18"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8"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(4)</w:t>
            </w:r>
          </w:p>
        </w:tc>
        <w:tc>
          <w:tcPr>
            <w:tcW w:w="204" w:type="dxa"/>
            <w:tcBorders/>
            <w:tcMar>
              <w:bottom w:w="0" w:type="dxa"/>
            </w:tcMar>
            <w:vAlign w:val="center"/>
          </w:tcPr>
          <w:p>
            <w:pPr>
              <w:pStyle w:val="TableContents"/>
              <w:bidi w:val="0"/>
              <w:spacing w:before="0" w:after="283"/>
              <w:jc w:val="left"/>
              <w:rPr/>
            </w:pPr>
            <w:r>
              <w:rPr/>
              <w:t> </w:t>
            </w:r>
          </w:p>
        </w:tc>
      </w:tr>
      <w:tr>
        <w:trPr/>
        <w:tc>
          <w:tcPr>
            <w:tcW w:w="2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13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2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 w:type="dxa"/>
            <w:tcBorders/>
            <w:shd w:fill="FFFFFF" w:val="clear"/>
            <w:tcMar>
              <w:bottom w:w="0" w:type="dxa"/>
            </w:tcMar>
            <w:vAlign w:val="center"/>
          </w:tcPr>
          <w:p>
            <w:pPr>
              <w:pStyle w:val="TableContents"/>
              <w:bidi w:val="0"/>
              <w:spacing w:before="0" w:after="283"/>
              <w:jc w:val="left"/>
              <w:rPr/>
            </w:pPr>
            <w:r>
              <w:rPr/>
              <w:t> </w:t>
            </w:r>
          </w:p>
        </w:tc>
        <w:tc>
          <w:tcPr>
            <w:tcW w:w="21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r>
      <w:tr>
        <w:trPr/>
        <w:tc>
          <w:tcPr>
            <w:tcW w:w="20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3i, LP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13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21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3,731,746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 w:type="dxa"/>
            <w:tcBorders/>
            <w:shd w:fill="CCEEFF" w:val="clear"/>
            <w:tcMar>
              <w:bottom w:w="0" w:type="dxa"/>
            </w:tcMar>
            <w:vAlign w:val="center"/>
          </w:tcPr>
          <w:p>
            <w:pPr>
              <w:pStyle w:val="TableContents"/>
              <w:bidi w:val="0"/>
              <w:spacing w:before="0" w:after="283"/>
              <w:jc w:val="left"/>
              <w:rPr/>
            </w:pPr>
            <w:r>
              <w:rPr/>
              <w:t> </w:t>
            </w:r>
          </w:p>
        </w:tc>
        <w:tc>
          <w:tcPr>
            <w:tcW w:w="2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2,112,235 shares of our Common Stock outstanding as of June 2, 2026, and based on 5,317,629 shares of our Common Stock outstanding after the offering.</w:t>
            </w:r>
          </w:p>
        </w:tc>
      </w:tr>
      <w:tr>
        <w:trPr/>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column lists the number of shares of our Class A Common Stock beneficially owned by this Selling Stockholder as of June 2, 2026, after giving effect to the Maximum Percentage (as defined in the paragraph above). Without regard to the Maximum Percentage, as of June 2, 2026, this Selling Stockholder would beneficially own an aggregate of 3,731,746 shares of our Class A Common Stock, consisting of (i) 2,309,107 shares of Class A Common Stock underlying the outstanding Notes, held by the Selling Stockholder, all of which are being registered under this prospectus; and (ii) 1,422,639 shares of Class A Common Stock issuable upon exercise of the Buyer Warrants held by this Selling Stockholder, currently exercisable at an exercise price of $3.3030, all of which are being registered under this prospectus. For the purposes of the calculations of Common Stock to be sold pursuant to the prospectus we are assuming (a) an event of default under the Notes has not occurred, (b) the Notes are each converted in full at an alternate conversion price of $2.10 without regard to any limitations set forth in the Notes, (c) interest on the Notes has accrued through June 30, 2026, and is paid in shares of our Common Stock, at an interest rate of 10% per annum, and (d) the exercise of all of the Buyer Warrants in full without regard to any limitations on exercise set forth in the Buyer Warrants.</w:t>
            </w:r>
          </w:p>
        </w:tc>
      </w:tr>
      <w:tr>
        <w:trPr/>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that will be held by the Selling Stockholder after completion of this offering based on the assumptions that (a) all Common Stock underlying the Notes and Buyer Warrants registered for sale by the registration statement of which this Prospectus is part of will be sold and (b) no other shares of Common Stock are acquired or sold by the Selling Stockholders prior to completion of this offering. However, the Selling Stockholder may sell all, some or none of such shares offered pursuant to this Prospectus and may sell other shares of Common Stock that they may own pursuant to another registration statement under the Securities Act or sell some or all of their shares pursuant to an exemption from the registration provisions of the Securities Act, including under Rule 144.</w:t>
            </w:r>
          </w:p>
        </w:tc>
      </w:tr>
      <w:tr>
        <w:trPr/>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3i, LP is 2 Wooster Street, 2nd Floor New York, NY 10013. 3i, LP’s principal business is that of a private investor. Maier Joshua Tarlow is the manager of 3i Management, LLC, the general partner of 3i, LP, and has sole voting control and investment discretion over securities beneficially owned directly by 3i, LP and indirectly by 3i Management, LLC. Each of Mr. Tarlow, 3i, LP, and 3i Management, LLC, disclaim any beneficial ownership of these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 w:name="sa_011"/>
      <w:bookmarkEnd w:id="38"/>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are registering the shares of common stock issuable upon conversion of the Notes and exercise of the Buyer Warrants to permit the resale of these shares of Common Stock by the holders of the Notes and Buyer Warrants from time to time after the date of this prospectus. We will not receive any of the proceeds from the sale by the Selling Stockholders of the shares of Common Stock, although we will receive the exercise price of any Buyer Warrants not exercised by the Selling Stockholders on a cashless exercise basis. We will bear all fees and expenses incident to our obligation to register the shares of Common Stock.</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Selling Stockholders may sell all or a portion of the shares of Common Stock held by them and offered hereby from time to time directly or through one or more underwriters, broker- 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10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these exchanges or systems or in the over-the- 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135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 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ind w:left="10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Selling Stockholders may pledge or grant a security interest in some or all of the Notes, Buyer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 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can be no assurance that any selling stockholder will sell any or all of the shares of Common Stock registered pursuant to the registration statement, of which this prospectus forms a part.</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We will pay all expenses of the registration of the shares of Common Stock pursuant to the Registration Rights Agreement, estimated to be $1,702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Once sold under the registration statement, of which this prospectus forms a part, the shares of Common Stock will be freely tradable in the hands of persons other than our affiliates.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sa_012"/>
      <w:bookmarkEnd w:id="39"/>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Registered for Resale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30,309 shares of Common Stock, which was declared effective on February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 shares of Common Stock, which was declared effective on September 26,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which was declared effective on May 21,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333-282306) with the SEC for purposes of registering the resale from time to time of up to an aggregate of 492,506 shares of Common Stock, which was declared effective on October 10,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333-282680) with the SEC for purposes of registering the resale from time to time of up to 87,737 shares of Common Stock, which was declared effective on November 12,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333-288935) with the SEC for purposes of registering the resale from time to time of up to 1,502,826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333-289099) with the SEC for purposes of registering the resale from time to time of up to 9,004,003 shares of Common Stock, which was declared effective on August 8, 2025.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sa_013"/>
      <w:bookmarkEnd w:id="40"/>
      <w:r>
        <w:rPr>
          <w:rFonts w:ascii="Times New Roman;Times;Serif" w:hAnsi="Times New Roman;Times;Serif"/>
          <w:b/>
          <w:i w:val="false"/>
          <w:caps w:val="false"/>
          <w:smallCaps w:val="false"/>
          <w:sz w:val="20"/>
        </w:rPr>
        <w:t>DESCRIPTION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w:t>
      </w:r>
      <w:r>
        <w:rPr>
          <w:rFonts w:ascii="Times New Roman;Times;Serif" w:hAnsi="Times New Roman;Times;Serif"/>
          <w:b w:val="false"/>
          <w:i w:val="false"/>
          <w:caps w:val="false"/>
          <w:smallCaps w:val="false"/>
          <w:sz w:val="20"/>
        </w:rPr>
        <w:t>. 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FE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Warrants, Series B Warrants, Placement Agent Warrants,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The Company has issued Pre-Funded Warrants to purchase up to an aggregate of 5,883 shares of Common Stock. The Pre-Funded Warrants were issued pursuant to the Purchase Agreement, dated as of September 24, 2024, between the Company and the investor party thereto. Each Pre-Funded Warrant has an exercise price of $0.20 per share. The Pre-Funded Warrants are immediately exercisable and will not expire until exercised in full. The exercise price and the number of shares of Common Stock issuable upon exercise of the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or Warrants may not exercise any portion of such warrants to the extent that, immediately after giving effect to such exercise, the holder, together with its affiliates and any other persons acting as a group together with the holder or any of its affiliates, would beneficially own in excess of 4.99% (or, at the election of the holder prior to the date of issuance, 9.99%) of the number of shares of Common Stock outstanding immediately after giving effect to such exercise (the “Beneficial Ownership Limitation”). The holder, upon not less than 61 days’ prior written notice to the Company, may increase or decrease the Beneficial Ownership Limitation; provided that the Beneficial Ownership Limitation may not exceed 9.99% of the number of shares of Common Stock outstanding immediately after giving effect to the exercise. Fundamental Transactions. In the event of a fundamental transaction (as defined in the Warrants), including, without limitation, any merger, consolidation, sale of all or substantially all of the Company’s assets, tender offer, or exchange offer, the holders of the Warrants will be entitled to receive, upon exercise of the Warrants, the same type or form of consideration (and in the same proportion) that is being offered and paid to the holders of Common Stock in connection with such fundamental transaction. In addition, in the event of a fundamental transaction, each holder of a Warrant will have the right, exercisable at any time within 30 days following the consummation of such fundamental transaction, to require the Company or the successor entity to repurchase such holder’s Warrants for consideration equal to the Black-Scholes Value (as defined in the Warrants) of the unexercised portion of such Warrants, payable either in cash or in the same type or form of consideration as is being offered and paid to the holders of Common Stock in connection with such fundamental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Warrants. The Company has issued Series A Warrants to purchase up to an aggregate of 5,883 shares of Common Stock. The Series A Warrants were issued pursuant to the Purchase Agreement. Each Series A Warrant has an exercise price of $800.00 per share (subject to adjustment as described below). The Series A Warrants are immediately exercisable upon issuance and have a term of exercise of five (5) years from the date of issuance. The Series A Warrants are exercisable on a cashless basis if, at the time of exercise, there is no effective registration statement registering, or the prospectus contained therein is not available for the issuance of, the shares of Common Stock underlying the Series A Warrants. The exercise price and the number of shares of Common Stock issuable upon exercise of the Series A Warrants are subject to appropriate adjustment in the event of stock dividends, stock splits, reorganizations, or similar events affecting the Common Stock. Pursuant to the Waiver (as defined herein), the exercise price of the Series A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Warrants. The Company has issued Series B Warrants to purchase up to an aggregate of 5,883 shares of Common Stock. The Series B Warrants were issued pursuant to the Purchase Agreement. Each Series B Warrant has an exercise price of $800.00 per share (subject to adjustment as described below). The Series B Warrants are immediately exercisable upon issuance and have a term of exercise of eighteen (18) months from the date of issuance. The Series B Warrants are exercisable on a cashless basis if, at the time of exercise, there is no effective registration statement registering, or the prospectus contained therein is not available for the issuance of, the shares of Common Stock underlying the Series B Warrants. The exercise price and the number of shares of Common Stock issuable upon exercise of the Series B Warrants are subject to appropriate adjustment in the event of stock dividends, stock splits, reorganizations, or similar events affecting the Common Stock. Pursuant to the Waiver, the exercise price of the Series B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Warrants. In connection with the Private Placement, the Company issued to H.C. Wainwright &amp; Co., LLC (“Wainwright”) or its designees Placement Agent Warrants to purchase up to an aggregate of 442 shares of Common Stock (subject to increase as described below). The Placement Agent Warrants were issued pursuant to the Engagement Letter, dated as of September 12, 2024, as amended, between the Company and Wainwright. Each Placement Agent Warrant has an exercise price of $1,062,50 per share. The Placement Agent Warrants are immediately exercisable upon issuance and have a term of exercise of five (5) years from the date of issuance. If any Warrants are exercised for cash, the Company will be obligated to issue to Wainwright additional Placement Agent Warrants equal to 7.5% of the aggregate number of Warrants so exercised. The Placement Agent Warrants have substantially the same terms as the Warrants, including with respect to exercise mechanics, beneficial ownership limitations, cashless exercise, and fundamental transaction provisions. The exercise price and the number of shares of Common Stock issuable upon exercise of the Placement Agent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the Series A Warrants, the Series B Warrants, and the Placement Agent Warrants are collectively referred to as the “September 2024 Warrants”. Below are summaries of the material terms of the September 2024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September 2024 Warrants shall not be entitled to vote on any matter submitted to the stockholders of the Company for a vote, and shall not be entitled to receive dividends or other distributions declared or paid on shares of Common Stock, in each case prior to the exercise of such September 2024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2024 Warrants may be transferred by the holders thereof, subject to applicable securities laws and the transfer restrictions set forth in the respective warrant instruments. Governing Law. The September 2024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filed in connection with the Private Placement. The Company also agreed not to effect any Variable Rate Transaction (as defined in the Purchase Agreement) until one (1) year after such effective date (subject to certain exceptions). In connection with the merger with OpenReel, Inc. (the “OR Merger”), the investor party to the Purchase Agreement agreed to waive the foregoing restrictions (the “Waiver”). In consideration for the Waiver, the Company agreed to reduce the exercise price of the September 2024 Warrants issued to such investor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dated as of September 24, 2024, with the investor, pursuant to which the Company agreed to prepare and file a registration statement on Form S-1 to register the resale of the shares of Common Stock issuable upon exercise of the September 2024 Warrants. The Company agreed to use its best efforts to cause such registration statement to be declared effective as promptly as practicable, and in any event no later than forty-five (45) days following the date of the Registration Rights Agreement (or seventy-five (75) days following such date in the event of a “full review” by the SEC). The Company filed an initial registration statement on Form S-1 (File No. 333-282506) with the SEC on October 4, 2024, which was declared effective on November 6, 2024. The Registration Rights Agreement contains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Warrants and Pre-Funded Warrants; Alco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Warrants.</w:t>
      </w:r>
      <w:r>
        <w:rPr>
          <w:rFonts w:ascii="Times New Roman;Times;Serif" w:hAnsi="Times New Roman;Times;Serif"/>
          <w:b w:val="false"/>
          <w:i w:val="false"/>
          <w:caps w:val="false"/>
          <w:smallCaps w:val="false"/>
          <w:sz w:val="20"/>
        </w:rPr>
        <w:t xml:space="preserve"> Pursuant to the CP BF SPA, the Company issued to CP BF Warrants to purchase up to an aggregate of 2,828 shares of Class A Common Stock. Each CP BF Warrant has an initial exercise price of $50.00 per share, subject to adjustment as described below. The CP BF Warrants are immediately exercisable upon issuance and have a term of exercise of five (5) years from the date of issuance. The CP BF Warrants are exercisable on a cashless basis if, at the time of exercise, there is no effective registration statement registering, or the prospectus contained therein is not available for the issuance of, the shares of Common Stock underlying the CP BF Warrants. The exercise price and the number of shares of Common Stock issuable upon exercise of the CP BF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Pre-Funded Warrants</w:t>
      </w:r>
      <w:r>
        <w:rPr>
          <w:rFonts w:ascii="Times New Roman;Times;Serif" w:hAnsi="Times New Roman;Times;Serif"/>
          <w:b w:val="false"/>
          <w:i w:val="false"/>
          <w:caps w:val="false"/>
          <w:smallCaps w:val="false"/>
          <w:sz w:val="20"/>
        </w:rPr>
        <w:t>. Pursuant to the CP BF SPA, the Company issued to CP BF Pre-Funded Warrants to purchase up to an aggregate of 1,524 shares of Class A Common Stock. Each CP BF Pre-Funded Warrant has an exercise price of $0.02 per share. The CP BF Pre-Funded Warrants are immediately exercisable upon issuance and will not expire until exercised in full. The exercise price and the number of shares of Common Stock issuable upon exercise of the CP BF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Alco Warrants. </w:t>
      </w:r>
      <w:r>
        <w:rPr>
          <w:rFonts w:ascii="Times New Roman;Times;Serif" w:hAnsi="Times New Roman;Times;Serif"/>
          <w:b w:val="false"/>
          <w:i w:val="false"/>
          <w:caps w:val="false"/>
          <w:smallCaps w:val="false"/>
          <w:sz w:val="20"/>
        </w:rPr>
        <w:t>Pursuant to the Alco Transaction Documents, the Company issued to Alco Warrants to purchase up to an aggregate of 6,657 shares of Class A Common Stock, on substantially the same terms as the CP BF Warrants, including with respect to exercise price, exercise mechanics, cashless exercise, anti-dilution adjustments, beneficial ownership limitations, and fundamental transaction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Alco Pre-Funded Warrants.</w:t>
      </w:r>
      <w:r>
        <w:rPr>
          <w:rFonts w:ascii="Times New Roman;Times;Serif" w:hAnsi="Times New Roman;Times;Serif"/>
          <w:b w:val="false"/>
          <w:i w:val="false"/>
          <w:caps w:val="false"/>
          <w:smallCaps w:val="false"/>
          <w:sz w:val="20"/>
        </w:rPr>
        <w:t xml:space="preserve"> Pursuant to the Alco Transaction Documents, the Company issued to Alco Pre-Funded Warrants to purchase up to an aggregate of 5,245 shares of Class A Common Stock, on substantially the same terms as the CP BF Pre-Funded Warrants, including with respect to exercise price, exercise mechanics, and 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CP BF Warrants, the CP BF Pre-Funded Warrants, the Alco Warrants, nor the Alco Pre-Funded Warrants are collectively referred to as the “Transaction Warrants”. Below are summaries of the material terms of the Transaction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exercised to the extent that, immediately after giving effect to such exercise, the holder, together with its affiliates and any other persons acting as a group together with the holder or any of its affiliates, would beneficially own in excess of 19.99% of the number of shares of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Transaction Warrants shall not be entitled to vote on any matter submitted to the stockholders of the Company for a vote, and shall not be entitled to receive dividends or other distributions declared or paid on shares of Common Stock, in each case prior to the exercise of such Transaction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transferred by the holders thereof, subject to applicable securities laws and the transfer restrictions set forth in the respective warrant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Transaction Warrants, the Company entered into Registration Rights Agreements with each of CP BF and Alco, pursuant to which the Company agreed to prepare and file a registration statement to register the resale of the shares of Common Stock issuable upon exercise of the Transaction Warrants. The Company agreed to use its commercially reasonable efforts to cause such registration statement to become effective on or before December 9, 2024. The Registration Rights Agreements contain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Stockholder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$115,000.00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Public Warrants When the price per Share of Class A Common Stock Equals or Exceeds $180,000.00.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 redemption trigger price (as adjusted for certain adjustments to the number of shares issuable upon exercise or the exercise price of a Public Warrant as described under the heading “-Warrants-Public Stockholder Warrants-Anti-dilution Adjustments”) as well as the $115,000.00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83 shares of Class A Common Stock at an exercise price of $64,900.00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 in connection with the 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“Debt – Senior Secured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 is convertible, at CP BF’s option on 5 days’ written notice to the Company, into shares of Class A Common Stock. The Senior Convertible Note provides that the initial fixed conversion price for any such conversion is $50.00 per share, subject to adjustment as provided therein and as amended by the letter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letter agreements, the following amendments were made to the Loan Agreement and Note in October 2025 and then amended again in May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$4.50 (the “Floor Price”),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 Yorkville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SEPAs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Class A Common Stock equal to the commitment amount of $100.0 million.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Issuances of Class A Common Stock Under the SEPA on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conducted an additional closing pursuant to the Purchase Agreement (the “August Closing”) and issued an additional note in the original principal amount of $2,200,000 (the “August Note”) and warrants to purchase up to 1,332,213 shares of Class A Common Stock, as adjusted, at a current exercise price equal to $3.303 per share, as adjusted (the “August Warrants”). The August Note has a current conversion price equal to $3.303 per share, as adjusted, and matures on August 19, 2026. Other than the maturity date and the conversion and exercise prices, the August Note and August Warrants have the same terms as those issued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conducted an additional closing pursuant to the Purchase Agreement (the “October Closing”) and issued an additional note in the original principal amount of $2,500,000 (the “October Note”) and warrants to purchase up to 151,378 shares of Class A Common Stock, as adjusted, at a current exercise price equal to $3.303 per share, as adjusted (the “October Warrants”). The October Note has a current conversion price equal to $3.303 per share, as adjusted, and matures on October 8, 2026. Other than the maturity date and the conversion and exercise prices, the October Note and October Warrants have the same terms as those issued at the August Closing and the Initial Closing.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Initial Note, the “Notes”) and warrants to purchase up to 141,286 shares of Class A Common Stock at an initial exercise price equal to $3.303 per share (the “February Warrants” and, together with the October Warrants, the August Warrants, and the Initial Buyer Warrants, the “Buyer Warrants”). The February Note has an initial conversion price equal to $3.303 per share and matures on February 13, 2027. Other than the maturity date and the conversion and exercise prices, the February Note and February Warrants have the same terms as those issued at the prior closings.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$1.22).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exercisable immediately upon issuance and have a term of exercise equal to three (3) years from the respective date of issuance. The exercise price of the Buyer Warrants is $3.303 per share (subject to adjustment as set forth therein).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underlying the Notes and the Buyer Warrants issued in connection with the Offering are registered for resale under registration statements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the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but Unissued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 Selection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our outstanding voting stock (otherwise known as an “interested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Business Corporation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or its subsidiaries employed in Washington as a result of the acquiring person’s acquisition of 10% or more of the shares;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Capital Market under the symbol “BNZI,” and the Company’s Public Warrants are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ta_009"/>
      <w:bookmarkEnd w:id="41"/>
      <w:r>
        <w:rPr>
          <w:rFonts w:ascii="Times New Roman;Times;Serif" w:hAnsi="Times New Roman;Times;Serif"/>
          <w:b/>
          <w:i w:val="false"/>
          <w:caps w:val="false"/>
          <w:smallCaps w:val="false"/>
          <w:sz w:val="20"/>
        </w:rPr>
        <w:t>MATERIAL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Buyer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 or other financial institution;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 corporation or other pass-through entity (or an investor in an S corporation or other pass-through entity);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 or a mutual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 a “passive foreign investment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stocks and securities, or currencies;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elects mark-to-market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is liable for the alternative minimum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received shares, through the exercise of an employee stock option, through a tax qualified retirement plan or otherwise as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a functional currency other than the U.S. dollar;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holds shares as part of a hedge, straddle, constructive sale, conversion, or other integrated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its shares as a result of such income being recognized on an applicable financial statement;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Class A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Expiration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A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183 days or more in the taxable year of disposition and certain other conditions are met;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ta_010"/>
      <w:bookmarkEnd w:id="4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ta_011"/>
      <w:bookmarkEnd w:id="43"/>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ta_012"/>
      <w:bookmarkEnd w:id="4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ta_013"/>
      <w:bookmarkEnd w:id="4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6"/>
        <w:gridCol w:w="289"/>
      </w:tblGrid>
      <w:tr>
        <w:trPr/>
        <w:tc>
          <w:tcPr>
            <w:tcW w:w="9916"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Financial Statements as of and for the three months ended March 31, 2026</w:t>
            </w:r>
          </w:p>
        </w:tc>
        <w:tc>
          <w:tcPr>
            <w:tcW w:w="28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6" w:type="dxa"/>
            <w:tcBorders/>
            <w:shd w:fill="CCEEFF" w:val="clear"/>
            <w:vAlign w:val="center"/>
          </w:tcPr>
          <w:p>
            <w:pPr>
              <w:pStyle w:val="TableContents"/>
              <w:bidi w:val="0"/>
              <w:spacing w:before="0" w:after="283"/>
              <w:jc w:val="left"/>
              <w:rPr/>
            </w:pPr>
            <w:hyperlink w:anchor="TM_001">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16" w:type="dxa"/>
            <w:tcBorders/>
            <w:shd w:fill="FFFFFF" w:val="clear"/>
            <w:vAlign w:val="center"/>
          </w:tcPr>
          <w:p>
            <w:pPr>
              <w:pStyle w:val="TableContents"/>
              <w:bidi w:val="0"/>
              <w:spacing w:before="0" w:after="283"/>
              <w:jc w:val="left"/>
              <w:rPr/>
            </w:pPr>
            <w:hyperlink w:anchor="TM_002">
              <w:r>
                <w:rPr>
                  <w:rStyle w:val="InternetLink"/>
                  <w:rFonts w:ascii="Times New Roman;Times;Serif" w:hAnsi="Times New Roman;Times;Serif"/>
                  <w:b w:val="false"/>
                  <w:i w:val="false"/>
                  <w:caps w:val="false"/>
                  <w:smallCaps w:val="false"/>
                  <w:sz w:val="20"/>
                </w:rPr>
                <w:t>Unaudited Condensed Consolidated Statements of Operations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16" w:type="dxa"/>
            <w:tcBorders/>
            <w:shd w:fill="CCEEFF" w:val="clear"/>
            <w:vAlign w:val="center"/>
          </w:tcPr>
          <w:p>
            <w:pPr>
              <w:pStyle w:val="TableContents"/>
              <w:bidi w:val="0"/>
              <w:spacing w:before="0" w:after="283"/>
              <w:jc w:val="left"/>
              <w:rPr/>
            </w:pPr>
            <w:hyperlink w:anchor="TM_003">
              <w:r>
                <w:rPr>
                  <w:rStyle w:val="InternetLink"/>
                  <w:rFonts w:ascii="Times New Roman;Times;Serif" w:hAnsi="Times New Roman;Times;Serif"/>
                  <w:b w:val="false"/>
                  <w:i w:val="false"/>
                  <w:caps w:val="false"/>
                  <w:smallCaps w:val="false"/>
                  <w:sz w:val="20"/>
                </w:rPr>
                <w:t>Unaudited Condensed Consolidated Statements of Equity (Deficit) Stockholders’ Deficit for the three months ended March 31, 2026 and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16" w:type="dxa"/>
            <w:tcBorders/>
            <w:shd w:fill="FFFFFF" w:val="clear"/>
            <w:vAlign w:val="center"/>
          </w:tcPr>
          <w:p>
            <w:pPr>
              <w:pStyle w:val="TableContents"/>
              <w:bidi w:val="0"/>
              <w:spacing w:before="0" w:after="283"/>
              <w:jc w:val="left"/>
              <w:rPr/>
            </w:pPr>
            <w:hyperlink w:anchor="TM_004">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16" w:type="dxa"/>
            <w:tcBorders/>
            <w:shd w:fill="CCEEFF" w:val="clear"/>
            <w:vAlign w:val="center"/>
          </w:tcPr>
          <w:p>
            <w:pPr>
              <w:pStyle w:val="TableContents"/>
              <w:bidi w:val="0"/>
              <w:spacing w:before="0" w:after="283"/>
              <w:jc w:val="left"/>
              <w:rPr/>
            </w:pPr>
            <w:hyperlink w:anchor="TM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95"/>
        <w:gridCol w:w="410"/>
      </w:tblGrid>
      <w:tr>
        <w:trPr/>
        <w:tc>
          <w:tcPr>
            <w:tcW w:w="87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Consolidated Financial Statements as of and for the years ended December 31, 2025 and 2024</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795"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6797)</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F-44</w:t>
            </w:r>
          </w:p>
        </w:tc>
      </w:tr>
      <w:tr>
        <w:trPr/>
        <w:tc>
          <w:tcPr>
            <w:tcW w:w="8795"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F-45</w:t>
            </w:r>
          </w:p>
        </w:tc>
      </w:tr>
      <w:tr>
        <w:trPr/>
        <w:tc>
          <w:tcPr>
            <w:tcW w:w="8795"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F-46</w:t>
            </w:r>
          </w:p>
        </w:tc>
      </w:tr>
      <w:tr>
        <w:trPr/>
        <w:tc>
          <w:tcPr>
            <w:tcW w:w="8795"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F-47</w:t>
            </w:r>
          </w:p>
        </w:tc>
      </w:tr>
      <w:tr>
        <w:trPr/>
        <w:tc>
          <w:tcPr>
            <w:tcW w:w="8795"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Consolidated Statements of Stockholders’ Equity (Deficit) for the Years ended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r>
        <w:trPr/>
        <w:tc>
          <w:tcPr>
            <w:tcW w:w="8795"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95"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Notes to the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TM_001"/>
      <w:bookmarkEnd w:id="4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 w:name="xdx_308_111_pn3n3_z8ijbIPsBiul"/>
      <w:bookmarkStart w:id="48" w:name="xdx_308_111_pn3n3_z8ijbIPsBiul"/>
      <w:bookmarkEnd w:id="48"/>
    </w:p>
    <w:tbl>
      <w:tblPr>
        <w:tblW w:w="10205" w:type="dxa"/>
        <w:jc w:val="left"/>
        <w:tblInd w:w="0" w:type="dxa"/>
        <w:tblLayout w:type="fixed"/>
        <w:tblCellMar>
          <w:top w:w="0" w:type="dxa"/>
          <w:left w:w="0" w:type="dxa"/>
          <w:bottom w:w="0" w:type="dxa"/>
          <w:right w:w="0" w:type="dxa"/>
        </w:tblCellMar>
      </w:tblPr>
      <w:tblGrid>
        <w:gridCol w:w="7496"/>
        <w:gridCol w:w="60"/>
        <w:gridCol w:w="157"/>
        <w:gridCol w:w="982"/>
        <w:gridCol w:w="95"/>
        <w:gridCol w:w="60"/>
        <w:gridCol w:w="170"/>
        <w:gridCol w:w="1073"/>
        <w:gridCol w:w="112"/>
      </w:tblGrid>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9" w:name="xdx_496_20260331_zKx9MFccGt0h"/>
            <w:bookmarkEnd w:id="49"/>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 w:name="xdx_49D_20251231_zgYtUwd9PE9f"/>
            <w:bookmarkEnd w:id="50"/>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bookmarkStart w:id="51" w:name="xdx_401_eus-gaap--AssetsAbstract_iB_zcyz"/>
            <w:bookmarkEnd w:id="51"/>
          </w:p>
        </w:tc>
      </w:tr>
      <w:tr>
        <w:trPr/>
        <w:tc>
          <w:tcPr>
            <w:tcW w:w="749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2" w:name="xdx_40B_eus-gaap--AssetsCurrentAbstract_"/>
            <w:bookmarkEnd w:id="52"/>
          </w:p>
        </w:tc>
      </w:tr>
      <w:tr>
        <w:trPr/>
        <w:tc>
          <w:tcPr>
            <w:tcW w:w="749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3" w:name="xdx_40F_eus-gaap--CashAndCashEquivalents"/>
            <w:bookmarkEnd w:id="53"/>
          </w:p>
        </w:tc>
      </w:tr>
      <w:tr>
        <w:trPr/>
        <w:tc>
          <w:tcPr>
            <w:tcW w:w="749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259</w:t>
            </w:r>
          </w:p>
        </w:tc>
        <w:tc>
          <w:tcPr>
            <w:tcW w:w="112" w:type="dxa"/>
            <w:tcBorders/>
            <w:shd w:fill="CCEEFF" w:val="clear"/>
            <w:vAlign w:val="center"/>
          </w:tcPr>
          <w:p>
            <w:pPr>
              <w:pStyle w:val="TableContents"/>
              <w:bidi w:val="0"/>
              <w:spacing w:before="0" w:after="283"/>
              <w:jc w:val="left"/>
              <w:rPr/>
            </w:pPr>
            <w:r>
              <w:rPr/>
              <w:t> </w:t>
            </w:r>
            <w:bookmarkStart w:id="54" w:name="xdx_401_eus-gaap--AccountsReceivableNetC"/>
            <w:bookmarkEnd w:id="54"/>
          </w:p>
        </w:tc>
      </w:tr>
      <w:tr>
        <w:trPr/>
        <w:tc>
          <w:tcPr>
            <w:tcW w:w="7496" w:type="dxa"/>
            <w:tcBorders/>
            <w:shd w:fill="FFFFFF" w:val="clear"/>
            <w:vAlign w:val="center"/>
          </w:tcPr>
          <w:p>
            <w:pPr>
              <w:pStyle w:val="TableContents"/>
              <w:bidi w:val="0"/>
              <w:spacing w:before="0" w:after="283"/>
              <w:jc w:val="left"/>
              <w:rPr/>
            </w:pPr>
            <w:r>
              <w:rPr/>
              <w:t>Accounts receivable, net of allowance for credit losses of $</w:t>
            </w:r>
            <w:bookmarkStart w:id="55" w:name="xdx_90C_eus-gaap--AllowanceForDoubtfulAc"/>
            <w:bookmarkEnd w:id="55"/>
            <w:r>
              <w:rPr/>
              <w:t>26 and $</w:t>
            </w:r>
            <w:bookmarkStart w:id="56" w:name="xdx_904_eus-gaap--AllowanceForDoubtfulAc"/>
            <w:bookmarkEnd w:id="56"/>
            <w:r>
              <w:rPr/>
              <w:t>41,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709</w:t>
            </w:r>
          </w:p>
        </w:tc>
        <w:tc>
          <w:tcPr>
            <w:tcW w:w="112" w:type="dxa"/>
            <w:tcBorders/>
            <w:shd w:fill="FFFFFF" w:val="clear"/>
            <w:vAlign w:val="center"/>
          </w:tcPr>
          <w:p>
            <w:pPr>
              <w:pStyle w:val="TableContents"/>
              <w:bidi w:val="0"/>
              <w:spacing w:before="0" w:after="283"/>
              <w:jc w:val="left"/>
              <w:rPr/>
            </w:pPr>
            <w:r>
              <w:rPr/>
              <w:t> </w:t>
            </w:r>
            <w:bookmarkStart w:id="57" w:name="xdx_406_eus-gaap--PrepaidExpenseAndOther"/>
            <w:bookmarkEnd w:id="57"/>
          </w:p>
        </w:tc>
      </w:tr>
      <w:tr>
        <w:trPr/>
        <w:tc>
          <w:tcPr>
            <w:tcW w:w="749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112" w:type="dxa"/>
            <w:tcBorders/>
            <w:shd w:fill="CCEEFF" w:val="clear"/>
            <w:vAlign w:val="center"/>
          </w:tcPr>
          <w:p>
            <w:pPr>
              <w:pStyle w:val="TableContents"/>
              <w:bidi w:val="0"/>
              <w:spacing w:before="0" w:after="283"/>
              <w:jc w:val="left"/>
              <w:rPr/>
            </w:pPr>
            <w:r>
              <w:rPr/>
              <w:t> </w:t>
            </w:r>
            <w:bookmarkStart w:id="58" w:name="xdx_403_eus-gaap--AssetsCurrent_i01TI_mt"/>
            <w:bookmarkEnd w:id="58"/>
          </w:p>
        </w:tc>
      </w:tr>
      <w:tr>
        <w:trPr/>
        <w:tc>
          <w:tcPr>
            <w:tcW w:w="749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1,413</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9" w:name="xdx_403_eus-gaap--PropertyPlantAndEquipm"/>
            <w:bookmarkEnd w:id="59"/>
          </w:p>
        </w:tc>
      </w:tr>
      <w:tr>
        <w:trPr/>
        <w:tc>
          <w:tcPr>
            <w:tcW w:w="749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jc w:val="left"/>
              <w:rPr/>
            </w:pPr>
            <w:r>
              <w:rPr/>
              <w:t> </w:t>
            </w:r>
            <w:bookmarkStart w:id="60" w:name="xdx_406_eus-gaap--IntangibleAssetsNetExc"/>
            <w:bookmarkEnd w:id="60"/>
          </w:p>
        </w:tc>
      </w:tr>
      <w:tr>
        <w:trPr/>
        <w:tc>
          <w:tcPr>
            <w:tcW w:w="749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8,027</w:t>
            </w:r>
          </w:p>
        </w:tc>
        <w:tc>
          <w:tcPr>
            <w:tcW w:w="112" w:type="dxa"/>
            <w:tcBorders/>
            <w:shd w:fill="CCEEFF" w:val="clear"/>
            <w:vAlign w:val="center"/>
          </w:tcPr>
          <w:p>
            <w:pPr>
              <w:pStyle w:val="TableContents"/>
              <w:bidi w:val="0"/>
              <w:spacing w:before="0" w:after="283"/>
              <w:jc w:val="left"/>
              <w:rPr/>
            </w:pPr>
            <w:r>
              <w:rPr/>
              <w:t> </w:t>
            </w:r>
            <w:bookmarkStart w:id="61" w:name="xdx_40A_eus-gaap--Goodwill_i01I_maAzvBs_"/>
            <w:bookmarkEnd w:id="61"/>
          </w:p>
        </w:tc>
      </w:tr>
      <w:tr>
        <w:trPr/>
        <w:tc>
          <w:tcPr>
            <w:tcW w:w="749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21,992</w:t>
            </w:r>
          </w:p>
        </w:tc>
        <w:tc>
          <w:tcPr>
            <w:tcW w:w="112" w:type="dxa"/>
            <w:tcBorders/>
            <w:shd w:fill="FFFFFF" w:val="clear"/>
            <w:vAlign w:val="center"/>
          </w:tcPr>
          <w:p>
            <w:pPr>
              <w:pStyle w:val="TableContents"/>
              <w:bidi w:val="0"/>
              <w:spacing w:before="0" w:after="283"/>
              <w:jc w:val="left"/>
              <w:rPr/>
            </w:pPr>
            <w:r>
              <w:rPr/>
              <w:t> </w:t>
            </w:r>
            <w:bookmarkStart w:id="62" w:name="xdx_404_eus-gaap--OperatingLeaseRightOfU"/>
            <w:bookmarkEnd w:id="62"/>
          </w:p>
        </w:tc>
      </w:tr>
      <w:tr>
        <w:trPr/>
        <w:tc>
          <w:tcPr>
            <w:tcW w:w="749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56</w:t>
            </w:r>
          </w:p>
        </w:tc>
        <w:tc>
          <w:tcPr>
            <w:tcW w:w="112" w:type="dxa"/>
            <w:tcBorders/>
            <w:shd w:fill="CCEEFF" w:val="clear"/>
            <w:vAlign w:val="center"/>
          </w:tcPr>
          <w:p>
            <w:pPr>
              <w:pStyle w:val="TableContents"/>
              <w:bidi w:val="0"/>
              <w:spacing w:before="0" w:after="283"/>
              <w:jc w:val="left"/>
              <w:rPr/>
            </w:pPr>
            <w:r>
              <w:rPr/>
              <w:t> </w:t>
            </w:r>
            <w:bookmarkStart w:id="63" w:name="xdx_405_eus-gaap--EmbeddedDerivativeFair"/>
            <w:bookmarkEnd w:id="63"/>
          </w:p>
        </w:tc>
      </w:tr>
      <w:tr>
        <w:trPr/>
        <w:tc>
          <w:tcPr>
            <w:tcW w:w="7496"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bookmarkStart w:id="64" w:name="xdx_405_ecustom--DeferredOfferingCostsNo"/>
            <w:bookmarkEnd w:id="64"/>
          </w:p>
        </w:tc>
      </w:tr>
      <w:tr>
        <w:trPr/>
        <w:tc>
          <w:tcPr>
            <w:tcW w:w="7496"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 </w:t>
            </w:r>
            <w:bookmarkStart w:id="65" w:name="xdx_40E_eus-gaap--OtherAssets_i01I_maAzv"/>
            <w:bookmarkEnd w:id="65"/>
          </w:p>
        </w:tc>
      </w:tr>
      <w:tr>
        <w:trPr/>
        <w:tc>
          <w:tcPr>
            <w:tcW w:w="749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bookmarkStart w:id="66" w:name="xdx_406_eus-gaap--Assets_i01TI_mtAzvBs_z"/>
            <w:bookmarkEnd w:id="66"/>
          </w:p>
        </w:tc>
      </w:tr>
      <w:tr>
        <w:trPr/>
        <w:tc>
          <w:tcPr>
            <w:tcW w:w="749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pPr>
            <w:r>
              <w:rPr/>
              <w:t>31,631</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7" w:name="xdx_40C_eus-gaap--LiabilitiesAndStockhol"/>
            <w:bookmarkEnd w:id="67"/>
          </w:p>
        </w:tc>
      </w:tr>
      <w:tr>
        <w:trPr/>
        <w:tc>
          <w:tcPr>
            <w:tcW w:w="7496"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8" w:name="xdx_40D_eus-gaap--LiabilitiesCurrentAbst"/>
            <w:bookmarkEnd w:id="68"/>
          </w:p>
        </w:tc>
      </w:tr>
      <w:tr>
        <w:trPr/>
        <w:tc>
          <w:tcPr>
            <w:tcW w:w="749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9" w:name="xdx_401_eus-gaap--AccountsPayableCurrent"/>
            <w:bookmarkEnd w:id="69"/>
          </w:p>
        </w:tc>
      </w:tr>
      <w:tr>
        <w:trPr/>
        <w:tc>
          <w:tcPr>
            <w:tcW w:w="749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2,494</w:t>
            </w:r>
          </w:p>
        </w:tc>
        <w:tc>
          <w:tcPr>
            <w:tcW w:w="112" w:type="dxa"/>
            <w:tcBorders/>
            <w:shd w:fill="CCEEFF" w:val="clear"/>
            <w:vAlign w:val="center"/>
          </w:tcPr>
          <w:p>
            <w:pPr>
              <w:pStyle w:val="TableContents"/>
              <w:bidi w:val="0"/>
              <w:spacing w:before="0" w:after="283"/>
              <w:jc w:val="left"/>
              <w:rPr/>
            </w:pPr>
            <w:r>
              <w:rPr/>
              <w:t> </w:t>
            </w:r>
            <w:bookmarkStart w:id="70" w:name="xdx_406_eus-gaap--AccountsPayableAndOthe"/>
            <w:bookmarkEnd w:id="70"/>
          </w:p>
        </w:tc>
      </w:tr>
      <w:tr>
        <w:trPr/>
        <w:tc>
          <w:tcPr>
            <w:tcW w:w="7496"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4,354</w:t>
            </w:r>
          </w:p>
        </w:tc>
        <w:tc>
          <w:tcPr>
            <w:tcW w:w="112" w:type="dxa"/>
            <w:tcBorders/>
            <w:shd w:fill="FFFFFF" w:val="clear"/>
            <w:vAlign w:val="center"/>
          </w:tcPr>
          <w:p>
            <w:pPr>
              <w:pStyle w:val="TableContents"/>
              <w:bidi w:val="0"/>
              <w:spacing w:before="0" w:after="283"/>
              <w:jc w:val="left"/>
              <w:rPr/>
            </w:pPr>
            <w:r>
              <w:rPr/>
              <w:t> </w:t>
            </w:r>
            <w:bookmarkStart w:id="71" w:name="xdx_405_eus-gaap--ConvertibleDebtCurrent"/>
            <w:bookmarkEnd w:id="71"/>
          </w:p>
        </w:tc>
      </w:tr>
      <w:tr>
        <w:trPr/>
        <w:tc>
          <w:tcPr>
            <w:tcW w:w="7496"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4,923</w:t>
            </w:r>
          </w:p>
        </w:tc>
        <w:tc>
          <w:tcPr>
            <w:tcW w:w="112" w:type="dxa"/>
            <w:tcBorders/>
            <w:shd w:fill="CCEEFF" w:val="clear"/>
            <w:vAlign w:val="center"/>
          </w:tcPr>
          <w:p>
            <w:pPr>
              <w:pStyle w:val="TableContents"/>
              <w:bidi w:val="0"/>
              <w:spacing w:before="0" w:after="283"/>
              <w:jc w:val="left"/>
              <w:rPr/>
            </w:pPr>
            <w:r>
              <w:rPr/>
              <w:t> </w:t>
            </w:r>
            <w:bookmarkStart w:id="72" w:name="xdx_40D_ecustom--ConvertibleNotesCarried"/>
            <w:bookmarkEnd w:id="72"/>
          </w:p>
        </w:tc>
      </w:tr>
      <w:tr>
        <w:trPr/>
        <w:tc>
          <w:tcPr>
            <w:tcW w:w="7496"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1,856</w:t>
            </w:r>
          </w:p>
        </w:tc>
        <w:tc>
          <w:tcPr>
            <w:tcW w:w="112" w:type="dxa"/>
            <w:tcBorders/>
            <w:shd w:fill="FFFFFF" w:val="clear"/>
            <w:vAlign w:val="center"/>
          </w:tcPr>
          <w:p>
            <w:pPr>
              <w:pStyle w:val="TableContents"/>
              <w:bidi w:val="0"/>
              <w:spacing w:before="0" w:after="283"/>
              <w:jc w:val="left"/>
              <w:rPr/>
            </w:pPr>
            <w:r>
              <w:rPr/>
              <w:t> </w:t>
            </w:r>
            <w:bookmarkStart w:id="73" w:name="xdx_40E_eus-gaap--ConvertibleDebtCurrent"/>
            <w:bookmarkEnd w:id="73"/>
          </w:p>
        </w:tc>
      </w:tr>
      <w:tr>
        <w:trPr/>
        <w:tc>
          <w:tcPr>
            <w:tcW w:w="7496"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bookmarkStart w:id="74" w:name="xdx_404_eus-gaap--ConvertibleDebtCurrent"/>
            <w:bookmarkEnd w:id="74"/>
          </w:p>
        </w:tc>
      </w:tr>
      <w:tr>
        <w:trPr/>
        <w:tc>
          <w:tcPr>
            <w:tcW w:w="7496"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bookmarkStart w:id="75" w:name="xdx_409_ecustom--NotesPayableCarriedAtFa"/>
            <w:bookmarkEnd w:id="75"/>
          </w:p>
        </w:tc>
      </w:tr>
      <w:tr>
        <w:trPr/>
        <w:tc>
          <w:tcPr>
            <w:tcW w:w="7496" w:type="dxa"/>
            <w:tcBorders/>
            <w:shd w:fill="FFFFFF" w:val="clear"/>
            <w:vAlign w:val="center"/>
          </w:tcPr>
          <w:p>
            <w:pPr>
              <w:pStyle w:val="TableContents"/>
              <w:bidi w:val="0"/>
              <w:spacing w:before="0" w:after="283"/>
              <w:jc w:val="left"/>
              <w:rPr/>
            </w:pPr>
            <w:r>
              <w:rPr/>
              <w:t>Notes payable,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2,591</w:t>
            </w:r>
          </w:p>
        </w:tc>
        <w:tc>
          <w:tcPr>
            <w:tcW w:w="112" w:type="dxa"/>
            <w:tcBorders/>
            <w:shd w:fill="FFFFFF" w:val="clear"/>
            <w:vAlign w:val="center"/>
          </w:tcPr>
          <w:p>
            <w:pPr>
              <w:pStyle w:val="TableContents"/>
              <w:bidi w:val="0"/>
              <w:spacing w:before="0" w:after="283"/>
              <w:jc w:val="left"/>
              <w:rPr/>
            </w:pPr>
            <w:r>
              <w:rPr/>
              <w:t> </w:t>
            </w:r>
            <w:bookmarkStart w:id="76" w:name="xdx_408_ecustom--WarrantLiabilityCurrent"/>
            <w:bookmarkEnd w:id="76"/>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7" w:name="xdx_40A_ecustom--WarrantLiabilityCurrent"/>
            <w:bookmarkEnd w:id="77"/>
          </w:p>
        </w:tc>
      </w:tr>
      <w:tr>
        <w:trPr/>
        <w:tc>
          <w:tcPr>
            <w:tcW w:w="7496" w:type="dxa"/>
            <w:tcBorders/>
            <w:shd w:fill="FFFFFF" w:val="clear"/>
            <w:vAlign w:val="center"/>
          </w:tcPr>
          <w:p>
            <w:pPr>
              <w:pStyle w:val="TableContents"/>
              <w:bidi w:val="0"/>
              <w:spacing w:before="0" w:after="283"/>
              <w:jc w:val="left"/>
              <w:rPr/>
            </w:pPr>
            <w:r>
              <w:rPr/>
              <w:t>Warrant liability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8" w:name="xdx_40A_ecustom--WarrantLiabilityCurrent"/>
            <w:bookmarkEnd w:id="78"/>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9" w:name="xdx_40B_ecustom--PrivatePlacementWarrant"/>
            <w:bookmarkEnd w:id="79"/>
          </w:p>
        </w:tc>
      </w:tr>
      <w:tr>
        <w:trPr/>
        <w:tc>
          <w:tcPr>
            <w:tcW w:w="7496" w:type="dxa"/>
            <w:tcBorders/>
            <w:shd w:fill="CCEEFF" w:val="clear"/>
            <w:vAlign w:val="center"/>
          </w:tcPr>
          <w:p>
            <w:pPr>
              <w:pStyle w:val="TableContents"/>
              <w:bidi w:val="0"/>
              <w:spacing w:before="0" w:after="283"/>
              <w:jc w:val="left"/>
              <w:rPr/>
            </w:pPr>
            <w:r>
              <w:rPr/>
              <w:t>Private placement warrant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296</w:t>
            </w:r>
          </w:p>
        </w:tc>
        <w:tc>
          <w:tcPr>
            <w:tcW w:w="112" w:type="dxa"/>
            <w:tcBorders/>
            <w:shd w:fill="CCEEFF" w:val="clear"/>
            <w:vAlign w:val="center"/>
          </w:tcPr>
          <w:p>
            <w:pPr>
              <w:pStyle w:val="TableContents"/>
              <w:bidi w:val="0"/>
              <w:spacing w:before="0" w:after="283"/>
              <w:jc w:val="left"/>
              <w:rPr/>
            </w:pPr>
            <w:r>
              <w:rPr/>
              <w:t> </w:t>
            </w:r>
            <w:bookmarkStart w:id="80" w:name="xdx_40D_ecustom--FinancialInstrumentsCur"/>
            <w:bookmarkEnd w:id="80"/>
          </w:p>
        </w:tc>
      </w:tr>
      <w:tr>
        <w:trPr/>
        <w:tc>
          <w:tcPr>
            <w:tcW w:w="7496" w:type="dxa"/>
            <w:tcBorders/>
            <w:shd w:fill="FFFFFF" w:val="clear"/>
            <w:vAlign w:val="center"/>
          </w:tcPr>
          <w:p>
            <w:pPr>
              <w:pStyle w:val="TableContents"/>
              <w:bidi w:val="0"/>
              <w:spacing w:before="0" w:after="283"/>
              <w:jc w:val="left"/>
              <w:rPr/>
            </w:pPr>
            <w:r>
              <w:rPr/>
              <w:t>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81" w:name="xdx_40E_ecustom--EarnoutLiabilityCurrent"/>
            <w:bookmarkEnd w:id="81"/>
          </w:p>
        </w:tc>
      </w:tr>
      <w:tr>
        <w:trPr/>
        <w:tc>
          <w:tcPr>
            <w:tcW w:w="7496"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991</w:t>
            </w:r>
          </w:p>
        </w:tc>
        <w:tc>
          <w:tcPr>
            <w:tcW w:w="112" w:type="dxa"/>
            <w:tcBorders/>
            <w:shd w:fill="CCEEFF" w:val="clear"/>
            <w:vAlign w:val="center"/>
          </w:tcPr>
          <w:p>
            <w:pPr>
              <w:pStyle w:val="TableContents"/>
              <w:bidi w:val="0"/>
              <w:spacing w:before="0" w:after="283"/>
              <w:jc w:val="left"/>
              <w:rPr/>
            </w:pPr>
            <w:r>
              <w:rPr/>
              <w:t> </w:t>
            </w:r>
            <w:bookmarkStart w:id="82" w:name="xdx_407_ecustom--RelatedPartiesCurrent_i"/>
            <w:bookmarkEnd w:id="82"/>
          </w:p>
        </w:tc>
      </w:tr>
      <w:tr>
        <w:trPr/>
        <w:tc>
          <w:tcPr>
            <w:tcW w:w="7496"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83" w:name="xdx_400_eus-gaap--DeferredRevenueCurrent"/>
            <w:bookmarkEnd w:id="83"/>
          </w:p>
        </w:tc>
      </w:tr>
      <w:tr>
        <w:trPr/>
        <w:tc>
          <w:tcPr>
            <w:tcW w:w="7496"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3,642</w:t>
            </w:r>
          </w:p>
        </w:tc>
        <w:tc>
          <w:tcPr>
            <w:tcW w:w="112" w:type="dxa"/>
            <w:tcBorders/>
            <w:shd w:fill="FFFFFF" w:val="clear"/>
            <w:vAlign w:val="center"/>
          </w:tcPr>
          <w:p>
            <w:pPr>
              <w:pStyle w:val="TableContents"/>
              <w:bidi w:val="0"/>
              <w:spacing w:before="0" w:after="283"/>
              <w:jc w:val="left"/>
              <w:rPr/>
            </w:pPr>
            <w:r>
              <w:rPr/>
              <w:t> </w:t>
            </w:r>
            <w:bookmarkStart w:id="84" w:name="xdx_40A_eus-gaap--OperatingLeaseLiabilit"/>
            <w:bookmarkEnd w:id="84"/>
          </w:p>
        </w:tc>
      </w:tr>
      <w:tr>
        <w:trPr/>
        <w:tc>
          <w:tcPr>
            <w:tcW w:w="7496"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jc w:val="left"/>
              <w:rPr/>
            </w:pPr>
            <w:r>
              <w:rPr/>
              <w:t> </w:t>
            </w:r>
            <w:bookmarkStart w:id="85" w:name="xdx_402_eus-gaap--LiabilitiesCurrent_i02"/>
            <w:bookmarkEnd w:id="85"/>
          </w:p>
        </w:tc>
      </w:tr>
      <w:tr>
        <w:trPr/>
        <w:tc>
          <w:tcPr>
            <w:tcW w:w="749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22,370</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86" w:name="xdx_403_eus-gaap--DeferredRevenueNoncurr"/>
            <w:bookmarkEnd w:id="86"/>
          </w:p>
        </w:tc>
      </w:tr>
      <w:tr>
        <w:trPr/>
        <w:tc>
          <w:tcPr>
            <w:tcW w:w="7496" w:type="dxa"/>
            <w:tcBorders/>
            <w:shd w:fill="FFFFFF" w:val="clear"/>
            <w:vAlign w:val="center"/>
          </w:tcPr>
          <w:p>
            <w:pPr>
              <w:pStyle w:val="TableContents"/>
              <w:bidi w:val="0"/>
              <w:spacing w:before="0" w:after="283"/>
              <w:jc w:val="left"/>
              <w:rPr/>
            </w:pPr>
            <w:r>
              <w:rPr/>
              <w:t>Deferred revenue, non-current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94</w:t>
            </w:r>
          </w:p>
        </w:tc>
        <w:tc>
          <w:tcPr>
            <w:tcW w:w="112" w:type="dxa"/>
            <w:tcBorders/>
            <w:shd w:fill="FFFFFF" w:val="clear"/>
            <w:vAlign w:val="center"/>
          </w:tcPr>
          <w:p>
            <w:pPr>
              <w:pStyle w:val="TableContents"/>
              <w:bidi w:val="0"/>
              <w:spacing w:before="0" w:after="283"/>
              <w:jc w:val="left"/>
              <w:rPr/>
            </w:pPr>
            <w:r>
              <w:rPr/>
              <w:t> </w:t>
            </w:r>
            <w:bookmarkStart w:id="87" w:name="xdx_402_eus-gaap--DeferredIncomeTaxLiabi"/>
            <w:bookmarkEnd w:id="87"/>
          </w:p>
        </w:tc>
      </w:tr>
      <w:tr>
        <w:trPr/>
        <w:tc>
          <w:tcPr>
            <w:tcW w:w="7496"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1,078</w:t>
            </w:r>
          </w:p>
        </w:tc>
        <w:tc>
          <w:tcPr>
            <w:tcW w:w="112" w:type="dxa"/>
            <w:tcBorders/>
            <w:shd w:fill="CCEEFF" w:val="clear"/>
            <w:vAlign w:val="center"/>
          </w:tcPr>
          <w:p>
            <w:pPr>
              <w:pStyle w:val="TableContents"/>
              <w:bidi w:val="0"/>
              <w:spacing w:before="0" w:after="283"/>
              <w:jc w:val="left"/>
              <w:rPr/>
            </w:pPr>
            <w:r>
              <w:rPr/>
              <w:t> </w:t>
            </w:r>
            <w:bookmarkStart w:id="88" w:name="xdx_403_eus-gaap--OperatingLeaseLiabilit"/>
            <w:bookmarkEnd w:id="88"/>
          </w:p>
        </w:tc>
      </w:tr>
      <w:tr>
        <w:trPr/>
        <w:tc>
          <w:tcPr>
            <w:tcW w:w="7496"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112" w:type="dxa"/>
            <w:tcBorders/>
            <w:shd w:fill="FFFFFF" w:val="clear"/>
            <w:vAlign w:val="center"/>
          </w:tcPr>
          <w:p>
            <w:pPr>
              <w:pStyle w:val="TableContents"/>
              <w:bidi w:val="0"/>
              <w:spacing w:before="0" w:after="283"/>
              <w:jc w:val="left"/>
              <w:rPr/>
            </w:pPr>
            <w:r>
              <w:rPr/>
              <w:t> </w:t>
            </w:r>
            <w:bookmarkStart w:id="89" w:name="xdx_40B_eus-gaap--Liabilities_i01TI_mtLz"/>
            <w:bookmarkEnd w:id="89"/>
          </w:p>
        </w:tc>
      </w:tr>
      <w:tr>
        <w:trPr/>
        <w:tc>
          <w:tcPr>
            <w:tcW w:w="749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23,576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0" w:name="xdx_406_eus-gaap--CommitmentsAndContinge"/>
            <w:bookmarkEnd w:id="90"/>
          </w:p>
        </w:tc>
      </w:tr>
      <w:tr>
        <w:trPr/>
        <w:tc>
          <w:tcPr>
            <w:tcW w:w="7496"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1" w:name="xdx_404_eus-gaap--StockholdersEquityAbst"/>
            <w:bookmarkEnd w:id="91"/>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2" w:name="xdx_407_eus-gaap--CommonStockValue_i02I_"/>
            <w:bookmarkEnd w:id="92"/>
          </w:p>
        </w:tc>
      </w:tr>
      <w:tr>
        <w:trPr/>
        <w:tc>
          <w:tcPr>
            <w:tcW w:w="7496" w:type="dxa"/>
            <w:tcBorders/>
            <w:shd w:fill="FFFFFF" w:val="clear"/>
            <w:vAlign w:val="center"/>
          </w:tcPr>
          <w:p>
            <w:pPr>
              <w:pStyle w:val="TableContents"/>
              <w:bidi w:val="0"/>
              <w:spacing w:before="0" w:after="283"/>
              <w:jc w:val="left"/>
              <w:rPr/>
            </w:pPr>
            <w:r>
              <w:rPr/>
              <w:t>Common stock, $</w:t>
            </w:r>
            <w:bookmarkStart w:id="93" w:name="xdx_901_eus-gaap--CommonStockParOrStated"/>
            <w:bookmarkStart w:id="94" w:name="xdx_907_eus-gaap--CommonStockParOrStated"/>
            <w:bookmarkEnd w:id="93"/>
            <w:bookmarkEnd w:id="94"/>
            <w:r>
              <w:rPr/>
              <w:t xml:space="preserve">0.0001 par value, </w:t>
            </w:r>
            <w:bookmarkStart w:id="95" w:name="xdx_90C_eus-gaap--CommonStockSharesAutho"/>
            <w:bookmarkStart w:id="96" w:name="xdx_903_eus-gaap--CommonStockSharesAutho"/>
            <w:bookmarkEnd w:id="95"/>
            <w:bookmarkEnd w:id="96"/>
            <w:r>
              <w:rPr/>
              <w:t>275,000,000 (</w:t>
            </w:r>
            <w:bookmarkStart w:id="97" w:name="xdx_905_eus-gaap--CommonStockSharesAutho"/>
            <w:bookmarkStart w:id="98" w:name="xdx_906_eus-gaap--CommonStockSharesAutho"/>
            <w:bookmarkEnd w:id="97"/>
            <w:bookmarkEnd w:id="98"/>
            <w:r>
              <w:rPr/>
              <w:t xml:space="preserve">250,000,000 Class A and </w:t>
            </w:r>
            <w:bookmarkStart w:id="99" w:name="xdx_901_eus-gaap--CommonStockSharesAutho"/>
            <w:bookmarkStart w:id="100" w:name="xdx_90A_eus-gaap--CommonStockSharesAutho"/>
            <w:bookmarkEnd w:id="99"/>
            <w:bookmarkEnd w:id="100"/>
            <w:r>
              <w:rPr/>
              <w:t xml:space="preserve">25,000,000 Class B) shares authorized and </w:t>
            </w:r>
            <w:bookmarkStart w:id="101" w:name="xdx_90A_eus-gaap--CommonStockSharesOutst"/>
            <w:bookmarkStart w:id="102" w:name="xdx_901_eus-gaap--CommonStockSharesIssue"/>
            <w:bookmarkEnd w:id="101"/>
            <w:bookmarkEnd w:id="102"/>
            <w:r>
              <w:rPr/>
              <w:t>867,355 (</w:t>
            </w:r>
            <w:bookmarkStart w:id="103" w:name="xdx_90F_eus-gaap--CommonStockSharesOutst"/>
            <w:bookmarkStart w:id="104" w:name="xdx_900_eus-gaap--CommonStockSharesIssue"/>
            <w:bookmarkEnd w:id="103"/>
            <w:bookmarkEnd w:id="104"/>
            <w:r>
              <w:rPr/>
              <w:t xml:space="preserve">855,799 Class A and </w:t>
            </w:r>
            <w:bookmarkStart w:id="105" w:name="xdx_90B_eus-gaap--CommonStockSharesOutst"/>
            <w:bookmarkStart w:id="106" w:name="xdx_903_eus-gaap--CommonStockSharesIssue"/>
            <w:bookmarkEnd w:id="105"/>
            <w:bookmarkEnd w:id="106"/>
            <w:r>
              <w:rPr/>
              <w:t xml:space="preserve">11,556 Class B) and </w:t>
            </w:r>
            <w:bookmarkStart w:id="107" w:name="xdx_90C_eus-gaap--CommonStockSharesOutst"/>
            <w:bookmarkStart w:id="108" w:name="xdx_90A_eus-gaap--CommonStockSharesIssue"/>
            <w:bookmarkEnd w:id="107"/>
            <w:bookmarkEnd w:id="108"/>
            <w:r>
              <w:rPr/>
              <w:t>527,317 (</w:t>
            </w:r>
            <w:bookmarkStart w:id="109" w:name="xdx_903_eus-gaap--CommonStockSharesOutst"/>
            <w:bookmarkStart w:id="110" w:name="xdx_901_eus-gaap--CommonStockSharesIssue"/>
            <w:bookmarkEnd w:id="109"/>
            <w:bookmarkEnd w:id="110"/>
            <w:r>
              <w:rPr/>
              <w:t xml:space="preserve">515,761 Class A and </w:t>
            </w:r>
            <w:bookmarkStart w:id="111" w:name="xdx_90C_eus-gaap--CommonStockSharesOutst"/>
            <w:bookmarkStart w:id="112" w:name="xdx_90A_eus-gaap--CommonStockSharesIssue"/>
            <w:bookmarkEnd w:id="111"/>
            <w:bookmarkEnd w:id="112"/>
            <w:r>
              <w:rPr/>
              <w:t>11,556 Class B) shares issued and outstanding at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3" w:name="xdx_407_eus-gaap--CommonStockValue_i02I_"/>
            <w:bookmarkEnd w:id="113"/>
          </w:p>
        </w:tc>
      </w:tr>
      <w:tr>
        <w:trPr/>
        <w:tc>
          <w:tcPr>
            <w:tcW w:w="7496" w:type="dxa"/>
            <w:tcBorders/>
            <w:shd w:fill="FFFFFF" w:val="clear"/>
            <w:vAlign w:val="center"/>
          </w:tcPr>
          <w:p>
            <w:pPr>
              <w:pStyle w:val="TableContents"/>
              <w:bidi w:val="0"/>
              <w:spacing w:before="0" w:after="283"/>
              <w:jc w:val="left"/>
              <w:rPr/>
            </w:pPr>
            <w:r>
              <w:rPr/>
              <w:t>Common stock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4" w:name="xdx_408_eus-gaap--PreferredStockValue_i0"/>
            <w:bookmarkEnd w:id="114"/>
          </w:p>
        </w:tc>
      </w:tr>
      <w:tr>
        <w:trPr/>
        <w:tc>
          <w:tcPr>
            <w:tcW w:w="7496" w:type="dxa"/>
            <w:tcBorders/>
            <w:shd w:fill="CCEEFF" w:val="clear"/>
            <w:vAlign w:val="center"/>
          </w:tcPr>
          <w:p>
            <w:pPr>
              <w:pStyle w:val="TableContents"/>
              <w:bidi w:val="0"/>
              <w:spacing w:before="0" w:after="283"/>
              <w:jc w:val="left"/>
              <w:rPr/>
            </w:pPr>
            <w:r>
              <w:rPr/>
              <w:t>Preferred stock, $</w:t>
            </w:r>
            <w:bookmarkStart w:id="115" w:name="xdx_90B_eus-gaap--PreferredStockParOrSta"/>
            <w:bookmarkStart w:id="116" w:name="xdx_906_eus-gaap--PreferredStockParOrSta"/>
            <w:bookmarkEnd w:id="115"/>
            <w:bookmarkEnd w:id="116"/>
            <w:r>
              <w:rPr/>
              <w:t xml:space="preserve">0.0001 par value, </w:t>
            </w:r>
            <w:bookmarkStart w:id="117" w:name="xdx_908_eus-gaap--PreferredStockSharesAu"/>
            <w:bookmarkStart w:id="118" w:name="xdx_904_eus-gaap--PreferredStockSharesAu"/>
            <w:bookmarkEnd w:id="117"/>
            <w:bookmarkEnd w:id="118"/>
            <w:r>
              <w:rPr/>
              <w:t xml:space="preserve">75,000,000 shares authorized, </w:t>
            </w:r>
            <w:bookmarkStart w:id="119" w:name="xdx_90F_eus-gaap--PreferredStockSharesOu"/>
            <w:bookmarkStart w:id="120" w:name="xdx_902_eus-gaap--PreferredStockSharesIs"/>
            <w:bookmarkEnd w:id="119"/>
            <w:bookmarkEnd w:id="120"/>
            <w:r>
              <w:rPr/>
              <w:t xml:space="preserve">1 and </w:t>
            </w:r>
            <w:bookmarkStart w:id="121" w:name="xdx_90E_eus-gaap--PreferredStockSharesOu"/>
            <w:bookmarkStart w:id="122" w:name="xdx_90D_eus-gaap--PreferredStockSharesIs"/>
            <w:bookmarkEnd w:id="121"/>
            <w:bookmarkEnd w:id="122"/>
            <w:r>
              <w:rPr/>
              <w:t>1 shares issued and outstanding at March 31, 2026 and 2025, respectively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23" w:name="xdx_406_eus-gaap--AdditionalPaidInCapita"/>
            <w:bookmarkEnd w:id="123"/>
          </w:p>
        </w:tc>
      </w:tr>
      <w:tr>
        <w:trPr/>
        <w:tc>
          <w:tcPr>
            <w:tcW w:w="749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108,912</w:t>
            </w:r>
          </w:p>
        </w:tc>
        <w:tc>
          <w:tcPr>
            <w:tcW w:w="112" w:type="dxa"/>
            <w:tcBorders/>
            <w:shd w:fill="FFFFFF" w:val="clear"/>
            <w:vAlign w:val="center"/>
          </w:tcPr>
          <w:p>
            <w:pPr>
              <w:pStyle w:val="TableContents"/>
              <w:bidi w:val="0"/>
              <w:spacing w:before="0" w:after="283"/>
              <w:jc w:val="left"/>
              <w:rPr/>
            </w:pPr>
            <w:r>
              <w:rPr/>
              <w:t> </w:t>
            </w:r>
            <w:bookmarkStart w:id="124" w:name="xdx_402_eus-gaap--AccumulatedOtherCompre"/>
            <w:bookmarkEnd w:id="124"/>
          </w:p>
        </w:tc>
      </w:tr>
      <w:tr>
        <w:trPr/>
        <w:tc>
          <w:tcPr>
            <w:tcW w:w="7496"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(85</w:t>
            </w:r>
          </w:p>
        </w:tc>
        <w:tc>
          <w:tcPr>
            <w:tcW w:w="112" w:type="dxa"/>
            <w:tcBorders/>
            <w:shd w:fill="CCEEFF" w:val="clear"/>
            <w:vAlign w:val="center"/>
          </w:tcPr>
          <w:p>
            <w:pPr>
              <w:pStyle w:val="TableContents"/>
              <w:bidi w:val="0"/>
              <w:spacing w:before="0" w:after="283"/>
              <w:jc w:val="left"/>
              <w:rPr/>
            </w:pPr>
            <w:r>
              <w:rPr/>
              <w:t>)</w:t>
            </w:r>
            <w:bookmarkStart w:id="125" w:name="xdx_40C_eus-gaap--RetainedEarningsAccumu"/>
            <w:bookmarkEnd w:id="125"/>
          </w:p>
        </w:tc>
      </w:tr>
      <w:tr>
        <w:trPr/>
        <w:tc>
          <w:tcPr>
            <w:tcW w:w="749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(109,189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(100,772</w:t>
            </w:r>
          </w:p>
        </w:tc>
        <w:tc>
          <w:tcPr>
            <w:tcW w:w="112" w:type="dxa"/>
            <w:tcBorders/>
            <w:shd w:fill="FFFFFF" w:val="clear"/>
            <w:vAlign w:val="center"/>
          </w:tcPr>
          <w:p>
            <w:pPr>
              <w:pStyle w:val="TableContents"/>
              <w:bidi w:val="0"/>
              <w:spacing w:before="0" w:after="283"/>
              <w:jc w:val="left"/>
              <w:rPr/>
            </w:pPr>
            <w:r>
              <w:rPr/>
              <w:t>)</w:t>
            </w:r>
            <w:bookmarkStart w:id="126" w:name="xdx_403_eus-gaap--StockholdersEquity_i02"/>
            <w:bookmarkEnd w:id="126"/>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8,055</w:t>
            </w:r>
          </w:p>
        </w:tc>
        <w:tc>
          <w:tcPr>
            <w:tcW w:w="112" w:type="dxa"/>
            <w:tcBorders/>
            <w:shd w:fill="CCEEFF" w:val="clear"/>
            <w:vAlign w:val="center"/>
          </w:tcPr>
          <w:p>
            <w:pPr>
              <w:pStyle w:val="TableContents"/>
              <w:bidi w:val="0"/>
              <w:spacing w:before="0" w:after="283"/>
              <w:jc w:val="left"/>
              <w:rPr/>
            </w:pPr>
            <w:r>
              <w:rPr/>
              <w:t> </w:t>
            </w:r>
            <w:bookmarkStart w:id="127" w:name="xdx_402_eus-gaap--LiabilitiesAndStockhol"/>
            <w:bookmarkEnd w:id="127"/>
          </w:p>
        </w:tc>
      </w:tr>
      <w:tr>
        <w:trPr/>
        <w:tc>
          <w:tcPr>
            <w:tcW w:w="7496"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31,474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31,631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 w:name="TM_002"/>
      <w:bookmarkEnd w:id="12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9" w:name="xdx_307_113_pn3n3_zGDTbx0xwgCd"/>
      <w:bookmarkStart w:id="130" w:name="xdx_307_113_pn3n3_zGDTbx0xwgCd"/>
      <w:bookmarkEnd w:id="130"/>
    </w:p>
    <w:tbl>
      <w:tblPr>
        <w:tblW w:w="10205" w:type="dxa"/>
        <w:jc w:val="left"/>
        <w:tblInd w:w="0" w:type="dxa"/>
        <w:tblLayout w:type="fixed"/>
        <w:tblCellMar>
          <w:top w:w="0" w:type="dxa"/>
          <w:left w:w="0" w:type="dxa"/>
          <w:bottom w:w="0" w:type="dxa"/>
          <w:right w:w="0" w:type="dxa"/>
        </w:tblCellMar>
      </w:tblPr>
      <w:tblGrid>
        <w:gridCol w:w="6303"/>
        <w:gridCol w:w="60"/>
        <w:gridCol w:w="306"/>
        <w:gridCol w:w="1389"/>
        <w:gridCol w:w="207"/>
        <w:gridCol w:w="131"/>
        <w:gridCol w:w="306"/>
        <w:gridCol w:w="1389"/>
        <w:gridCol w:w="114"/>
      </w:tblGrid>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31" w:name="xdx_492_20260101__20260331_zlEdRjPkRKph"/>
            <w:bookmarkEnd w:id="131"/>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bookmarkStart w:id="132" w:name="xdx_49F_20250101__20250331_zvbgQrPiP4B2"/>
            <w:bookmarkEnd w:id="132"/>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bookmarkStart w:id="133" w:name="xdx_407_eus-gaap--OperatingIncomeLossAbs"/>
            <w:bookmarkEnd w:id="133"/>
          </w:p>
        </w:tc>
      </w:tr>
      <w:tr>
        <w:trPr/>
        <w:tc>
          <w:tcPr>
            <w:tcW w:w="63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34" w:name="xdx_40F_eus-gaap--RevenueFromContractWit"/>
            <w:bookmarkEnd w:id="134"/>
          </w:p>
        </w:tc>
      </w:tr>
      <w:tr>
        <w:trPr/>
        <w:tc>
          <w:tcPr>
            <w:tcW w:w="63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2,696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3,379</w:t>
            </w:r>
          </w:p>
        </w:tc>
        <w:tc>
          <w:tcPr>
            <w:tcW w:w="114" w:type="dxa"/>
            <w:tcBorders/>
            <w:shd w:fill="FFFFFF" w:val="clear"/>
            <w:vAlign w:val="center"/>
          </w:tcPr>
          <w:p>
            <w:pPr>
              <w:pStyle w:val="TableContents"/>
              <w:bidi w:val="0"/>
              <w:spacing w:before="0" w:after="283"/>
              <w:jc w:val="left"/>
              <w:rPr/>
            </w:pPr>
            <w:r>
              <w:rPr/>
              <w:t> </w:t>
            </w:r>
            <w:bookmarkStart w:id="135" w:name="xdx_408_eus-gaap--CostOfRevenue_i01_msGP"/>
            <w:bookmarkEnd w:id="135"/>
          </w:p>
        </w:tc>
      </w:tr>
      <w:tr>
        <w:trPr/>
        <w:tc>
          <w:tcPr>
            <w:tcW w:w="63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114" w:type="dxa"/>
            <w:tcBorders/>
            <w:shd w:fill="CCEEFF" w:val="clear"/>
            <w:vAlign w:val="center"/>
          </w:tcPr>
          <w:p>
            <w:pPr>
              <w:pStyle w:val="TableContents"/>
              <w:bidi w:val="0"/>
              <w:spacing w:before="0" w:after="283"/>
              <w:jc w:val="left"/>
              <w:rPr/>
            </w:pPr>
            <w:r>
              <w:rPr/>
              <w:t> </w:t>
            </w:r>
            <w:bookmarkStart w:id="136" w:name="xdx_403_eus-gaap--GrossProfit_i01T_mtGPz"/>
            <w:bookmarkEnd w:id="136"/>
          </w:p>
        </w:tc>
      </w:tr>
      <w:tr>
        <w:trPr/>
        <w:tc>
          <w:tcPr>
            <w:tcW w:w="63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37" w:name="xdx_405_eus-gaap--OperatingExpensesAbstr"/>
            <w:bookmarkEnd w:id="137"/>
          </w:p>
        </w:tc>
      </w:tr>
      <w:tr>
        <w:trPr/>
        <w:tc>
          <w:tcPr>
            <w:tcW w:w="630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38" w:name="xdx_401_eus-gaap--GeneralAndAdministrati"/>
            <w:bookmarkEnd w:id="138"/>
          </w:p>
        </w:tc>
      </w:tr>
      <w:tr>
        <w:trPr/>
        <w:tc>
          <w:tcPr>
            <w:tcW w:w="630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7,650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7,433</w:t>
            </w:r>
          </w:p>
        </w:tc>
        <w:tc>
          <w:tcPr>
            <w:tcW w:w="114" w:type="dxa"/>
            <w:tcBorders/>
            <w:shd w:fill="CCEEFF" w:val="clear"/>
            <w:vAlign w:val="center"/>
          </w:tcPr>
          <w:p>
            <w:pPr>
              <w:pStyle w:val="TableContents"/>
              <w:bidi w:val="0"/>
              <w:spacing w:before="0" w:after="283"/>
              <w:jc w:val="left"/>
              <w:rPr/>
            </w:pPr>
            <w:r>
              <w:rPr/>
              <w:t> </w:t>
            </w:r>
            <w:bookmarkStart w:id="139" w:name="xdx_408_eus-gaap--DepreciationAndAmortiz"/>
            <w:bookmarkEnd w:id="139"/>
          </w:p>
        </w:tc>
      </w:tr>
      <w:tr>
        <w:trPr/>
        <w:tc>
          <w:tcPr>
            <w:tcW w:w="6303"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114" w:type="dxa"/>
            <w:tcBorders/>
            <w:shd w:fill="FFFFFF" w:val="clear"/>
            <w:vAlign w:val="center"/>
          </w:tcPr>
          <w:p>
            <w:pPr>
              <w:pStyle w:val="TableContents"/>
              <w:bidi w:val="0"/>
              <w:spacing w:before="0" w:after="283"/>
              <w:jc w:val="left"/>
              <w:rPr/>
            </w:pPr>
            <w:r>
              <w:rPr/>
              <w:t> </w:t>
            </w:r>
            <w:bookmarkStart w:id="140" w:name="xdx_40C_eus-gaap--OperatingExpenses_i01T"/>
            <w:bookmarkEnd w:id="140"/>
          </w:p>
        </w:tc>
      </w:tr>
      <w:tr>
        <w:trPr/>
        <w:tc>
          <w:tcPr>
            <w:tcW w:w="630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7,680</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1" w:name="xdx_408_eus-gaap--OperatingIncomeLoss_iT"/>
            <w:bookmarkEnd w:id="141"/>
          </w:p>
        </w:tc>
      </w:tr>
      <w:tr>
        <w:trPr/>
        <w:tc>
          <w:tcPr>
            <w:tcW w:w="63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2" w:name="xdx_40F_eus-gaap--NonoperatingIncomeExpe"/>
            <w:bookmarkEnd w:id="142"/>
          </w:p>
        </w:tc>
      </w:tr>
      <w:tr>
        <w:trPr/>
        <w:tc>
          <w:tcPr>
            <w:tcW w:w="6303"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43" w:name="xdx_40C_ecustom--GemSettlementFeeExpense"/>
            <w:bookmarkEnd w:id="143"/>
          </w:p>
        </w:tc>
      </w:tr>
      <w:tr>
        <w:trPr/>
        <w:tc>
          <w:tcPr>
            <w:tcW w:w="6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44" w:name="xdx_402_eus-gaap--InvestmentIncomeIntere"/>
            <w:bookmarkEnd w:id="144"/>
          </w:p>
        </w:tc>
      </w:tr>
      <w:tr>
        <w:trPr/>
        <w:tc>
          <w:tcPr>
            <w:tcW w:w="63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45" w:name="xdx_402_eus-gaap--InterestExpenseNonoper"/>
            <w:bookmarkEnd w:id="145"/>
          </w:p>
        </w:tc>
      </w:tr>
      <w:tr>
        <w:trPr/>
        <w:tc>
          <w:tcPr>
            <w:tcW w:w="63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46" w:name="xdx_408_eus-gaap--InterestExpenseNonoper"/>
            <w:bookmarkEnd w:id="146"/>
          </w:p>
        </w:tc>
      </w:tr>
      <w:tr>
        <w:trPr/>
        <w:tc>
          <w:tcPr>
            <w:tcW w:w="63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194</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358</w:t>
            </w:r>
          </w:p>
        </w:tc>
        <w:tc>
          <w:tcPr>
            <w:tcW w:w="114" w:type="dxa"/>
            <w:tcBorders/>
            <w:shd w:fill="FFFFFF" w:val="clear"/>
            <w:vAlign w:val="center"/>
          </w:tcPr>
          <w:p>
            <w:pPr>
              <w:pStyle w:val="TableContents"/>
              <w:bidi w:val="0"/>
              <w:spacing w:before="0" w:after="283"/>
              <w:jc w:val="left"/>
              <w:rPr/>
            </w:pPr>
            <w:r>
              <w:rPr/>
              <w:t> </w:t>
            </w:r>
            <w:bookmarkStart w:id="147" w:name="xdx_400_eus-gaap--GainsLossesOnExtinguis"/>
            <w:bookmarkEnd w:id="147"/>
          </w:p>
        </w:tc>
      </w:tr>
      <w:tr>
        <w:trPr/>
        <w:tc>
          <w:tcPr>
            <w:tcW w:w="63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(4,343</w:t>
            </w:r>
          </w:p>
        </w:tc>
        <w:tc>
          <w:tcPr>
            <w:tcW w:w="114" w:type="dxa"/>
            <w:tcBorders/>
            <w:shd w:fill="CCEEFF" w:val="clear"/>
            <w:vAlign w:val="center"/>
          </w:tcPr>
          <w:p>
            <w:pPr>
              <w:pStyle w:val="TableContents"/>
              <w:bidi w:val="0"/>
              <w:spacing w:before="0" w:after="283"/>
              <w:jc w:val="left"/>
              <w:rPr/>
            </w:pPr>
            <w:r>
              <w:rPr/>
              <w:t>)</w:t>
            </w:r>
            <w:bookmarkStart w:id="148" w:name="xdx_402_ecustom--GainLossOnReleaseOfReve"/>
            <w:bookmarkEnd w:id="148"/>
          </w:p>
        </w:tc>
      </w:tr>
      <w:tr>
        <w:trPr/>
        <w:tc>
          <w:tcPr>
            <w:tcW w:w="6303" w:type="dxa"/>
            <w:tcBorders/>
            <w:shd w:fill="CCEEFF" w:val="clear"/>
            <w:vAlign w:val="center"/>
          </w:tcPr>
          <w:p>
            <w:pPr>
              <w:pStyle w:val="TableContents"/>
              <w:bidi w:val="0"/>
              <w:spacing w:before="0" w:after="283"/>
              <w:jc w:val="left"/>
              <w:rPr/>
            </w:pPr>
            <w:r>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49" w:name="xdx_409_ecustom--LossOnDebtIssuance_i01_"/>
            <w:bookmarkEnd w:id="149"/>
          </w:p>
        </w:tc>
      </w:tr>
      <w:tr>
        <w:trPr/>
        <w:tc>
          <w:tcPr>
            <w:tcW w:w="6303"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274</w:t>
            </w:r>
          </w:p>
        </w:tc>
        <w:tc>
          <w:tcPr>
            <w:tcW w:w="114" w:type="dxa"/>
            <w:tcBorders/>
            <w:shd w:fill="FFFFFF" w:val="clear"/>
            <w:vAlign w:val="center"/>
          </w:tcPr>
          <w:p>
            <w:pPr>
              <w:pStyle w:val="TableContents"/>
              <w:bidi w:val="0"/>
              <w:spacing w:before="0" w:after="283"/>
              <w:jc w:val="left"/>
              <w:rPr/>
            </w:pPr>
            <w:r>
              <w:rPr/>
              <w:t> </w:t>
            </w:r>
            <w:bookmarkStart w:id="150" w:name="xdx_404_ecustom--LossOnPrivatePlacementI"/>
            <w:bookmarkEnd w:id="150"/>
          </w:p>
        </w:tc>
      </w:tr>
      <w:tr>
        <w:trPr/>
        <w:tc>
          <w:tcPr>
            <w:tcW w:w="6303"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51" w:name="xdx_40F_ecustom--LossOnIssuanceOfTermNot"/>
            <w:bookmarkEnd w:id="151"/>
          </w:p>
        </w:tc>
      </w:tr>
      <w:tr>
        <w:trPr/>
        <w:tc>
          <w:tcPr>
            <w:tcW w:w="63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2" w:name="xdx_400_ecustom--LossOnIssuanceOfConvert"/>
            <w:bookmarkEnd w:id="152"/>
          </w:p>
        </w:tc>
      </w:tr>
      <w:tr>
        <w:trPr/>
        <w:tc>
          <w:tcPr>
            <w:tcW w:w="6303" w:type="dxa"/>
            <w:tcBorders/>
            <w:shd w:fill="CCEEFF" w:val="clear"/>
            <w:vAlign w:val="center"/>
          </w:tcPr>
          <w:p>
            <w:pPr>
              <w:pStyle w:val="TableContents"/>
              <w:bidi w:val="0"/>
              <w:spacing w:before="0" w:after="283"/>
              <w:jc w:val="left"/>
              <w:rPr/>
            </w:pPr>
            <w:r>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3" w:name="xdx_402_ecustom--LossOnConversionAndSett"/>
            <w:bookmarkEnd w:id="153"/>
          </w:p>
        </w:tc>
      </w:tr>
      <w:tr>
        <w:trPr/>
        <w:tc>
          <w:tcPr>
            <w:tcW w:w="63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4" w:name="xdx_40D_ecustom--LossOnConversionAndSett"/>
            <w:bookmarkEnd w:id="154"/>
          </w:p>
        </w:tc>
      </w:tr>
      <w:tr>
        <w:trPr/>
        <w:tc>
          <w:tcPr>
            <w:tcW w:w="6303"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5" w:name="xdx_401_ecustom--LossOnExtinguishmentOfD"/>
            <w:bookmarkEnd w:id="155"/>
          </w:p>
        </w:tc>
      </w:tr>
      <w:tr>
        <w:trPr/>
        <w:tc>
          <w:tcPr>
            <w:tcW w:w="6303"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1,770</w:t>
            </w:r>
          </w:p>
        </w:tc>
        <w:tc>
          <w:tcPr>
            <w:tcW w:w="114" w:type="dxa"/>
            <w:tcBorders/>
            <w:shd w:fill="FFFFFF" w:val="clear"/>
            <w:vAlign w:val="center"/>
          </w:tcPr>
          <w:p>
            <w:pPr>
              <w:pStyle w:val="TableContents"/>
              <w:bidi w:val="0"/>
              <w:spacing w:before="0" w:after="283"/>
              <w:jc w:val="left"/>
              <w:rPr/>
            </w:pPr>
            <w:r>
              <w:rPr/>
              <w:t> </w:t>
            </w:r>
            <w:bookmarkStart w:id="156" w:name="xdx_40B_eus-gaap--FairValueAdjustmentOfW"/>
            <w:bookmarkEnd w:id="156"/>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7" w:name="xdx_407_eus-gaap--FairValueAdjustmentOfW"/>
            <w:bookmarkEnd w:id="157"/>
          </w:p>
        </w:tc>
      </w:tr>
      <w:tr>
        <w:trPr/>
        <w:tc>
          <w:tcPr>
            <w:tcW w:w="6303"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8" w:name="xdx_403_eus-gaap--FairValueAdjustmentOfW"/>
            <w:bookmarkEnd w:id="158"/>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9" w:name="xdx_409_eus-gaap--EmbeddedDerivativeGain"/>
            <w:bookmarkEnd w:id="159"/>
          </w:p>
        </w:tc>
      </w:tr>
      <w:tr>
        <w:trPr/>
        <w:tc>
          <w:tcPr>
            <w:tcW w:w="63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0" w:name="xdx_408_ecustom--ChangeInFairValueOfFina"/>
            <w:bookmarkEnd w:id="160"/>
          </w:p>
        </w:tc>
      </w:tr>
      <w:tr>
        <w:trPr/>
        <w:tc>
          <w:tcPr>
            <w:tcW w:w="6303"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608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140</w:t>
            </w:r>
          </w:p>
        </w:tc>
        <w:tc>
          <w:tcPr>
            <w:tcW w:w="114" w:type="dxa"/>
            <w:tcBorders/>
            <w:shd w:fill="CCEEFF" w:val="clear"/>
            <w:vAlign w:val="center"/>
          </w:tcPr>
          <w:p>
            <w:pPr>
              <w:pStyle w:val="TableContents"/>
              <w:bidi w:val="0"/>
              <w:spacing w:before="0" w:after="283"/>
              <w:jc w:val="left"/>
              <w:rPr/>
            </w:pPr>
            <w:r>
              <w:rPr/>
              <w:t> </w:t>
            </w:r>
            <w:bookmarkStart w:id="161" w:name="xdx_40C_ecustom--ChangeInFairValueOfFina"/>
            <w:bookmarkEnd w:id="161"/>
          </w:p>
        </w:tc>
      </w:tr>
      <w:tr>
        <w:trPr/>
        <w:tc>
          <w:tcPr>
            <w:tcW w:w="6303"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bookmarkStart w:id="162" w:name="xdx_40B_ecustom--ChangeInFairValueOfFina"/>
            <w:bookmarkEnd w:id="162"/>
          </w:p>
        </w:tc>
      </w:tr>
      <w:tr>
        <w:trPr/>
        <w:tc>
          <w:tcPr>
            <w:tcW w:w="6303"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bookmarkStart w:id="163" w:name="xdx_40A_eus-gaap--FairValueOptionChanges"/>
            <w:bookmarkEnd w:id="163"/>
          </w:p>
        </w:tc>
      </w:tr>
      <w:tr>
        <w:trPr/>
        <w:tc>
          <w:tcPr>
            <w:tcW w:w="63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(372</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w:t>
            </w:r>
          </w:p>
        </w:tc>
        <w:tc>
          <w:tcPr>
            <w:tcW w:w="114" w:type="dxa"/>
            <w:tcBorders/>
            <w:shd w:fill="CCEEFF" w:val="clear"/>
            <w:vAlign w:val="center"/>
          </w:tcPr>
          <w:p>
            <w:pPr>
              <w:pStyle w:val="TableContents"/>
              <w:bidi w:val="0"/>
              <w:spacing w:before="0" w:after="283"/>
              <w:jc w:val="left"/>
              <w:rPr/>
            </w:pPr>
            <w:r>
              <w:rPr/>
              <w:t> </w:t>
            </w:r>
            <w:bookmarkStart w:id="164" w:name="xdx_40C_ecustom--ChangeInFairValueOfTerm"/>
            <w:bookmarkEnd w:id="164"/>
          </w:p>
        </w:tc>
      </w:tr>
      <w:tr>
        <w:trPr/>
        <w:tc>
          <w:tcPr>
            <w:tcW w:w="6303"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5" w:name="xdx_400_ecustom--ChangeInFairValueOfConv"/>
            <w:bookmarkEnd w:id="165"/>
          </w:p>
        </w:tc>
      </w:tr>
      <w:tr>
        <w:trPr/>
        <w:tc>
          <w:tcPr>
            <w:tcW w:w="63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6" w:name="xdx_408_ecustom--YorkvillePrepaymentPrem"/>
            <w:bookmarkEnd w:id="166"/>
          </w:p>
        </w:tc>
      </w:tr>
      <w:tr>
        <w:trPr/>
        <w:tc>
          <w:tcPr>
            <w:tcW w:w="6303" w:type="dxa"/>
            <w:tcBorders/>
            <w:shd w:fill="CCEEFF" w:val="clear"/>
            <w:vAlign w:val="center"/>
          </w:tcPr>
          <w:p>
            <w:pPr>
              <w:pStyle w:val="TableContents"/>
              <w:bidi w:val="0"/>
              <w:spacing w:before="0" w:after="283"/>
              <w:jc w:val="left"/>
              <w:rPr/>
            </w:pPr>
            <w:r>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7" w:name="xdx_400_ecustom--LossOnYorkvilleSepaAdva"/>
            <w:bookmarkEnd w:id="167"/>
          </w:p>
        </w:tc>
      </w:tr>
      <w:tr>
        <w:trPr/>
        <w:tc>
          <w:tcPr>
            <w:tcW w:w="6303"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28</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385</w:t>
            </w:r>
          </w:p>
        </w:tc>
        <w:tc>
          <w:tcPr>
            <w:tcW w:w="114" w:type="dxa"/>
            <w:tcBorders/>
            <w:shd w:fill="FFFFFF" w:val="clear"/>
            <w:vAlign w:val="center"/>
          </w:tcPr>
          <w:p>
            <w:pPr>
              <w:pStyle w:val="TableContents"/>
              <w:bidi w:val="0"/>
              <w:spacing w:before="0" w:after="283"/>
              <w:jc w:val="left"/>
              <w:rPr/>
            </w:pPr>
            <w:r>
              <w:rPr/>
              <w:t> </w:t>
            </w:r>
            <w:bookmarkStart w:id="168" w:name="xdx_406_ecustom--VidelloEarnoutExpense_i"/>
            <w:bookmarkEnd w:id="168"/>
          </w:p>
        </w:tc>
      </w:tr>
      <w:tr>
        <w:trPr/>
        <w:tc>
          <w:tcPr>
            <w:tcW w:w="63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9" w:name="xdx_407_ecustom--FailedAcquisitionCosts_"/>
            <w:bookmarkEnd w:id="169"/>
          </w:p>
        </w:tc>
      </w:tr>
      <w:tr>
        <w:trPr/>
        <w:tc>
          <w:tcPr>
            <w:tcW w:w="6303" w:type="dxa"/>
            <w:tcBorders/>
            <w:shd w:fill="FFFFFF" w:val="clear"/>
            <w:vAlign w:val="center"/>
          </w:tcPr>
          <w:p>
            <w:pPr>
              <w:pStyle w:val="TableContents"/>
              <w:bidi w:val="0"/>
              <w:spacing w:before="0" w:after="283"/>
              <w:jc w:val="left"/>
              <w:rPr/>
            </w:pPr>
            <w:r>
              <w:rPr/>
              <w:t>Failed acquisition costs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0" w:name="xdx_406_eus-gaap--GoodwillImpairmentLoss"/>
            <w:bookmarkEnd w:id="170"/>
          </w:p>
        </w:tc>
      </w:tr>
      <w:tr>
        <w:trPr/>
        <w:tc>
          <w:tcPr>
            <w:tcW w:w="63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1" w:name="xdx_40C_eus-gaap--OtherNonoperatingIncom"/>
            <w:bookmarkEnd w:id="171"/>
          </w:p>
        </w:tc>
      </w:tr>
      <w:tr>
        <w:trPr/>
        <w:tc>
          <w:tcPr>
            <w:tcW w:w="63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114" w:type="dxa"/>
            <w:tcBorders/>
            <w:shd w:fill="CCEEFF" w:val="clear"/>
            <w:vAlign w:val="center"/>
          </w:tcPr>
          <w:p>
            <w:pPr>
              <w:pStyle w:val="TableContents"/>
              <w:bidi w:val="0"/>
              <w:spacing w:before="0" w:after="283"/>
              <w:jc w:val="left"/>
              <w:rPr/>
            </w:pPr>
            <w:r>
              <w:rPr/>
              <w:t>)</w:t>
            </w:r>
            <w:bookmarkStart w:id="172" w:name="xdx_40E_eus-gaap--NonoperatingIncomeExpe"/>
            <w:bookmarkEnd w:id="172"/>
          </w:p>
        </w:tc>
      </w:tr>
      <w:tr>
        <w:trPr/>
        <w:tc>
          <w:tcPr>
            <w:tcW w:w="63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(1,337</w:t>
            </w:r>
          </w:p>
        </w:tc>
        <w:tc>
          <w:tcPr>
            <w:tcW w:w="114" w:type="dxa"/>
            <w:tcBorders/>
            <w:shd w:fill="FFFFFF" w:val="clear"/>
            <w:vAlign w:val="center"/>
          </w:tcPr>
          <w:p>
            <w:pPr>
              <w:pStyle w:val="TableContents"/>
              <w:bidi w:val="0"/>
              <w:spacing w:before="0" w:after="283"/>
              <w:jc w:val="left"/>
              <w:rPr/>
            </w:pPr>
            <w:r>
              <w:rPr/>
              <w:t>)</w:t>
            </w:r>
            <w:bookmarkStart w:id="173" w:name="xdx_40F_eus-gaap--IncomeLossFromContinui"/>
            <w:bookmarkEnd w:id="173"/>
          </w:p>
        </w:tc>
      </w:tr>
      <w:tr>
        <w:trPr/>
        <w:tc>
          <w:tcPr>
            <w:tcW w:w="63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(3,570</w:t>
            </w:r>
          </w:p>
        </w:tc>
        <w:tc>
          <w:tcPr>
            <w:tcW w:w="114" w:type="dxa"/>
            <w:tcBorders/>
            <w:shd w:fill="CCEEFF" w:val="clear"/>
            <w:vAlign w:val="center"/>
          </w:tcPr>
          <w:p>
            <w:pPr>
              <w:pStyle w:val="TableContents"/>
              <w:bidi w:val="0"/>
              <w:spacing w:before="0" w:after="283"/>
              <w:jc w:val="left"/>
              <w:rPr/>
            </w:pPr>
            <w:r>
              <w:rPr/>
              <w:t>)</w:t>
            </w:r>
            <w:bookmarkStart w:id="174" w:name="xdx_402_eus-gaap--IncomeTaxExpenseBenefi"/>
            <w:bookmarkEnd w:id="174"/>
          </w:p>
        </w:tc>
      </w:tr>
      <w:tr>
        <w:trPr/>
        <w:tc>
          <w:tcPr>
            <w:tcW w:w="6303"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114" w:type="dxa"/>
            <w:tcBorders/>
            <w:shd w:fill="FFFFFF" w:val="clear"/>
            <w:vAlign w:val="center"/>
          </w:tcPr>
          <w:p>
            <w:pPr>
              <w:pStyle w:val="TableContents"/>
              <w:bidi w:val="0"/>
              <w:spacing w:before="0" w:after="283"/>
              <w:jc w:val="left"/>
              <w:rPr/>
            </w:pPr>
            <w:r>
              <w:rPr/>
              <w:t> </w:t>
            </w:r>
            <w:bookmarkStart w:id="175" w:name="xdx_40F_eus-gaap--NetIncomeLoss_iT_mtNIL"/>
            <w:bookmarkEnd w:id="175"/>
          </w:p>
        </w:tc>
      </w:tr>
      <w:tr>
        <w:trPr/>
        <w:tc>
          <w:tcPr>
            <w:tcW w:w="63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6" w:name="xdx_408_ecustom--DeemedDividendWarrantMo"/>
            <w:bookmarkEnd w:id="176"/>
          </w:p>
        </w:tc>
      </w:tr>
      <w:tr>
        <w:trPr/>
        <w:tc>
          <w:tcPr>
            <w:tcW w:w="6303" w:type="dxa"/>
            <w:tcBorders/>
            <w:shd w:fill="CCEEFF" w:val="clear"/>
            <w:vAlign w:val="center"/>
          </w:tcPr>
          <w:p>
            <w:pPr>
              <w:pStyle w:val="TableContents"/>
              <w:bidi w:val="0"/>
              <w:spacing w:before="0" w:after="283"/>
              <w:jc w:val="left"/>
              <w:rPr/>
            </w:pPr>
            <w:r>
              <w:rPr/>
              <w:t>Deemed dividend - Series A and Series B warrant modification (net of tax)</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7" w:name="xdx_40C_ecustom--NetIncomeLossAvailableT"/>
            <w:bookmarkEnd w:id="177"/>
          </w:p>
        </w:tc>
      </w:tr>
      <w:tr>
        <w:trPr/>
        <w:tc>
          <w:tcPr>
            <w:tcW w:w="6303"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78" w:name="xdx_406_eus-gaap--EarningsPerShareBasicA"/>
            <w:bookmarkEnd w:id="178"/>
          </w:p>
        </w:tc>
      </w:tr>
      <w:tr>
        <w:trPr/>
        <w:tc>
          <w:tcPr>
            <w:tcW w:w="6303"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79" w:name="xdx_902_eus-gaap--EarningsPerShareDilute"/>
            <w:bookmarkStart w:id="180" w:name="xdx_906_eus-gaap--EarningsPerShareBasic_"/>
            <w:bookmarkEnd w:id="179"/>
            <w:bookmarkEnd w:id="180"/>
            <w:r>
              <w:rPr/>
              <w:t>(11.69</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81" w:name="xdx_907_eus-gaap--EarningsPerShareDilute"/>
            <w:bookmarkStart w:id="182" w:name="xdx_90E_eus-gaap--EarningsPerShareBasic_"/>
            <w:bookmarkEnd w:id="181"/>
            <w:bookmarkEnd w:id="182"/>
            <w:r>
              <w:rPr/>
              <w:t>(30.37</w:t>
            </w:r>
          </w:p>
        </w:tc>
        <w:tc>
          <w:tcPr>
            <w:tcW w:w="114" w:type="dxa"/>
            <w:tcBorders/>
            <w:shd w:fill="FFFF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3" w:name="xdx_405_eus-gaap--WeightedAverageNumberO"/>
            <w:bookmarkEnd w:id="183"/>
          </w:p>
        </w:tc>
      </w:tr>
      <w:tr>
        <w:trPr/>
        <w:tc>
          <w:tcPr>
            <w:tcW w:w="6303"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84" w:name="xdx_901_eus-gaap--WeightedAverageNumberO"/>
            <w:bookmarkStart w:id="185" w:name="xdx_902_eus-gaap--WeightedAverageNumberO"/>
            <w:bookmarkEnd w:id="184"/>
            <w:bookmarkEnd w:id="185"/>
            <w:r>
              <w:rPr/>
              <w:t>720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86" w:name="xdx_909_eus-gaap--WeightedAverageNumberO"/>
            <w:bookmarkStart w:id="187" w:name="xdx_90F_eus-gaap--WeightedAverageNumberO"/>
            <w:bookmarkEnd w:id="186"/>
            <w:bookmarkEnd w:id="187"/>
            <w:r>
              <w:rPr/>
              <w:t>120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8" w:name="TM_003"/>
      <w:bookmarkEnd w:id="18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three months ended March 31, 2026 and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9" w:name="xdx_309_114_pn3n3_zAGCWrUz6Neb"/>
      <w:bookmarkStart w:id="190" w:name="xdx_309_114_pn3n3_zAGCWrUz6Neb"/>
      <w:bookmarkEnd w:id="190"/>
    </w:p>
    <w:tbl>
      <w:tblPr>
        <w:tblW w:w="13050" w:type="dxa"/>
        <w:jc w:val="left"/>
        <w:tblInd w:w="0" w:type="dxa"/>
        <w:tblLayout w:type="fixed"/>
        <w:tblCellMar>
          <w:top w:w="0" w:type="dxa"/>
          <w:left w:w="0" w:type="dxa"/>
          <w:bottom w:w="0" w:type="dxa"/>
          <w:right w:w="0" w:type="dxa"/>
        </w:tblCellMar>
      </w:tblPr>
      <w:tblGrid>
        <w:gridCol w:w="1340"/>
        <w:gridCol w:w="60"/>
        <w:gridCol w:w="133"/>
        <w:gridCol w:w="577"/>
        <w:gridCol w:w="60"/>
        <w:gridCol w:w="60"/>
        <w:gridCol w:w="301"/>
        <w:gridCol w:w="559"/>
        <w:gridCol w:w="60"/>
        <w:gridCol w:w="60"/>
        <w:gridCol w:w="116"/>
        <w:gridCol w:w="504"/>
        <w:gridCol w:w="60"/>
        <w:gridCol w:w="60"/>
        <w:gridCol w:w="301"/>
        <w:gridCol w:w="559"/>
        <w:gridCol w:w="60"/>
        <w:gridCol w:w="60"/>
        <w:gridCol w:w="60"/>
        <w:gridCol w:w="800"/>
        <w:gridCol w:w="60"/>
        <w:gridCol w:w="60"/>
        <w:gridCol w:w="301"/>
        <w:gridCol w:w="559"/>
        <w:gridCol w:w="260"/>
        <w:gridCol w:w="60"/>
        <w:gridCol w:w="163"/>
        <w:gridCol w:w="937"/>
        <w:gridCol w:w="60"/>
        <w:gridCol w:w="60"/>
        <w:gridCol w:w="473"/>
        <w:gridCol w:w="1137"/>
        <w:gridCol w:w="95"/>
        <w:gridCol w:w="60"/>
        <w:gridCol w:w="188"/>
        <w:gridCol w:w="1182"/>
        <w:gridCol w:w="95"/>
        <w:gridCol w:w="60"/>
        <w:gridCol w:w="242"/>
        <w:gridCol w:w="1098"/>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 w:name="xdx_4BA_us-gaap--StatementEquityComponen"/>
            <w:bookmarkEnd w:id="19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2" w:name="xdx_4B8_us-gaap--StatementEquityComponen"/>
            <w:bookmarkEnd w:id="19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3" w:name="xdx_4B0_us-gaap--StatementEquityComponen"/>
            <w:bookmarkEnd w:id="19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bookmarkStart w:id="194" w:name="xdx_4BF_us-gaap--StatementEquityComponen"/>
            <w:bookmarkEnd w:id="194"/>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5" w:name="xdx_4B6_us-gaap--StatementEquityComponen"/>
            <w:bookmarkEnd w:id="195"/>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6" w:name="xdx_4B5_us-gaap--StatementEquityComponen"/>
            <w:bookmarkEnd w:id="196"/>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7" w:name="xdx_4B6_us-gaap--StatementEquityComponen"/>
            <w:bookmarkEnd w:id="19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8" w:name="xdx_4B6_zS5ybFZkHTd2"/>
            <w:bookmarkEnd w:id="198"/>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99" w:name="xdx_43C_c20260101__20260331_eus-gaap--St"/>
            <w:bookmarkEnd w:id="199"/>
          </w:p>
        </w:tc>
      </w:tr>
      <w:tr>
        <w:trPr/>
        <w:tc>
          <w:tcPr>
            <w:tcW w:w="1340" w:type="dxa"/>
            <w:tcBorders/>
            <w:shd w:fill="CCEEFF" w:val="clear"/>
            <w:vAlign w:val="center"/>
          </w:tcPr>
          <w:p>
            <w:pPr>
              <w:pStyle w:val="TableContents"/>
              <w:bidi w:val="0"/>
              <w:spacing w:before="0" w:after="283"/>
              <w:jc w:val="left"/>
              <w:rPr/>
            </w:pPr>
            <w:r>
              <w:rPr/>
              <w:t> </w:t>
            </w: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200" w:name="xdx_980_eus-gaap--SharesOutstanding_iS_p"/>
            <w:bookmarkEnd w:id="200"/>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bookmarkStart w:id="201" w:name="xdx_98F_eus-gaap--SharesOutstanding_iS_p"/>
            <w:bookmarkEnd w:id="201"/>
          </w:p>
        </w:tc>
        <w:tc>
          <w:tcPr>
            <w:tcW w:w="504"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4_eus-gaap--SharesOutstanding_iS_p"/>
            <w:bookmarkEnd w:id="202"/>
          </w:p>
        </w:tc>
        <w:tc>
          <w:tcPr>
            <w:tcW w:w="800" w:type="dxa"/>
            <w:tcBorders/>
            <w:shd w:fill="CCEEFF" w:val="clear"/>
            <w:vAlign w:val="center"/>
          </w:tcPr>
          <w:p>
            <w:pPr>
              <w:pStyle w:val="TableContents"/>
              <w:bidi w:val="0"/>
              <w:spacing w:before="0" w:after="283"/>
              <w:jc w:val="right"/>
              <w:rPr>
                <w:b/>
              </w:rPr>
            </w:pPr>
            <w:r>
              <w:rPr>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53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108,912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(100,772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b/>
              </w:rPr>
            </w:pPr>
            <w:r>
              <w:rPr>
                <w:b/>
              </w:rPr>
              <w:t>$</w:t>
            </w:r>
          </w:p>
        </w:tc>
        <w:tc>
          <w:tcPr>
            <w:tcW w:w="1098" w:type="dxa"/>
            <w:tcBorders/>
            <w:shd w:fill="CCEEFF" w:val="clear"/>
            <w:vAlign w:val="center"/>
          </w:tcPr>
          <w:p>
            <w:pPr>
              <w:pStyle w:val="TableContents"/>
              <w:bidi w:val="0"/>
              <w:spacing w:before="0" w:after="283"/>
              <w:jc w:val="right"/>
              <w:rPr>
                <w:b/>
              </w:rPr>
            </w:pPr>
            <w:r>
              <w:rPr>
                <w:b/>
              </w:rPr>
              <w:t>8,055</w:t>
            </w:r>
          </w:p>
        </w:tc>
        <w:tc>
          <w:tcPr>
            <w:tcW w:w="110" w:type="dxa"/>
            <w:tcBorders/>
            <w:shd w:fill="CCEEFF" w:val="clear"/>
            <w:vAlign w:val="center"/>
          </w:tcPr>
          <w:p>
            <w:pPr>
              <w:pStyle w:val="TableContents"/>
              <w:bidi w:val="0"/>
              <w:spacing w:before="0" w:after="283"/>
              <w:jc w:val="left"/>
              <w:rPr/>
            </w:pPr>
            <w:r>
              <w:rPr/>
              <w:t> </w:t>
            </w:r>
            <w:bookmarkStart w:id="203" w:name="xdx_40F_ecustom--IssuanceOfSharesToYorkv"/>
            <w:bookmarkEnd w:id="203"/>
          </w:p>
        </w:tc>
      </w:tr>
      <w:tr>
        <w:trPr/>
        <w:tc>
          <w:tcPr>
            <w:tcW w:w="1340" w:type="dxa"/>
            <w:tcBorders/>
            <w:shd w:fill="FFFFFF" w:val="clear"/>
            <w:vAlign w:val="center"/>
          </w:tcPr>
          <w:p>
            <w:pPr>
              <w:pStyle w:val="TableContents"/>
              <w:bidi w:val="0"/>
              <w:spacing w:before="0" w:after="283"/>
              <w:jc w:val="left"/>
              <w:rPr/>
            </w:pPr>
            <w:r>
              <w:rPr/>
              <w:t> </w:t>
            </w:r>
            <w:r>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4" w:name="xdx_98E_ecustom--IssuanceOfSharesToYorkv"/>
            <w:bookmarkEnd w:id="204"/>
          </w:p>
        </w:tc>
        <w:tc>
          <w:tcPr>
            <w:tcW w:w="800" w:type="dxa"/>
            <w:tcBorders/>
            <w:shd w:fill="FFFFFF" w:val="clear"/>
            <w:vAlign w:val="center"/>
          </w:tcPr>
          <w:p>
            <w:pPr>
              <w:pStyle w:val="TableContents"/>
              <w:bidi w:val="0"/>
              <w:spacing w:before="0" w:after="283"/>
              <w:jc w:val="right"/>
              <w:rPr/>
            </w:pPr>
            <w:r>
              <w:rPr/>
              <w:t>31,750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697</w:t>
            </w:r>
          </w:p>
        </w:tc>
        <w:tc>
          <w:tcPr>
            <w:tcW w:w="110" w:type="dxa"/>
            <w:tcBorders/>
            <w:shd w:fill="FFFFFF" w:val="clear"/>
            <w:vAlign w:val="center"/>
          </w:tcPr>
          <w:p>
            <w:pPr>
              <w:pStyle w:val="TableContents"/>
              <w:bidi w:val="0"/>
              <w:spacing w:before="0" w:after="283"/>
              <w:jc w:val="left"/>
              <w:rPr/>
            </w:pPr>
            <w:r>
              <w:rPr/>
              <w:t> </w:t>
            </w:r>
            <w:bookmarkStart w:id="205" w:name="xdx_402_ecustom--SharesIssuedUnderATM_zS"/>
            <w:bookmarkEnd w:id="205"/>
          </w:p>
        </w:tc>
      </w:tr>
      <w:tr>
        <w:trPr/>
        <w:tc>
          <w:tcPr>
            <w:tcW w:w="1340" w:type="dxa"/>
            <w:tcBorders/>
            <w:shd w:fill="CCEEFF" w:val="clear"/>
            <w:vAlign w:val="center"/>
          </w:tcPr>
          <w:p>
            <w:pPr>
              <w:pStyle w:val="TableContents"/>
              <w:bidi w:val="0"/>
              <w:spacing w:before="0" w:after="283"/>
              <w:jc w:val="left"/>
              <w:rPr/>
            </w:pPr>
            <w:r>
              <w:rPr/>
              <w:t> </w:t>
            </w:r>
            <w:r>
              <w:rPr/>
              <w:t>Shares issued under the ATM</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6" w:name="xdx_98D_ecustom--SharesIssuedUnderATMSha"/>
            <w:bookmarkEnd w:id="206"/>
          </w:p>
        </w:tc>
        <w:tc>
          <w:tcPr>
            <w:tcW w:w="800" w:type="dxa"/>
            <w:tcBorders/>
            <w:shd w:fill="CCEEFF" w:val="clear"/>
            <w:vAlign w:val="center"/>
          </w:tcPr>
          <w:p>
            <w:pPr>
              <w:pStyle w:val="TableContents"/>
              <w:bidi w:val="0"/>
              <w:spacing w:before="0" w:after="283"/>
              <w:jc w:val="right"/>
              <w:rPr/>
            </w:pPr>
            <w:r>
              <w:rPr/>
              <w:t>107,258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2,636</w:t>
            </w:r>
          </w:p>
        </w:tc>
        <w:tc>
          <w:tcPr>
            <w:tcW w:w="110" w:type="dxa"/>
            <w:tcBorders/>
            <w:shd w:fill="CCEEFF" w:val="clear"/>
            <w:vAlign w:val="center"/>
          </w:tcPr>
          <w:p>
            <w:pPr>
              <w:pStyle w:val="TableContents"/>
              <w:bidi w:val="0"/>
              <w:spacing w:before="0" w:after="283"/>
              <w:jc w:val="left"/>
              <w:rPr/>
            </w:pPr>
            <w:r>
              <w:rPr/>
              <w:t> </w:t>
            </w:r>
            <w:bookmarkStart w:id="207" w:name="xdx_40C_eus-gaap--StockIssuedDuringPerio"/>
            <w:bookmarkEnd w:id="207"/>
          </w:p>
        </w:tc>
      </w:tr>
      <w:tr>
        <w:trPr/>
        <w:tc>
          <w:tcPr>
            <w:tcW w:w="1340" w:type="dxa"/>
            <w:tcBorders/>
            <w:shd w:fill="FFFFFF" w:val="clear"/>
            <w:vAlign w:val="center"/>
          </w:tcPr>
          <w:p>
            <w:pPr>
              <w:pStyle w:val="TableContents"/>
              <w:bidi w:val="0"/>
              <w:spacing w:before="0" w:after="283"/>
              <w:jc w:val="left"/>
              <w:rPr/>
            </w:pPr>
            <w:r>
              <w:rPr/>
              <w:t> </w:t>
            </w:r>
            <w:r>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8" w:name="xdx_989_eus-gaap--StockIssuedDuringPerio"/>
            <w:bookmarkEnd w:id="208"/>
          </w:p>
        </w:tc>
        <w:tc>
          <w:tcPr>
            <w:tcW w:w="800" w:type="dxa"/>
            <w:tcBorders/>
            <w:shd w:fill="FFFFFF" w:val="clear"/>
            <w:vAlign w:val="center"/>
          </w:tcPr>
          <w:p>
            <w:pPr>
              <w:pStyle w:val="TableContents"/>
              <w:bidi w:val="0"/>
              <w:spacing w:before="0" w:after="283"/>
              <w:jc w:val="right"/>
              <w:rPr/>
            </w:pPr>
            <w:r>
              <w:rPr/>
              <w:t>23,813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392</w:t>
            </w:r>
          </w:p>
        </w:tc>
        <w:tc>
          <w:tcPr>
            <w:tcW w:w="110" w:type="dxa"/>
            <w:tcBorders/>
            <w:shd w:fill="FFFFFF" w:val="clear"/>
            <w:vAlign w:val="center"/>
          </w:tcPr>
          <w:p>
            <w:pPr>
              <w:pStyle w:val="TableContents"/>
              <w:bidi w:val="0"/>
              <w:spacing w:before="0" w:after="283"/>
              <w:jc w:val="left"/>
              <w:rPr/>
            </w:pPr>
            <w:r>
              <w:rPr/>
              <w:t> </w:t>
            </w:r>
            <w:bookmarkStart w:id="209" w:name="xdx_403_eus-gaap--StockIssuedDuringPerio"/>
            <w:bookmarkEnd w:id="209"/>
          </w:p>
        </w:tc>
      </w:tr>
      <w:tr>
        <w:trPr/>
        <w:tc>
          <w:tcPr>
            <w:tcW w:w="1340" w:type="dxa"/>
            <w:tcBorders/>
            <w:shd w:fill="CCEEFF" w:val="clear"/>
            <w:vAlign w:val="center"/>
          </w:tcPr>
          <w:p>
            <w:pPr>
              <w:pStyle w:val="TableContents"/>
              <w:bidi w:val="0"/>
              <w:spacing w:before="0" w:after="283"/>
              <w:jc w:val="left"/>
              <w:rPr/>
            </w:pPr>
            <w:r>
              <w:rPr/>
              <w:t> </w:t>
            </w:r>
            <w:r>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E_eus-gaap--StockIssuedDuringPerio"/>
            <w:bookmarkEnd w:id="210"/>
          </w:p>
        </w:tc>
        <w:tc>
          <w:tcPr>
            <w:tcW w:w="800" w:type="dxa"/>
            <w:tcBorders/>
            <w:shd w:fill="CCEEFF" w:val="clear"/>
            <w:vAlign w:val="center"/>
          </w:tcPr>
          <w:p>
            <w:pPr>
              <w:pStyle w:val="TableContents"/>
              <w:bidi w:val="0"/>
              <w:spacing w:before="0" w:after="283"/>
              <w:jc w:val="right"/>
              <w:rPr/>
            </w:pPr>
            <w:r>
              <w:rPr/>
              <w:t>143,802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 </w:t>
            </w:r>
            <w:bookmarkStart w:id="211" w:name="xdx_401_eus-gaap--StockIssuedDuringPerio"/>
            <w:bookmarkEnd w:id="211"/>
          </w:p>
        </w:tc>
      </w:tr>
      <w:tr>
        <w:trPr/>
        <w:tc>
          <w:tcPr>
            <w:tcW w:w="1340" w:type="dxa"/>
            <w:tcBorders/>
            <w:shd w:fill="FFFFFF" w:val="clear"/>
            <w:vAlign w:val="center"/>
          </w:tcPr>
          <w:p>
            <w:pPr>
              <w:pStyle w:val="TableContents"/>
              <w:bidi w:val="0"/>
              <w:spacing w:before="0" w:after="283"/>
              <w:jc w:val="left"/>
              <w:rPr/>
            </w:pPr>
            <w:r>
              <w:rPr/>
              <w:t> </w:t>
            </w:r>
            <w:r>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2" w:name="xdx_980_eus-gaap--StockIssuedDuringPerio"/>
            <w:bookmarkEnd w:id="212"/>
          </w:p>
        </w:tc>
        <w:tc>
          <w:tcPr>
            <w:tcW w:w="800" w:type="dxa"/>
            <w:tcBorders/>
            <w:shd w:fill="FFFFFF" w:val="clear"/>
            <w:vAlign w:val="center"/>
          </w:tcPr>
          <w:p>
            <w:pPr>
              <w:pStyle w:val="TableContents"/>
              <w:bidi w:val="0"/>
              <w:spacing w:before="0" w:after="283"/>
              <w:jc w:val="right"/>
              <w:rPr/>
            </w:pPr>
            <w:r>
              <w:rPr/>
              <w:t>29,306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666</w:t>
            </w:r>
          </w:p>
        </w:tc>
        <w:tc>
          <w:tcPr>
            <w:tcW w:w="110" w:type="dxa"/>
            <w:tcBorders/>
            <w:shd w:fill="FFFFFF" w:val="clear"/>
            <w:vAlign w:val="center"/>
          </w:tcPr>
          <w:p>
            <w:pPr>
              <w:pStyle w:val="TableContents"/>
              <w:bidi w:val="0"/>
              <w:spacing w:before="0" w:after="283"/>
              <w:jc w:val="left"/>
              <w:rPr/>
            </w:pPr>
            <w:r>
              <w:rPr/>
              <w:t> </w:t>
            </w:r>
            <w:bookmarkStart w:id="213" w:name="xdx_40C_eus-gaap--AdjustmentsToAdditiona"/>
            <w:bookmarkEnd w:id="213"/>
          </w:p>
        </w:tc>
      </w:tr>
      <w:tr>
        <w:trPr/>
        <w:tc>
          <w:tcPr>
            <w:tcW w:w="1340" w:type="dxa"/>
            <w:tcBorders/>
            <w:shd w:fill="CCEEFF" w:val="clear"/>
            <w:vAlign w:val="center"/>
          </w:tcPr>
          <w:p>
            <w:pPr>
              <w:pStyle w:val="TableContents"/>
              <w:bidi w:val="0"/>
              <w:spacing w:before="0" w:after="283"/>
              <w:jc w:val="left"/>
              <w:rPr/>
            </w:pPr>
            <w:r>
              <w:rPr/>
              <w:t> </w:t>
            </w: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1,308</w:t>
            </w:r>
          </w:p>
        </w:tc>
        <w:tc>
          <w:tcPr>
            <w:tcW w:w="110" w:type="dxa"/>
            <w:tcBorders/>
            <w:shd w:fill="CCEEFF" w:val="clear"/>
            <w:vAlign w:val="center"/>
          </w:tcPr>
          <w:p>
            <w:pPr>
              <w:pStyle w:val="TableContents"/>
              <w:bidi w:val="0"/>
              <w:spacing w:before="0" w:after="283"/>
              <w:jc w:val="left"/>
              <w:rPr/>
            </w:pPr>
            <w:r>
              <w:rPr/>
              <w:t> </w:t>
            </w:r>
            <w:bookmarkStart w:id="214" w:name="xdx_40F_eus-gaap--StockIssuedDuringPerio"/>
            <w:bookmarkEnd w:id="214"/>
          </w:p>
        </w:tc>
      </w:tr>
      <w:tr>
        <w:trPr/>
        <w:tc>
          <w:tcPr>
            <w:tcW w:w="1340" w:type="dxa"/>
            <w:tcBorders/>
            <w:shd w:fill="FFFFFF" w:val="clear"/>
            <w:vAlign w:val="center"/>
          </w:tcPr>
          <w:p>
            <w:pPr>
              <w:pStyle w:val="TableContents"/>
              <w:bidi w:val="0"/>
              <w:spacing w:before="0" w:after="283"/>
              <w:jc w:val="left"/>
              <w:rPr/>
            </w:pPr>
            <w:r>
              <w:rPr/>
              <w:t> </w:t>
            </w:r>
            <w:r>
              <w:rPr/>
              <w:t>Vesting of RSUs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5" w:name="xdx_988_eus-gaap--StockIssuedDuringPerio"/>
            <w:bookmarkEnd w:id="215"/>
          </w:p>
        </w:tc>
        <w:tc>
          <w:tcPr>
            <w:tcW w:w="800" w:type="dxa"/>
            <w:tcBorders/>
            <w:shd w:fill="FFFFFF" w:val="clear"/>
            <w:vAlign w:val="center"/>
          </w:tcPr>
          <w:p>
            <w:pPr>
              <w:pStyle w:val="TableContents"/>
              <w:bidi w:val="0"/>
              <w:spacing w:before="0" w:after="283"/>
              <w:jc w:val="right"/>
              <w:rPr/>
            </w:pPr>
            <w:r>
              <w:rPr/>
              <w:t>4,109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6" w:name="xdx_40B_eus-gaap--OtherComprehensiveInco"/>
            <w:bookmarkEnd w:id="216"/>
          </w:p>
        </w:tc>
      </w:tr>
      <w:tr>
        <w:trPr/>
        <w:tc>
          <w:tcPr>
            <w:tcW w:w="1340" w:type="dxa"/>
            <w:tcBorders/>
            <w:shd w:fill="CCEEFF" w:val="clear"/>
            <w:vAlign w:val="center"/>
          </w:tcPr>
          <w:p>
            <w:pPr>
              <w:pStyle w:val="TableContents"/>
              <w:bidi w:val="0"/>
              <w:spacing w:before="0" w:after="283"/>
              <w:jc w:val="left"/>
              <w:rPr/>
            </w:pPr>
            <w:r>
              <w:rPr/>
              <w:t> </w:t>
            </w:r>
            <w:r>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bookmarkStart w:id="217" w:name="xdx_40E_eus-gaap--NetIncomeLoss_zRCb1LbZ"/>
            <w:bookmarkEnd w:id="217"/>
          </w:p>
        </w:tc>
      </w:tr>
      <w:tr>
        <w:trPr/>
        <w:tc>
          <w:tcPr>
            <w:tcW w:w="1340" w:type="dxa"/>
            <w:tcBorders/>
            <w:shd w:fill="FFFFFF" w:val="clear"/>
            <w:vAlign w:val="center"/>
          </w:tcPr>
          <w:p>
            <w:pPr>
              <w:pStyle w:val="TableContents"/>
              <w:bidi w:val="0"/>
              <w:spacing w:before="0" w:after="283"/>
              <w:jc w:val="left"/>
              <w:rPr/>
            </w:pPr>
            <w:r>
              <w:rPr/>
              <w:t> </w:t>
            </w:r>
            <w:r>
              <w:rPr/>
              <w:t>Net loss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110" w:type="dxa"/>
            <w:tcBorders/>
            <w:shd w:fill="FFFFFF" w:val="clear"/>
            <w:vAlign w:val="center"/>
          </w:tcPr>
          <w:p>
            <w:pPr>
              <w:pStyle w:val="TableContents"/>
              <w:bidi w:val="0"/>
              <w:spacing w:before="0" w:after="283"/>
              <w:jc w:val="left"/>
              <w:rPr/>
            </w:pPr>
            <w:r>
              <w:rPr/>
              <w:t>)</w:t>
            </w:r>
            <w:bookmarkStart w:id="218" w:name="xdx_43C_c20260101__20260331_eus-gaap--St"/>
            <w:bookmarkEnd w:id="218"/>
          </w:p>
        </w:tc>
      </w:tr>
      <w:tr>
        <w:trPr/>
        <w:tc>
          <w:tcPr>
            <w:tcW w:w="1340" w:type="dxa"/>
            <w:tcBorders/>
            <w:shd w:fill="CCEEFF" w:val="clear"/>
            <w:vAlign w:val="center"/>
          </w:tcPr>
          <w:p>
            <w:pPr>
              <w:pStyle w:val="TableContents"/>
              <w:bidi w:val="0"/>
              <w:spacing w:before="0" w:after="283"/>
              <w:jc w:val="left"/>
              <w:rPr/>
            </w:pPr>
            <w:r>
              <w:rPr/>
              <w:t> </w:t>
            </w: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9" w:name="xdx_988_eus-gaap--SharesOutstanding_iE_p"/>
            <w:bookmarkEnd w:id="219"/>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0" w:name="xdx_983_eus-gaap--SharesOutstanding_iE_p"/>
            <w:bookmarkEnd w:id="220"/>
          </w:p>
        </w:tc>
        <w:tc>
          <w:tcPr>
            <w:tcW w:w="5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1" w:name="xdx_98F_eus-gaap--SharesOutstanding_iE_p"/>
            <w:bookmarkEnd w:id="221"/>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(109,189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2853" w:type="dxa"/>
        <w:jc w:val="left"/>
        <w:tblInd w:w="0" w:type="dxa"/>
        <w:tblLayout w:type="fixed"/>
        <w:tblCellMar>
          <w:top w:w="0" w:type="dxa"/>
          <w:left w:w="0" w:type="dxa"/>
          <w:bottom w:w="0" w:type="dxa"/>
          <w:right w:w="0" w:type="dxa"/>
        </w:tblCellMar>
      </w:tblPr>
      <w:tblGrid>
        <w:gridCol w:w="1340"/>
        <w:gridCol w:w="60"/>
        <w:gridCol w:w="136"/>
        <w:gridCol w:w="574"/>
        <w:gridCol w:w="72"/>
        <w:gridCol w:w="72"/>
        <w:gridCol w:w="317"/>
        <w:gridCol w:w="543"/>
        <w:gridCol w:w="60"/>
        <w:gridCol w:w="60"/>
        <w:gridCol w:w="145"/>
        <w:gridCol w:w="475"/>
        <w:gridCol w:w="72"/>
        <w:gridCol w:w="72"/>
        <w:gridCol w:w="340"/>
        <w:gridCol w:w="520"/>
        <w:gridCol w:w="60"/>
        <w:gridCol w:w="60"/>
        <w:gridCol w:w="60"/>
        <w:gridCol w:w="680"/>
        <w:gridCol w:w="60"/>
        <w:gridCol w:w="60"/>
        <w:gridCol w:w="301"/>
        <w:gridCol w:w="559"/>
        <w:gridCol w:w="95"/>
        <w:gridCol w:w="60"/>
        <w:gridCol w:w="187"/>
        <w:gridCol w:w="913"/>
        <w:gridCol w:w="60"/>
        <w:gridCol w:w="60"/>
        <w:gridCol w:w="563"/>
        <w:gridCol w:w="1047"/>
        <w:gridCol w:w="60"/>
        <w:gridCol w:w="60"/>
        <w:gridCol w:w="214"/>
        <w:gridCol w:w="1156"/>
        <w:gridCol w:w="95"/>
        <w:gridCol w:w="60"/>
        <w:gridCol w:w="255"/>
        <w:gridCol w:w="116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 xml:space="preserve">Total </w:t>
              <w:br/>
              <w:t xml:space="preserve">Stockholders’ </w:t>
              <w:b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222" w:name="xdx_436_c20250101__20250331_eus-gaap--St"/>
            <w:bookmarkEnd w:id="222"/>
          </w:p>
        </w:tc>
      </w:tr>
      <w:tr>
        <w:trPr/>
        <w:tc>
          <w:tcPr>
            <w:tcW w:w="134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bookmarkStart w:id="223" w:name="xdx_988_eus-gaap--SharesOutstanding_iS_p"/>
            <w:bookmarkEnd w:id="223"/>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b/>
              </w:rPr>
            </w:pPr>
            <w:r>
              <w:rPr>
                <w:b/>
              </w:rPr>
              <w:t>$</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224" w:name="xdx_98E_eus-gaap--SharesOutstanding_iS_p"/>
            <w:bookmarkEnd w:id="224"/>
          </w:p>
        </w:tc>
        <w:tc>
          <w:tcPr>
            <w:tcW w:w="475" w:type="dxa"/>
            <w:tcBorders/>
            <w:shd w:fill="CCEEFF" w:val="cle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b/>
              </w:rPr>
            </w:pPr>
            <w:r>
              <w:rPr>
                <w:b/>
              </w:rPr>
              <w:t>$</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5" w:name="xdx_98A_eus-gaap--SharesOutstanding_iS_p"/>
            <w:bookmarkEnd w:id="225"/>
          </w:p>
        </w:tc>
        <w:tc>
          <w:tcPr>
            <w:tcW w:w="680" w:type="dxa"/>
            <w:tcBorders/>
            <w:shd w:fill="CCEEFF" w:val="clear"/>
            <w:vAlign w:val="center"/>
          </w:tcPr>
          <w:p>
            <w:pPr>
              <w:pStyle w:val="TableContents"/>
              <w:bidi w:val="0"/>
              <w:spacing w:before="0" w:after="283"/>
              <w:jc w:val="right"/>
              <w:rPr>
                <w:b/>
              </w:rPr>
            </w:pPr>
            <w:r>
              <w:rPr>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b/>
              </w:rPr>
            </w:pPr>
            <w:r>
              <w:rPr>
                <w:b/>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(78,280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(2,764</w:t>
            </w:r>
          </w:p>
        </w:tc>
        <w:tc>
          <w:tcPr>
            <w:tcW w:w="110" w:type="dxa"/>
            <w:tcBorders/>
            <w:shd w:fill="CCEEFF" w:val="clear"/>
            <w:vAlign w:val="center"/>
          </w:tcPr>
          <w:p>
            <w:pPr>
              <w:pStyle w:val="TableContents"/>
              <w:bidi w:val="0"/>
              <w:spacing w:before="0" w:after="283"/>
              <w:jc w:val="left"/>
              <w:rPr>
                <w:b/>
              </w:rPr>
            </w:pPr>
            <w:r>
              <w:rPr>
                <w:b/>
              </w:rPr>
              <w:t>)</w:t>
            </w:r>
            <w:bookmarkStart w:id="226" w:name="xdx_40F_ecustom--IssuanceOfSharesToYorkv"/>
            <w:bookmarkEnd w:id="226"/>
          </w:p>
        </w:tc>
      </w:tr>
      <w:tr>
        <w:trPr/>
        <w:tc>
          <w:tcPr>
            <w:tcW w:w="1340" w:type="dxa"/>
            <w:tcBorders/>
            <w:shd w:fill="FFFFFF" w:val="clear"/>
            <w:vAlign w:val="center"/>
          </w:tcPr>
          <w:p>
            <w:pPr>
              <w:pStyle w:val="TableContents"/>
              <w:bidi w:val="0"/>
              <w:spacing w:before="0" w:after="283"/>
              <w:jc w:val="left"/>
              <w:rPr/>
            </w:pPr>
            <w:r>
              <w:rPr/>
              <w:t>Issuance of shares to Yorkville under the SEPA agreement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7" w:name="xdx_980_ecustom--IssuanceOfSharesToYorkv"/>
            <w:bookmarkEnd w:id="227"/>
          </w:p>
        </w:tc>
        <w:tc>
          <w:tcPr>
            <w:tcW w:w="680" w:type="dxa"/>
            <w:tcBorders/>
            <w:shd w:fill="FFFFFF" w:val="clear"/>
            <w:vAlign w:val="center"/>
          </w:tcPr>
          <w:p>
            <w:pPr>
              <w:pStyle w:val="TableContents"/>
              <w:bidi w:val="0"/>
              <w:spacing w:before="0" w:after="283"/>
              <w:jc w:val="right"/>
              <w:rPr/>
            </w:pPr>
            <w:r>
              <w:rPr/>
              <w:t>24,378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7,071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7,071</w:t>
            </w:r>
          </w:p>
        </w:tc>
        <w:tc>
          <w:tcPr>
            <w:tcW w:w="110" w:type="dxa"/>
            <w:tcBorders/>
            <w:shd w:fill="FFFFFF" w:val="clear"/>
            <w:vAlign w:val="center"/>
          </w:tcPr>
          <w:p>
            <w:pPr>
              <w:pStyle w:val="TableContents"/>
              <w:bidi w:val="0"/>
              <w:spacing w:before="0" w:after="283"/>
              <w:jc w:val="left"/>
              <w:rPr/>
            </w:pPr>
            <w:r>
              <w:rPr/>
              <w:t> </w:t>
            </w:r>
            <w:bookmarkStart w:id="228" w:name="xdx_407_ecustom--SharesIssuedToHudsonFor"/>
            <w:bookmarkEnd w:id="228"/>
          </w:p>
        </w:tc>
      </w:tr>
      <w:tr>
        <w:trPr/>
        <w:tc>
          <w:tcPr>
            <w:tcW w:w="1340" w:type="dxa"/>
            <w:tcBorders/>
            <w:shd w:fill="CCEEFF" w:val="clear"/>
            <w:vAlign w:val="center"/>
          </w:tcPr>
          <w:p>
            <w:pPr>
              <w:pStyle w:val="TableContents"/>
              <w:bidi w:val="0"/>
              <w:spacing w:before="0" w:after="283"/>
              <w:jc w:val="left"/>
              <w:rPr/>
            </w:pPr>
            <w:r>
              <w:rPr/>
              <w:t>Shares issued to Hudson for consulting fee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9" w:name="xdx_984_ecustom--SharesIssuedToHudsonFor"/>
            <w:bookmarkEnd w:id="229"/>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232</w:t>
            </w:r>
          </w:p>
        </w:tc>
        <w:tc>
          <w:tcPr>
            <w:tcW w:w="110" w:type="dxa"/>
            <w:tcBorders/>
            <w:shd w:fill="CCEEFF" w:val="clear"/>
            <w:vAlign w:val="center"/>
          </w:tcPr>
          <w:p>
            <w:pPr>
              <w:pStyle w:val="TableContents"/>
              <w:bidi w:val="0"/>
              <w:spacing w:before="0" w:after="283"/>
              <w:jc w:val="left"/>
              <w:rPr/>
            </w:pPr>
            <w:r>
              <w:rPr/>
              <w:t> </w:t>
            </w:r>
            <w:bookmarkStart w:id="230" w:name="xdx_400_ecustom--SharesIssuedForPaymentT"/>
            <w:bookmarkEnd w:id="230"/>
          </w:p>
        </w:tc>
      </w:tr>
      <w:tr>
        <w:trPr/>
        <w:tc>
          <w:tcPr>
            <w:tcW w:w="1340" w:type="dxa"/>
            <w:tcBorders/>
            <w:shd w:fill="FFFFFF" w:val="clear"/>
            <w:vAlign w:val="center"/>
          </w:tcPr>
          <w:p>
            <w:pPr>
              <w:pStyle w:val="TableContents"/>
              <w:bidi w:val="0"/>
              <w:spacing w:before="0" w:after="283"/>
              <w:jc w:val="left"/>
              <w:rPr/>
            </w:pPr>
            <w:r>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1" w:name="xdx_986_ecustom--SharesIssuedForPaymentT"/>
            <w:bookmarkEnd w:id="231"/>
          </w:p>
        </w:tc>
        <w:tc>
          <w:tcPr>
            <w:tcW w:w="680"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bookmarkStart w:id="232" w:name="xdx_40F_eus-gaap--StockIssuedDuringPerio"/>
            <w:bookmarkEnd w:id="232"/>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3" w:name="xdx_984_eus-gaap--StockIssuedDuringPerio"/>
            <w:bookmarkEnd w:id="233"/>
          </w:p>
        </w:tc>
        <w:tc>
          <w:tcPr>
            <w:tcW w:w="680" w:type="dxa"/>
            <w:tcBorders/>
            <w:shd w:fill="CCEEFF" w:val="clear"/>
            <w:vAlign w:val="center"/>
          </w:tcPr>
          <w:p>
            <w:pPr>
              <w:pStyle w:val="TableContents"/>
              <w:bidi w:val="0"/>
              <w:spacing w:before="0" w:after="283"/>
              <w:jc w:val="right"/>
              <w:rPr/>
            </w:pPr>
            <w:r>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4" w:name="xdx_405_ecustom--SharesIssuedForVidelloA"/>
            <w:bookmarkEnd w:id="234"/>
          </w:p>
        </w:tc>
      </w:tr>
      <w:tr>
        <w:trPr/>
        <w:tc>
          <w:tcPr>
            <w:tcW w:w="1340" w:type="dxa"/>
            <w:tcBorders/>
            <w:shd w:fill="FFFFFF" w:val="clear"/>
            <w:vAlign w:val="center"/>
          </w:tcPr>
          <w:p>
            <w:pPr>
              <w:pStyle w:val="TableContents"/>
              <w:bidi w:val="0"/>
              <w:spacing w:before="0" w:after="283"/>
              <w:jc w:val="left"/>
              <w:rPr/>
            </w:pPr>
            <w:r>
              <w:rPr/>
              <w:t>Shares issued for Vidello acquisition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5" w:name="xdx_981_ecustom--SharesIssuedForVidelloA"/>
            <w:bookmarkEnd w:id="235"/>
          </w:p>
        </w:tc>
        <w:tc>
          <w:tcPr>
            <w:tcW w:w="680" w:type="dxa"/>
            <w:tcBorders/>
            <w:shd w:fill="FFFFFF" w:val="clear"/>
            <w:vAlign w:val="center"/>
          </w:tcPr>
          <w:p>
            <w:pPr>
              <w:pStyle w:val="TableContents"/>
              <w:bidi w:val="0"/>
              <w:spacing w:before="0" w:after="283"/>
              <w:jc w:val="right"/>
              <w:rPr/>
            </w:pPr>
            <w:r>
              <w:rPr/>
              <w:t>4,491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1,662</w:t>
            </w:r>
          </w:p>
        </w:tc>
        <w:tc>
          <w:tcPr>
            <w:tcW w:w="110" w:type="dxa"/>
            <w:tcBorders/>
            <w:shd w:fill="FFFFFF" w:val="clear"/>
            <w:vAlign w:val="center"/>
          </w:tcPr>
          <w:p>
            <w:pPr>
              <w:pStyle w:val="TableContents"/>
              <w:bidi w:val="0"/>
              <w:spacing w:before="0" w:after="283"/>
              <w:jc w:val="left"/>
              <w:rPr/>
            </w:pPr>
            <w:r>
              <w:rPr/>
              <w:t> </w:t>
            </w:r>
            <w:bookmarkStart w:id="236" w:name="xdx_40C_eus-gaap--AdjustmentsToAdditiona"/>
            <w:bookmarkEnd w:id="236"/>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337</w:t>
            </w:r>
          </w:p>
        </w:tc>
        <w:tc>
          <w:tcPr>
            <w:tcW w:w="110" w:type="dxa"/>
            <w:tcBorders/>
            <w:shd w:fill="CCEEFF" w:val="clear"/>
            <w:vAlign w:val="center"/>
          </w:tcPr>
          <w:p>
            <w:pPr>
              <w:pStyle w:val="TableContents"/>
              <w:bidi w:val="0"/>
              <w:spacing w:before="0" w:after="283"/>
              <w:jc w:val="left"/>
              <w:rPr/>
            </w:pPr>
            <w:r>
              <w:rPr/>
              <w:t> </w:t>
            </w:r>
            <w:bookmarkStart w:id="237" w:name="xdx_40E_eus-gaap--NetIncomeLoss_zl4806nY"/>
            <w:bookmarkEnd w:id="237"/>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110" w:type="dxa"/>
            <w:tcBorders/>
            <w:shd w:fill="FFFFFF" w:val="clear"/>
            <w:vAlign w:val="center"/>
          </w:tcPr>
          <w:p>
            <w:pPr>
              <w:pStyle w:val="TableContents"/>
              <w:bidi w:val="0"/>
              <w:spacing w:before="0" w:after="283"/>
              <w:jc w:val="left"/>
              <w:rPr/>
            </w:pPr>
            <w:r>
              <w:rPr/>
              <w:t>)</w:t>
            </w:r>
            <w:bookmarkStart w:id="238" w:name="xdx_43D_c20250101__20250331_eus-gaap--St"/>
            <w:bookmarkEnd w:id="238"/>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39" w:name="xdx_982_eus-gaap--SharesOutstanding_iE_p"/>
            <w:bookmarkEnd w:id="239"/>
          </w:p>
        </w:tc>
        <w:tc>
          <w:tcPr>
            <w:tcW w:w="5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0" w:name="xdx_980_eus-gaap--SharesOutstanding_iE_p"/>
            <w:bookmarkEnd w:id="240"/>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1" w:name="xdx_986_eus-gaap--SharesOutstanding_iE_p"/>
            <w:bookmarkEnd w:id="241"/>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TM_004"/>
      <w:bookmarkEnd w:id="242"/>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3" w:name="xdx_304_112_pn3n3_zgYSdV7Sggnd"/>
      <w:bookmarkStart w:id="244" w:name="xdx_304_112_pn3n3_zgYSdV7Sggnd"/>
      <w:bookmarkEnd w:id="244"/>
    </w:p>
    <w:tbl>
      <w:tblPr>
        <w:tblW w:w="10205" w:type="dxa"/>
        <w:jc w:val="left"/>
        <w:tblInd w:w="0" w:type="dxa"/>
        <w:tblLayout w:type="fixed"/>
        <w:tblCellMar>
          <w:top w:w="0" w:type="dxa"/>
          <w:left w:w="0" w:type="dxa"/>
          <w:bottom w:w="0" w:type="dxa"/>
          <w:right w:w="0" w:type="dxa"/>
        </w:tblCellMar>
      </w:tblPr>
      <w:tblGrid>
        <w:gridCol w:w="6598"/>
        <w:gridCol w:w="60"/>
        <w:gridCol w:w="282"/>
        <w:gridCol w:w="1280"/>
        <w:gridCol w:w="191"/>
        <w:gridCol w:w="120"/>
        <w:gridCol w:w="282"/>
        <w:gridCol w:w="1280"/>
        <w:gridCol w:w="112"/>
      </w:tblGrid>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45" w:name="xdx_490_20260101__20260331_zA6F2SepKQFa"/>
            <w:bookmarkEnd w:id="245"/>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bookmarkStart w:id="246" w:name="xdx_490_20250101__20250331_zjBzs5aJvPm7"/>
            <w:bookmarkEnd w:id="246"/>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247" w:name="xdx_40D_eus-gaap--NetCashProvidedByUsedI"/>
            <w:bookmarkEnd w:id="247"/>
          </w:p>
        </w:tc>
      </w:tr>
      <w:tr>
        <w:trPr/>
        <w:tc>
          <w:tcPr>
            <w:tcW w:w="6598"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48" w:name="xdx_408_eus-gaap--NetIncomeLoss_i01_maNC"/>
            <w:bookmarkEnd w:id="248"/>
          </w:p>
        </w:tc>
      </w:tr>
      <w:tr>
        <w:trPr/>
        <w:tc>
          <w:tcPr>
            <w:tcW w:w="659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(8,417</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(3,644</w:t>
            </w:r>
          </w:p>
        </w:tc>
        <w:tc>
          <w:tcPr>
            <w:tcW w:w="112" w:type="dxa"/>
            <w:tcBorders/>
            <w:shd w:fill="FFFFFF" w:val="clear"/>
            <w:vAlign w:val="center"/>
          </w:tcPr>
          <w:p>
            <w:pPr>
              <w:pStyle w:val="TableContents"/>
              <w:bidi w:val="0"/>
              <w:spacing w:before="0" w:after="283"/>
              <w:jc w:val="left"/>
              <w:rPr/>
            </w:pPr>
            <w:r>
              <w:rPr/>
              <w:t>)</w:t>
            </w:r>
            <w:bookmarkStart w:id="249" w:name="xdx_40D_eus-gaap--AdjustmentsToReconcile"/>
            <w:bookmarkEnd w:id="249"/>
          </w:p>
        </w:tc>
      </w:tr>
      <w:tr>
        <w:trPr/>
        <w:tc>
          <w:tcPr>
            <w:tcW w:w="659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50" w:name="xdx_40C_eus-gaap--DepreciationAndAmortiz"/>
            <w:bookmarkEnd w:id="250"/>
          </w:p>
        </w:tc>
      </w:tr>
      <w:tr>
        <w:trPr/>
        <w:tc>
          <w:tcPr>
            <w:tcW w:w="659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305</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247</w:t>
            </w:r>
          </w:p>
        </w:tc>
        <w:tc>
          <w:tcPr>
            <w:tcW w:w="112" w:type="dxa"/>
            <w:tcBorders/>
            <w:shd w:fill="FFFFFF" w:val="clear"/>
            <w:vAlign w:val="center"/>
          </w:tcPr>
          <w:p>
            <w:pPr>
              <w:pStyle w:val="TableContents"/>
              <w:bidi w:val="0"/>
              <w:spacing w:before="0" w:after="283"/>
              <w:jc w:val="left"/>
              <w:rPr/>
            </w:pPr>
            <w:r>
              <w:rPr/>
              <w:t> </w:t>
            </w:r>
            <w:bookmarkStart w:id="251" w:name="xdx_404_eus-gaap--ProvisionForDoubtfulAc"/>
            <w:bookmarkEnd w:id="251"/>
          </w:p>
        </w:tc>
      </w:tr>
      <w:tr>
        <w:trPr/>
        <w:tc>
          <w:tcPr>
            <w:tcW w:w="6598" w:type="dxa"/>
            <w:tcBorders/>
            <w:shd w:fill="CCEEFF" w:val="clear"/>
            <w:vAlign w:val="center"/>
          </w:tcPr>
          <w:p>
            <w:pPr>
              <w:pStyle w:val="TableContents"/>
              <w:bidi w:val="0"/>
              <w:spacing w:before="0" w:after="283"/>
              <w:jc w:val="left"/>
              <w:rPr/>
            </w:pPr>
            <w:r>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w:t>
            </w:r>
          </w:p>
        </w:tc>
        <w:tc>
          <w:tcPr>
            <w:tcW w:w="112" w:type="dxa"/>
            <w:tcBorders/>
            <w:shd w:fill="CCEEFF" w:val="clear"/>
            <w:vAlign w:val="center"/>
          </w:tcPr>
          <w:p>
            <w:pPr>
              <w:pStyle w:val="TableContents"/>
              <w:bidi w:val="0"/>
              <w:spacing w:before="0" w:after="283"/>
              <w:jc w:val="left"/>
              <w:rPr/>
            </w:pPr>
            <w:r>
              <w:rPr/>
              <w:t>)</w:t>
            </w:r>
            <w:bookmarkStart w:id="252" w:name="xdx_407_ecustom--NonCashShareIssuanceFor"/>
            <w:bookmarkEnd w:id="252"/>
          </w:p>
        </w:tc>
      </w:tr>
      <w:tr>
        <w:trPr/>
        <w:tc>
          <w:tcPr>
            <w:tcW w:w="6598" w:type="dxa"/>
            <w:tcBorders/>
            <w:shd w:fill="CCEEFF" w:val="clear"/>
            <w:vAlign w:val="center"/>
          </w:tcPr>
          <w:p>
            <w:pPr>
              <w:pStyle w:val="TableContents"/>
              <w:bidi w:val="0"/>
              <w:spacing w:before="0" w:after="283"/>
              <w:jc w:val="left"/>
              <w:rPr/>
            </w:pPr>
            <w:r>
              <w:rPr/>
              <w:t>Non-cash share issuance for marketing expenses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53" w:name="xdx_40A_ecustom--NonCashShareIssuanceFor"/>
            <w:bookmarkEnd w:id="253"/>
          </w:p>
        </w:tc>
      </w:tr>
      <w:tr>
        <w:trPr/>
        <w:tc>
          <w:tcPr>
            <w:tcW w:w="6598" w:type="dxa"/>
            <w:tcBorders/>
            <w:shd w:fill="FFFFFF" w:val="clear"/>
            <w:vAlign w:val="center"/>
          </w:tcPr>
          <w:p>
            <w:pPr>
              <w:pStyle w:val="TableContents"/>
              <w:bidi w:val="0"/>
              <w:spacing w:before="0" w:after="283"/>
              <w:jc w:val="left"/>
              <w:rPr/>
            </w:pPr>
            <w:r>
              <w:rPr/>
              <w:t>Non-cash shares issued for consulting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233</w:t>
            </w:r>
          </w:p>
        </w:tc>
        <w:tc>
          <w:tcPr>
            <w:tcW w:w="112" w:type="dxa"/>
            <w:tcBorders/>
            <w:shd w:fill="FFFFFF" w:val="clear"/>
            <w:vAlign w:val="center"/>
          </w:tcPr>
          <w:p>
            <w:pPr>
              <w:pStyle w:val="TableContents"/>
              <w:bidi w:val="0"/>
              <w:spacing w:before="0" w:after="283"/>
              <w:jc w:val="left"/>
              <w:rPr/>
            </w:pPr>
            <w:r>
              <w:rPr/>
              <w:t> </w:t>
            </w:r>
            <w:bookmarkStart w:id="254" w:name="xdx_40D_ecustom--NonCashSettlementOfGemC"/>
            <w:bookmarkEnd w:id="254"/>
          </w:p>
        </w:tc>
      </w:tr>
      <w:tr>
        <w:trPr/>
        <w:tc>
          <w:tcPr>
            <w:tcW w:w="6598" w:type="dxa"/>
            <w:tcBorders/>
            <w:shd w:fill="FFFFFF" w:val="clear"/>
            <w:vAlign w:val="center"/>
          </w:tcPr>
          <w:p>
            <w:pPr>
              <w:pStyle w:val="TableContents"/>
              <w:bidi w:val="0"/>
              <w:spacing w:before="0" w:after="283"/>
              <w:jc w:val="left"/>
              <w:rPr/>
            </w:pPr>
            <w:r>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55" w:name="xdx_40E_ecustom--DiscountAtIssuanceOnNot"/>
            <w:bookmarkEnd w:id="255"/>
          </w:p>
        </w:tc>
      </w:tr>
      <w:tr>
        <w:trPr/>
        <w:tc>
          <w:tcPr>
            <w:tcW w:w="6598" w:type="dxa"/>
            <w:tcBorders/>
            <w:shd w:fill="CCEEFF" w:val="clear"/>
            <w:vAlign w:val="center"/>
          </w:tcPr>
          <w:p>
            <w:pPr>
              <w:pStyle w:val="TableContents"/>
              <w:bidi w:val="0"/>
              <w:spacing w:before="0" w:after="283"/>
              <w:jc w:val="left"/>
              <w:rPr/>
            </w:pPr>
            <w:r>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bookmarkStart w:id="256" w:name="xdx_402_ecustom--NoncashShareIssuanceFor"/>
            <w:bookmarkEnd w:id="256"/>
          </w:p>
        </w:tc>
      </w:tr>
      <w:tr>
        <w:trPr/>
        <w:tc>
          <w:tcPr>
            <w:tcW w:w="6598" w:type="dxa"/>
            <w:tcBorders/>
            <w:shd w:fill="CCEEFF" w:val="clear"/>
            <w:vAlign w:val="center"/>
          </w:tcPr>
          <w:p>
            <w:pPr>
              <w:pStyle w:val="TableContents"/>
              <w:bidi w:val="0"/>
              <w:spacing w:before="0" w:after="283"/>
              <w:jc w:val="left"/>
              <w:rPr/>
            </w:pPr>
            <w:r>
              <w:rPr/>
              <w:t>Non-cash share issuance for Yorkville redemption premium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57" w:name="xdx_401_ecustom--NonCashInterestExpense_"/>
            <w:bookmarkEnd w:id="257"/>
          </w:p>
        </w:tc>
      </w:tr>
      <w:tr>
        <w:trPr/>
        <w:tc>
          <w:tcPr>
            <w:tcW w:w="6598" w:type="dxa"/>
            <w:tcBorders/>
            <w:shd w:fill="FFFFFF" w:val="clear"/>
            <w:vAlign w:val="center"/>
          </w:tcPr>
          <w:p>
            <w:pPr>
              <w:pStyle w:val="TableContents"/>
              <w:bidi w:val="0"/>
              <w:spacing w:before="0" w:after="283"/>
              <w:jc w:val="left"/>
              <w:rPr/>
            </w:pPr>
            <w:r>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336</w:t>
            </w:r>
          </w:p>
        </w:tc>
        <w:tc>
          <w:tcPr>
            <w:tcW w:w="112" w:type="dxa"/>
            <w:tcBorders/>
            <w:shd w:fill="FFFFFF" w:val="clear"/>
            <w:vAlign w:val="center"/>
          </w:tcPr>
          <w:p>
            <w:pPr>
              <w:pStyle w:val="TableContents"/>
              <w:bidi w:val="0"/>
              <w:spacing w:before="0" w:after="283"/>
              <w:jc w:val="left"/>
              <w:rPr/>
            </w:pPr>
            <w:r>
              <w:rPr/>
              <w:t> </w:t>
            </w:r>
            <w:bookmarkStart w:id="258" w:name="xdx_407_eus-gaap--AmortizationOfFinancin"/>
            <w:bookmarkEnd w:id="258"/>
          </w:p>
        </w:tc>
      </w:tr>
      <w:tr>
        <w:trPr/>
        <w:tc>
          <w:tcPr>
            <w:tcW w:w="6598" w:type="dxa"/>
            <w:tcBorders/>
            <w:shd w:fill="CCEEFF" w:val="clear"/>
            <w:vAlign w:val="center"/>
          </w:tcPr>
          <w:p>
            <w:pPr>
              <w:pStyle w:val="TableContents"/>
              <w:bidi w:val="0"/>
              <w:spacing w:before="0" w:after="283"/>
              <w:jc w:val="left"/>
              <w:rPr/>
            </w:pPr>
            <w:r>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59" w:name="xdx_40B_eus-gaap--OperatingLeaseRightOfU"/>
            <w:bookmarkEnd w:id="259"/>
          </w:p>
        </w:tc>
      </w:tr>
      <w:tr>
        <w:trPr/>
        <w:tc>
          <w:tcPr>
            <w:tcW w:w="6598"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 </w:t>
            </w:r>
            <w:bookmarkStart w:id="260" w:name="xdx_409_eus-gaap--ShareBasedCompensation"/>
            <w:bookmarkEnd w:id="260"/>
          </w:p>
        </w:tc>
      </w:tr>
      <w:tr>
        <w:trPr/>
        <w:tc>
          <w:tcPr>
            <w:tcW w:w="6598"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1,308</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337</w:t>
            </w:r>
          </w:p>
        </w:tc>
        <w:tc>
          <w:tcPr>
            <w:tcW w:w="112" w:type="dxa"/>
            <w:tcBorders/>
            <w:shd w:fill="FFFFFF" w:val="clear"/>
            <w:vAlign w:val="center"/>
          </w:tcPr>
          <w:p>
            <w:pPr>
              <w:pStyle w:val="TableContents"/>
              <w:bidi w:val="0"/>
              <w:spacing w:before="0" w:after="283"/>
              <w:jc w:val="left"/>
              <w:rPr/>
            </w:pPr>
            <w:r>
              <w:rPr/>
              <w:t> </w:t>
            </w:r>
            <w:bookmarkStart w:id="261" w:name="xdx_406_ecustom--GainLossOnReleaseOfReve"/>
            <w:bookmarkEnd w:id="261"/>
          </w:p>
        </w:tc>
      </w:tr>
      <w:tr>
        <w:trPr/>
        <w:tc>
          <w:tcPr>
            <w:tcW w:w="6598"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62" w:name="xdx_40A_eus-gaap--GainsLossesOnExtinguis"/>
            <w:bookmarkEnd w:id="262"/>
          </w:p>
        </w:tc>
      </w:tr>
      <w:tr>
        <w:trPr/>
        <w:tc>
          <w:tcPr>
            <w:tcW w:w="6598"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(4,343</w:t>
            </w:r>
          </w:p>
        </w:tc>
        <w:tc>
          <w:tcPr>
            <w:tcW w:w="112" w:type="dxa"/>
            <w:tcBorders/>
            <w:shd w:fill="CCEEFF" w:val="clear"/>
            <w:vAlign w:val="center"/>
          </w:tcPr>
          <w:p>
            <w:pPr>
              <w:pStyle w:val="TableContents"/>
              <w:bidi w:val="0"/>
              <w:spacing w:before="0" w:after="283"/>
              <w:jc w:val="left"/>
              <w:rPr/>
            </w:pPr>
            <w:r>
              <w:rPr/>
              <w:t>)</w:t>
            </w:r>
            <w:bookmarkStart w:id="263" w:name="xdx_40F_ecustom--GainOnReleaseOfDueToRel"/>
            <w:bookmarkEnd w:id="263"/>
          </w:p>
        </w:tc>
      </w:tr>
      <w:tr>
        <w:trPr/>
        <w:tc>
          <w:tcPr>
            <w:tcW w:w="6598" w:type="dxa"/>
            <w:tcBorders/>
            <w:shd w:fill="CCEEFF" w:val="clear"/>
            <w:vAlign w:val="center"/>
          </w:tcPr>
          <w:p>
            <w:pPr>
              <w:pStyle w:val="TableContents"/>
              <w:bidi w:val="0"/>
              <w:spacing w:before="0" w:after="283"/>
              <w:jc w:val="left"/>
              <w:rPr/>
            </w:pPr>
            <w:r>
              <w:rPr/>
              <w:t>Gain on release of due to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4" w:name="xdx_40D_ecustom--GainLossOnConversionAnd"/>
            <w:bookmarkEnd w:id="264"/>
          </w:p>
        </w:tc>
      </w:tr>
      <w:tr>
        <w:trPr/>
        <w:tc>
          <w:tcPr>
            <w:tcW w:w="6598"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5" w:name="xdx_404_ecustom--GainLossOnConversionAnd"/>
            <w:bookmarkEnd w:id="265"/>
          </w:p>
        </w:tc>
      </w:tr>
      <w:tr>
        <w:trPr/>
        <w:tc>
          <w:tcPr>
            <w:tcW w:w="6598"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66" w:name="xdx_40C_ecustom--GainsLossesOnDebtIssuan"/>
            <w:bookmarkEnd w:id="266"/>
          </w:p>
        </w:tc>
      </w:tr>
      <w:tr>
        <w:trPr/>
        <w:tc>
          <w:tcPr>
            <w:tcW w:w="6598"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274</w:t>
            </w:r>
          </w:p>
        </w:tc>
        <w:tc>
          <w:tcPr>
            <w:tcW w:w="112" w:type="dxa"/>
            <w:tcBorders/>
            <w:shd w:fill="FFFFFF" w:val="clear"/>
            <w:vAlign w:val="center"/>
          </w:tcPr>
          <w:p>
            <w:pPr>
              <w:pStyle w:val="TableContents"/>
              <w:bidi w:val="0"/>
              <w:spacing w:before="0" w:after="283"/>
              <w:jc w:val="left"/>
              <w:rPr/>
            </w:pPr>
            <w:r>
              <w:rPr/>
              <w:t> </w:t>
            </w:r>
            <w:bookmarkStart w:id="267" w:name="xdx_403_ecustom--GainLossOnIssuanceOfTer"/>
            <w:bookmarkEnd w:id="267"/>
          </w:p>
        </w:tc>
      </w:tr>
      <w:tr>
        <w:trPr/>
        <w:tc>
          <w:tcPr>
            <w:tcW w:w="6598" w:type="dxa"/>
            <w:tcBorders/>
            <w:shd w:fill="FFFFFF" w:val="clear"/>
            <w:vAlign w:val="center"/>
          </w:tcPr>
          <w:p>
            <w:pPr>
              <w:pStyle w:val="TableContents"/>
              <w:bidi w:val="0"/>
              <w:spacing w:before="0" w:after="283"/>
              <w:jc w:val="left"/>
              <w:rPr/>
            </w:pPr>
            <w:r>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68" w:name="xdx_40B_ecustom--GainLossOnIssuanceOfCon"/>
            <w:bookmarkEnd w:id="268"/>
          </w:p>
        </w:tc>
      </w:tr>
      <w:tr>
        <w:trPr/>
        <w:tc>
          <w:tcPr>
            <w:tcW w:w="6598"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69" w:name="xdx_40B_ecustom--GainLossOnPrivatePlacem"/>
            <w:bookmarkEnd w:id="269"/>
          </w:p>
        </w:tc>
      </w:tr>
      <w:tr>
        <w:trPr/>
        <w:tc>
          <w:tcPr>
            <w:tcW w:w="6598"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70" w:name="xdx_401_ecustom--LossOnExtinguishmentOfD"/>
            <w:bookmarkEnd w:id="270"/>
          </w:p>
        </w:tc>
      </w:tr>
      <w:tr>
        <w:trPr/>
        <w:tc>
          <w:tcPr>
            <w:tcW w:w="6598"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1,770</w:t>
            </w:r>
          </w:p>
        </w:tc>
        <w:tc>
          <w:tcPr>
            <w:tcW w:w="112" w:type="dxa"/>
            <w:tcBorders/>
            <w:shd w:fill="FFFFFF" w:val="clear"/>
            <w:vAlign w:val="center"/>
          </w:tcPr>
          <w:p>
            <w:pPr>
              <w:pStyle w:val="TableContents"/>
              <w:bidi w:val="0"/>
              <w:spacing w:before="0" w:after="283"/>
              <w:jc w:val="left"/>
              <w:rPr/>
            </w:pPr>
            <w:r>
              <w:rPr/>
              <w:t> </w:t>
            </w:r>
            <w:bookmarkStart w:id="271" w:name="xdx_405_eus-gaap--GoodwillImpairmentLoss"/>
            <w:bookmarkEnd w:id="271"/>
          </w:p>
        </w:tc>
      </w:tr>
      <w:tr>
        <w:trPr/>
        <w:tc>
          <w:tcPr>
            <w:tcW w:w="6598" w:type="dxa"/>
            <w:tcBorders/>
            <w:shd w:fill="FFFFFF" w:val="clear"/>
            <w:vAlign w:val="center"/>
          </w:tcPr>
          <w:p>
            <w:pPr>
              <w:pStyle w:val="TableContents"/>
              <w:bidi w:val="0"/>
              <w:spacing w:before="0" w:after="283"/>
              <w:jc w:val="left"/>
              <w:rPr/>
            </w:pPr>
            <w:r>
              <w:rPr/>
              <w:t>Impairment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72" w:name="xdx_40A_eus-gaap--OtherNonoperatingGains"/>
            <w:bookmarkEnd w:id="272"/>
          </w:p>
        </w:tc>
      </w:tr>
      <w:tr>
        <w:trPr/>
        <w:tc>
          <w:tcPr>
            <w:tcW w:w="6598" w:type="dxa"/>
            <w:tcBorders/>
            <w:shd w:fill="CCEEFF" w:val="clear"/>
            <w:vAlign w:val="center"/>
          </w:tcPr>
          <w:p>
            <w:pPr>
              <w:pStyle w:val="TableContents"/>
              <w:bidi w:val="0"/>
              <w:spacing w:before="0" w:after="283"/>
              <w:jc w:val="left"/>
              <w:rPr/>
            </w:pPr>
            <w:r>
              <w:rPr/>
              <w:t>Other (gains) losses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73" w:name="xdx_40F_ecustom--LossOnSEPAIssuance_i02_"/>
            <w:bookmarkEnd w:id="273"/>
          </w:p>
        </w:tc>
      </w:tr>
      <w:tr>
        <w:trPr/>
        <w:tc>
          <w:tcPr>
            <w:tcW w:w="6598" w:type="dxa"/>
            <w:tcBorders/>
            <w:shd w:fill="FFFFFF" w:val="clear"/>
            <w:vAlign w:val="center"/>
          </w:tcPr>
          <w:p>
            <w:pPr>
              <w:pStyle w:val="TableContents"/>
              <w:bidi w:val="0"/>
              <w:spacing w:before="0" w:after="283"/>
              <w:jc w:val="left"/>
              <w:rPr/>
            </w:pPr>
            <w:r>
              <w:rPr/>
              <w:t>Loss on SEPA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385</w:t>
            </w:r>
          </w:p>
        </w:tc>
        <w:tc>
          <w:tcPr>
            <w:tcW w:w="112" w:type="dxa"/>
            <w:tcBorders/>
            <w:shd w:fill="FFFFFF" w:val="clear"/>
            <w:vAlign w:val="center"/>
          </w:tcPr>
          <w:p>
            <w:pPr>
              <w:pStyle w:val="TableContents"/>
              <w:bidi w:val="0"/>
              <w:spacing w:before="0" w:after="283"/>
              <w:jc w:val="left"/>
              <w:rPr/>
            </w:pPr>
            <w:r>
              <w:rPr/>
              <w:t> </w:t>
            </w:r>
            <w:bookmarkStart w:id="274" w:name="xdx_408_ecustom--ChangeInFairValueOfFina"/>
            <w:bookmarkEnd w:id="274"/>
          </w:p>
        </w:tc>
      </w:tr>
      <w:tr>
        <w:trPr/>
        <w:tc>
          <w:tcPr>
            <w:tcW w:w="6598"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140</w:t>
            </w:r>
          </w:p>
        </w:tc>
        <w:tc>
          <w:tcPr>
            <w:tcW w:w="112" w:type="dxa"/>
            <w:tcBorders/>
            <w:shd w:fill="CCEEFF" w:val="clear"/>
            <w:vAlign w:val="center"/>
          </w:tcPr>
          <w:p>
            <w:pPr>
              <w:pStyle w:val="TableContents"/>
              <w:bidi w:val="0"/>
              <w:spacing w:before="0" w:after="283"/>
              <w:jc w:val="left"/>
              <w:rPr/>
            </w:pPr>
            <w:r>
              <w:rPr/>
              <w:t> </w:t>
            </w:r>
            <w:bookmarkStart w:id="275" w:name="xdx_40D_ecustom--ChangeInFairValueOfFina"/>
            <w:bookmarkEnd w:id="275"/>
          </w:p>
        </w:tc>
      </w:tr>
      <w:tr>
        <w:trPr/>
        <w:tc>
          <w:tcPr>
            <w:tcW w:w="6598"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bookmarkStart w:id="276" w:name="xdx_40F_ecustom--ChangeInFairValueOfFina"/>
            <w:bookmarkEnd w:id="276"/>
          </w:p>
        </w:tc>
      </w:tr>
      <w:tr>
        <w:trPr/>
        <w:tc>
          <w:tcPr>
            <w:tcW w:w="659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bookmarkStart w:id="277" w:name="xdx_402_eus-gaap--FairValueAdjustmentOfW"/>
            <w:bookmarkEnd w:id="277"/>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8" w:name="xdx_40A_eus-gaap--FairValueAdjustmentOfW"/>
            <w:bookmarkEnd w:id="278"/>
          </w:p>
        </w:tc>
      </w:tr>
      <w:tr>
        <w:trPr/>
        <w:tc>
          <w:tcPr>
            <w:tcW w:w="6598"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9" w:name="xdx_402_eus-gaap--FairValueAdjustmentOfW"/>
            <w:bookmarkEnd w:id="279"/>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0" w:name="xdx_407_eus-gaap--EmbeddedDerivativeGain"/>
            <w:bookmarkEnd w:id="280"/>
          </w:p>
        </w:tc>
      </w:tr>
      <w:tr>
        <w:trPr/>
        <w:tc>
          <w:tcPr>
            <w:tcW w:w="6598" w:type="dxa"/>
            <w:tcBorders/>
            <w:shd w:fill="CCEEFF" w:val="clear"/>
            <w:vAlign w:val="center"/>
          </w:tcPr>
          <w:p>
            <w:pPr>
              <w:pStyle w:val="TableContents"/>
              <w:bidi w:val="0"/>
              <w:spacing w:before="0" w:after="283"/>
              <w:jc w:val="left"/>
              <w:rPr/>
            </w:pPr>
            <w:r>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1" w:name="xdx_40F_eus-gaap--IncreaseDecreaseInFair"/>
            <w:bookmarkEnd w:id="281"/>
          </w:p>
        </w:tc>
      </w:tr>
      <w:tr>
        <w:trPr/>
        <w:tc>
          <w:tcPr>
            <w:tcW w:w="6598" w:type="dxa"/>
            <w:tcBorders/>
            <w:shd w:fill="CCEEFF" w:val="clear"/>
            <w:vAlign w:val="center"/>
          </w:tcPr>
          <w:p>
            <w:pPr>
              <w:pStyle w:val="TableContents"/>
              <w:bidi w:val="0"/>
              <w:spacing w:before="0" w:after="283"/>
              <w:jc w:val="left"/>
              <w:rPr/>
            </w:pPr>
            <w:r>
              <w:rPr/>
              <w:t>Change in fair value of 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(373</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w:t>
            </w:r>
          </w:p>
        </w:tc>
        <w:tc>
          <w:tcPr>
            <w:tcW w:w="112" w:type="dxa"/>
            <w:tcBorders/>
            <w:shd w:fill="CCEEFF" w:val="clear"/>
            <w:vAlign w:val="center"/>
          </w:tcPr>
          <w:p>
            <w:pPr>
              <w:pStyle w:val="TableContents"/>
              <w:bidi w:val="0"/>
              <w:spacing w:before="0" w:after="283"/>
              <w:jc w:val="left"/>
              <w:rPr/>
            </w:pPr>
            <w:r>
              <w:rPr/>
              <w:t> </w:t>
            </w:r>
            <w:bookmarkStart w:id="282" w:name="xdx_406_ecustom--ChangeInFairValueOfConv"/>
            <w:bookmarkEnd w:id="282"/>
          </w:p>
        </w:tc>
      </w:tr>
      <w:tr>
        <w:trPr/>
        <w:tc>
          <w:tcPr>
            <w:tcW w:w="6598"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3" w:name="xdx_40B_ecustom--ChangeInFairValueOfTerm"/>
            <w:bookmarkEnd w:id="283"/>
          </w:p>
        </w:tc>
      </w:tr>
      <w:tr>
        <w:trPr/>
        <w:tc>
          <w:tcPr>
            <w:tcW w:w="6598"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4" w:name="xdx_40F_ecustom--ChangeInFairValueOfConv"/>
            <w:bookmarkEnd w:id="284"/>
          </w:p>
        </w:tc>
      </w:tr>
      <w:tr>
        <w:trPr/>
        <w:tc>
          <w:tcPr>
            <w:tcW w:w="6598"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85" w:name="xdx_40E_eus-gaap--IncreaseDecreaseInOper"/>
            <w:bookmarkEnd w:id="285"/>
          </w:p>
        </w:tc>
      </w:tr>
      <w:tr>
        <w:trPr/>
        <w:tc>
          <w:tcPr>
            <w:tcW w:w="659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86" w:name="xdx_40B_eus-gaap--IncreaseDecreaseInAcco"/>
            <w:bookmarkEnd w:id="286"/>
          </w:p>
        </w:tc>
      </w:tr>
      <w:tr>
        <w:trPr/>
        <w:tc>
          <w:tcPr>
            <w:tcW w:w="6598"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56</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(82</w:t>
            </w:r>
          </w:p>
        </w:tc>
        <w:tc>
          <w:tcPr>
            <w:tcW w:w="112" w:type="dxa"/>
            <w:tcBorders/>
            <w:shd w:fill="CCEEFF" w:val="clear"/>
            <w:vAlign w:val="center"/>
          </w:tcPr>
          <w:p>
            <w:pPr>
              <w:pStyle w:val="TableContents"/>
              <w:bidi w:val="0"/>
              <w:spacing w:before="0" w:after="283"/>
              <w:jc w:val="left"/>
              <w:rPr/>
            </w:pPr>
            <w:r>
              <w:rPr/>
              <w:t>)</w:t>
            </w:r>
            <w:bookmarkStart w:id="287" w:name="xdx_408_eus-gaap--IncreaseDecreaseInPrep"/>
            <w:bookmarkEnd w:id="287"/>
          </w:p>
        </w:tc>
      </w:tr>
      <w:tr>
        <w:trPr/>
        <w:tc>
          <w:tcPr>
            <w:tcW w:w="659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(410</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(188</w:t>
            </w:r>
          </w:p>
        </w:tc>
        <w:tc>
          <w:tcPr>
            <w:tcW w:w="112" w:type="dxa"/>
            <w:tcBorders/>
            <w:shd w:fill="FFFFFF" w:val="clear"/>
            <w:vAlign w:val="center"/>
          </w:tcPr>
          <w:p>
            <w:pPr>
              <w:pStyle w:val="TableContents"/>
              <w:bidi w:val="0"/>
              <w:spacing w:before="0" w:after="283"/>
              <w:jc w:val="left"/>
              <w:rPr/>
            </w:pPr>
            <w:r>
              <w:rPr/>
              <w:t>)</w:t>
            </w:r>
            <w:bookmarkStart w:id="288" w:name="xdx_404_eus-gaap--IncreaseDecreaseInOthe"/>
            <w:bookmarkEnd w:id="288"/>
          </w:p>
        </w:tc>
      </w:tr>
      <w:tr>
        <w:trPr/>
        <w:tc>
          <w:tcPr>
            <w:tcW w:w="659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w:t>
            </w:r>
            <w:bookmarkStart w:id="289" w:name="xdx_40F_eus-gaap--IncreaseDecreaseInAcco"/>
            <w:bookmarkEnd w:id="289"/>
          </w:p>
        </w:tc>
      </w:tr>
      <w:tr>
        <w:trPr/>
        <w:tc>
          <w:tcPr>
            <w:tcW w:w="65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477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(610</w:t>
            </w:r>
          </w:p>
        </w:tc>
        <w:tc>
          <w:tcPr>
            <w:tcW w:w="112" w:type="dxa"/>
            <w:tcBorders/>
            <w:shd w:fill="FFFFFF" w:val="clear"/>
            <w:vAlign w:val="center"/>
          </w:tcPr>
          <w:p>
            <w:pPr>
              <w:pStyle w:val="TableContents"/>
              <w:bidi w:val="0"/>
              <w:spacing w:before="0" w:after="283"/>
              <w:jc w:val="left"/>
              <w:rPr/>
            </w:pPr>
            <w:r>
              <w:rPr/>
              <w:t>)</w:t>
            </w:r>
            <w:bookmarkStart w:id="290" w:name="xdx_404_eus-gaap--IncreaseDecreaseInDefe"/>
            <w:bookmarkEnd w:id="290"/>
          </w:p>
        </w:tc>
      </w:tr>
      <w:tr>
        <w:trPr/>
        <w:tc>
          <w:tcPr>
            <w:tcW w:w="659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w:t>
            </w:r>
          </w:p>
        </w:tc>
        <w:tc>
          <w:tcPr>
            <w:tcW w:w="112" w:type="dxa"/>
            <w:tcBorders/>
            <w:shd w:fill="CCEEFF" w:val="clear"/>
            <w:vAlign w:val="center"/>
          </w:tcPr>
          <w:p>
            <w:pPr>
              <w:pStyle w:val="TableContents"/>
              <w:bidi w:val="0"/>
              <w:spacing w:before="0" w:after="283"/>
              <w:jc w:val="left"/>
              <w:rPr/>
            </w:pPr>
            <w:r>
              <w:rPr/>
              <w:t> </w:t>
            </w:r>
            <w:bookmarkStart w:id="291" w:name="xdx_40E_eus-gaap--IncreaseDecreaseInAccr"/>
            <w:bookmarkEnd w:id="291"/>
          </w:p>
        </w:tc>
      </w:tr>
      <w:tr>
        <w:trPr/>
        <w:tc>
          <w:tcPr>
            <w:tcW w:w="6598"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(286</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(213</w:t>
            </w:r>
          </w:p>
        </w:tc>
        <w:tc>
          <w:tcPr>
            <w:tcW w:w="112" w:type="dxa"/>
            <w:tcBorders/>
            <w:shd w:fill="FFFFFF" w:val="clear"/>
            <w:vAlign w:val="center"/>
          </w:tcPr>
          <w:p>
            <w:pPr>
              <w:pStyle w:val="TableContents"/>
              <w:bidi w:val="0"/>
              <w:spacing w:before="0" w:after="283"/>
              <w:jc w:val="left"/>
              <w:rPr/>
            </w:pPr>
            <w:r>
              <w:rPr/>
              <w:t>)</w:t>
            </w:r>
            <w:bookmarkStart w:id="292" w:name="xdx_40B_eus-gaap--IncreaseDecreaseInOper"/>
            <w:bookmarkEnd w:id="292"/>
          </w:p>
        </w:tc>
      </w:tr>
      <w:tr>
        <w:trPr/>
        <w:tc>
          <w:tcPr>
            <w:tcW w:w="659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bookmarkStart w:id="293" w:name="xdx_40F_ecustom--IncreaseDecreaseInEarno"/>
            <w:bookmarkEnd w:id="293"/>
          </w:p>
        </w:tc>
      </w:tr>
      <w:tr>
        <w:trPr/>
        <w:tc>
          <w:tcPr>
            <w:tcW w:w="6598"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(491</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170</w:t>
            </w:r>
          </w:p>
        </w:tc>
        <w:tc>
          <w:tcPr>
            <w:tcW w:w="112" w:type="dxa"/>
            <w:tcBorders/>
            <w:shd w:fill="FFFFFF" w:val="clear"/>
            <w:vAlign w:val="center"/>
          </w:tcPr>
          <w:p>
            <w:pPr>
              <w:pStyle w:val="TableContents"/>
              <w:bidi w:val="0"/>
              <w:spacing w:before="0" w:after="283"/>
              <w:jc w:val="left"/>
              <w:rPr/>
            </w:pPr>
            <w:r>
              <w:rPr/>
              <w:t> </w:t>
            </w:r>
            <w:bookmarkStart w:id="294" w:name="xdx_409_ecustom--IncreaseDecreaseInDefer"/>
            <w:bookmarkEnd w:id="294"/>
          </w:p>
        </w:tc>
      </w:tr>
      <w:tr>
        <w:trPr/>
        <w:tc>
          <w:tcPr>
            <w:tcW w:w="6598" w:type="dxa"/>
            <w:tcBorders/>
            <w:shd w:fill="CCEEFF" w:val="clear"/>
            <w:vAlign w:val="center"/>
          </w:tcPr>
          <w:p>
            <w:pPr>
              <w:pStyle w:val="TableContents"/>
              <w:bidi w:val="0"/>
              <w:spacing w:before="0" w:after="283"/>
              <w:jc w:val="left"/>
              <w:rPr/>
            </w:pPr>
            <w:r>
              <w:rPr/>
              <w:t>Deferred revenue – long-term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23</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w:t>
            </w:r>
            <w:bookmarkStart w:id="295" w:name="xdx_40E_eus-gaap--IncreaseDecreaseInDefe"/>
            <w:bookmarkEnd w:id="295"/>
          </w:p>
        </w:tc>
      </w:tr>
      <w:tr>
        <w:trPr/>
        <w:tc>
          <w:tcPr>
            <w:tcW w:w="6598"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112" w:type="dxa"/>
            <w:tcBorders/>
            <w:shd w:fill="FFFFFF" w:val="clear"/>
            <w:vAlign w:val="center"/>
          </w:tcPr>
          <w:p>
            <w:pPr>
              <w:pStyle w:val="TableContents"/>
              <w:bidi w:val="0"/>
              <w:spacing w:before="0" w:after="283"/>
              <w:jc w:val="left"/>
              <w:rPr/>
            </w:pPr>
            <w:r>
              <w:rPr/>
              <w:t>)</w:t>
            </w:r>
            <w:bookmarkStart w:id="296" w:name="xdx_40D_eus-gaap--IncreaseDecreaseInOthe"/>
            <w:bookmarkEnd w:id="296"/>
          </w:p>
        </w:tc>
      </w:tr>
      <w:tr>
        <w:trPr/>
        <w:tc>
          <w:tcPr>
            <w:tcW w:w="6598"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97" w:name="xdx_40F_eus-gaap--NetCashProvidedByUsedI"/>
            <w:bookmarkEnd w:id="297"/>
          </w:p>
        </w:tc>
      </w:tr>
      <w:tr>
        <w:trPr/>
        <w:tc>
          <w:tcPr>
            <w:tcW w:w="659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(5,501</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(4,974</w:t>
            </w:r>
          </w:p>
        </w:tc>
        <w:tc>
          <w:tcPr>
            <w:tcW w:w="112" w:type="dxa"/>
            <w:tcBorders/>
            <w:shd w:fill="CCEEFF" w:val="clear"/>
            <w:vAlign w:val="center"/>
          </w:tcPr>
          <w:p>
            <w:pPr>
              <w:pStyle w:val="TableContents"/>
              <w:bidi w:val="0"/>
              <w:spacing w:before="0" w:after="283"/>
              <w:jc w:val="left"/>
              <w:rPr/>
            </w:pPr>
            <w:r>
              <w:rPr/>
              <w:t>)</w:t>
            </w:r>
            <w:bookmarkStart w:id="298" w:name="xdx_406_eus-gaap--NetCashProvidedByUsedI"/>
            <w:bookmarkEnd w:id="298"/>
          </w:p>
        </w:tc>
      </w:tr>
      <w:tr>
        <w:trPr/>
        <w:tc>
          <w:tcPr>
            <w:tcW w:w="6598"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99" w:name="xdx_408_eus-gaap--PaymentsToAcquireBusin"/>
            <w:bookmarkEnd w:id="299"/>
          </w:p>
        </w:tc>
      </w:tr>
      <w:tr>
        <w:trPr/>
        <w:tc>
          <w:tcPr>
            <w:tcW w:w="6598" w:type="dxa"/>
            <w:tcBorders/>
            <w:shd w:fill="CCEEFF" w:val="clear"/>
            <w:vAlign w:val="center"/>
          </w:tcPr>
          <w:p>
            <w:pPr>
              <w:pStyle w:val="TableContents"/>
              <w:bidi w:val="0"/>
              <w:spacing w:before="0" w:after="283"/>
              <w:jc w:val="left"/>
              <w:rPr/>
            </w:pPr>
            <w:r>
              <w:rPr/>
              <w:t>Cash paid for acquisition of Vidello, net of cash acquired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(2,677</w:t>
            </w:r>
          </w:p>
        </w:tc>
        <w:tc>
          <w:tcPr>
            <w:tcW w:w="112" w:type="dxa"/>
            <w:tcBorders/>
            <w:shd w:fill="CCEEFF" w:val="clear"/>
            <w:vAlign w:val="center"/>
          </w:tcPr>
          <w:p>
            <w:pPr>
              <w:pStyle w:val="TableContents"/>
              <w:bidi w:val="0"/>
              <w:spacing w:before="0" w:after="283"/>
              <w:jc w:val="left"/>
              <w:rPr/>
            </w:pPr>
            <w:r>
              <w:rPr/>
              <w:t>)</w:t>
            </w:r>
            <w:bookmarkStart w:id="300" w:name="xdx_400_eus-gaap--AssetAcquisitionConsid"/>
            <w:bookmarkEnd w:id="300"/>
          </w:p>
        </w:tc>
      </w:tr>
      <w:tr>
        <w:trPr/>
        <w:tc>
          <w:tcPr>
            <w:tcW w:w="6598" w:type="dxa"/>
            <w:tcBorders/>
            <w:shd w:fill="CCEEFF" w:val="clear"/>
            <w:vAlign w:val="center"/>
          </w:tcPr>
          <w:p>
            <w:pPr>
              <w:pStyle w:val="TableContents"/>
              <w:bidi w:val="0"/>
              <w:spacing w:before="0" w:after="283"/>
              <w:jc w:val="left"/>
              <w:rPr/>
            </w:pPr>
            <w:r>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1" w:name="xdx_408_eus-gaap--CashAcquiredFromAcquis"/>
            <w:bookmarkEnd w:id="301"/>
          </w:p>
        </w:tc>
      </w:tr>
      <w:tr>
        <w:trPr/>
        <w:tc>
          <w:tcPr>
            <w:tcW w:w="6598" w:type="dxa"/>
            <w:tcBorders/>
            <w:shd w:fill="CCEEFF" w:val="clear"/>
            <w:vAlign w:val="center"/>
          </w:tcPr>
          <w:p>
            <w:pPr>
              <w:pStyle w:val="TableContents"/>
              <w:bidi w:val="0"/>
              <w:spacing w:before="0" w:after="283"/>
              <w:jc w:val="left"/>
              <w:rPr/>
            </w:pPr>
            <w:r>
              <w:rPr/>
              <w:t>Cash acquired in acquisition of OpenReel</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2" w:name="xdx_40D_eus-gaap--NetCashProvidedByUsedI"/>
            <w:bookmarkEnd w:id="302"/>
          </w:p>
        </w:tc>
      </w:tr>
      <w:tr>
        <w:trPr/>
        <w:tc>
          <w:tcPr>
            <w:tcW w:w="6598"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112" w:type="dxa"/>
            <w:tcBorders/>
            <w:shd w:fill="FFFFFF" w:val="clear"/>
            <w:vAlign w:val="center"/>
          </w:tcPr>
          <w:p>
            <w:pPr>
              <w:pStyle w:val="TableContents"/>
              <w:bidi w:val="0"/>
              <w:spacing w:before="0" w:after="283"/>
              <w:jc w:val="left"/>
              <w:rPr/>
            </w:pPr>
            <w:r>
              <w:rPr/>
              <w:t>)</w:t>
            </w:r>
            <w:bookmarkStart w:id="303" w:name="xdx_408_eus-gaap--NetCashProvidedByUsedI"/>
            <w:bookmarkEnd w:id="303"/>
          </w:p>
        </w:tc>
      </w:tr>
      <w:tr>
        <w:trPr/>
        <w:tc>
          <w:tcPr>
            <w:tcW w:w="6598"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4" w:name="xdx_402_ecustom--PaymentOfGEMCommitmentF"/>
            <w:bookmarkEnd w:id="304"/>
          </w:p>
        </w:tc>
      </w:tr>
      <w:tr>
        <w:trPr/>
        <w:tc>
          <w:tcPr>
            <w:tcW w:w="6598" w:type="dxa"/>
            <w:tcBorders/>
            <w:shd w:fill="FFFFFF" w:val="clear"/>
            <w:vAlign w:val="center"/>
          </w:tcPr>
          <w:p>
            <w:pPr>
              <w:pStyle w:val="TableContents"/>
              <w:bidi w:val="0"/>
              <w:spacing w:before="0" w:after="283"/>
              <w:jc w:val="left"/>
              <w:rPr/>
            </w:pPr>
            <w:r>
              <w:rPr/>
              <w:t>Payment of GEM commitment fee promissory note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(215</w:t>
            </w:r>
          </w:p>
        </w:tc>
        <w:tc>
          <w:tcPr>
            <w:tcW w:w="112" w:type="dxa"/>
            <w:tcBorders/>
            <w:shd w:fill="FFFFFF" w:val="clear"/>
            <w:vAlign w:val="center"/>
          </w:tcPr>
          <w:p>
            <w:pPr>
              <w:pStyle w:val="TableContents"/>
              <w:bidi w:val="0"/>
              <w:spacing w:before="0" w:after="283"/>
              <w:jc w:val="left"/>
              <w:rPr/>
            </w:pPr>
            <w:r>
              <w:rPr/>
              <w:t>)</w:t>
            </w:r>
            <w:bookmarkStart w:id="305" w:name="xdx_401_eus-gaap--PaymentsOfMergerRelate"/>
            <w:bookmarkEnd w:id="305"/>
          </w:p>
        </w:tc>
      </w:tr>
      <w:tr>
        <w:trPr/>
        <w:tc>
          <w:tcPr>
            <w:tcW w:w="6598" w:type="dxa"/>
            <w:tcBorders/>
            <w:shd w:fill="FFFFFF" w:val="clear"/>
            <w:vAlign w:val="center"/>
          </w:tcPr>
          <w:p>
            <w:pPr>
              <w:pStyle w:val="TableContents"/>
              <w:bidi w:val="0"/>
              <w:spacing w:before="0" w:after="283"/>
              <w:jc w:val="left"/>
              <w:rPr/>
            </w:pPr>
            <w:r>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6" w:name="xdx_40C_ecustom--ProceedsFromRelatedPart"/>
            <w:bookmarkEnd w:id="306"/>
          </w:p>
        </w:tc>
      </w:tr>
      <w:tr>
        <w:trPr/>
        <w:tc>
          <w:tcPr>
            <w:tcW w:w="6598" w:type="dxa"/>
            <w:tcBorders/>
            <w:shd w:fill="FFFFFF" w:val="clear"/>
            <w:vAlign w:val="center"/>
          </w:tcPr>
          <w:p>
            <w:pPr>
              <w:pStyle w:val="TableContents"/>
              <w:bidi w:val="0"/>
              <w:spacing w:before="0" w:after="283"/>
              <w:jc w:val="left"/>
              <w:rPr/>
            </w:pPr>
            <w:r>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7" w:name="xdx_40E_eus-gaap--RepaymentsOfRelatedPar"/>
            <w:bookmarkEnd w:id="307"/>
          </w:p>
        </w:tc>
      </w:tr>
      <w:tr>
        <w:trPr/>
        <w:tc>
          <w:tcPr>
            <w:tcW w:w="6598" w:type="dxa"/>
            <w:tcBorders/>
            <w:shd w:fill="FFFFFF" w:val="clear"/>
            <w:vAlign w:val="center"/>
          </w:tcPr>
          <w:p>
            <w:pPr>
              <w:pStyle w:val="TableContents"/>
              <w:bidi w:val="0"/>
              <w:spacing w:before="0" w:after="283"/>
              <w:jc w:val="left"/>
              <w:rPr/>
            </w:pPr>
            <w:r>
              <w:rPr/>
              <w:t>Repayment of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8" w:name="xdx_401_eus-gaap--PaymentsForRepurchaseO"/>
            <w:bookmarkEnd w:id="308"/>
          </w:p>
        </w:tc>
      </w:tr>
      <w:tr>
        <w:trPr/>
        <w:tc>
          <w:tcPr>
            <w:tcW w:w="6598" w:type="dxa"/>
            <w:tcBorders/>
            <w:shd w:fill="FFFFFF" w:val="clear"/>
            <w:vAlign w:val="center"/>
          </w:tcPr>
          <w:p>
            <w:pPr>
              <w:pStyle w:val="TableContents"/>
              <w:bidi w:val="0"/>
              <w:spacing w:before="0" w:after="283"/>
              <w:jc w:val="left"/>
              <w:rPr/>
            </w:pPr>
            <w:r>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9" w:name="xdx_40E_ecustom--ProceedsFromYorkvilleRe"/>
            <w:bookmarkEnd w:id="309"/>
          </w:p>
        </w:tc>
      </w:tr>
      <w:tr>
        <w:trPr/>
        <w:tc>
          <w:tcPr>
            <w:tcW w:w="6598" w:type="dxa"/>
            <w:tcBorders/>
            <w:shd w:fill="FFFFFF" w:val="clear"/>
            <w:vAlign w:val="center"/>
          </w:tcPr>
          <w:p>
            <w:pPr>
              <w:pStyle w:val="TableContents"/>
              <w:bidi w:val="0"/>
              <w:spacing w:before="0" w:after="283"/>
              <w:jc w:val="left"/>
              <w:rPr/>
            </w:pPr>
            <w:r>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0" w:name="xdx_40D_ecustom--ProceedsReceivedForExer"/>
            <w:bookmarkEnd w:id="310"/>
          </w:p>
        </w:tc>
      </w:tr>
      <w:tr>
        <w:trPr/>
        <w:tc>
          <w:tcPr>
            <w:tcW w:w="6598" w:type="dxa"/>
            <w:tcBorders/>
            <w:shd w:fill="FFFFFF" w:val="clear"/>
            <w:vAlign w:val="center"/>
          </w:tcPr>
          <w:p>
            <w:pPr>
              <w:pStyle w:val="TableContents"/>
              <w:bidi w:val="0"/>
              <w:spacing w:before="0" w:after="283"/>
              <w:jc w:val="left"/>
              <w:rPr/>
            </w:pPr>
            <w:r>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1" w:name="xdx_40B_eus-gaap--PaymentsForRepurchaseO"/>
            <w:bookmarkEnd w:id="311"/>
          </w:p>
        </w:tc>
      </w:tr>
      <w:tr>
        <w:trPr/>
        <w:tc>
          <w:tcPr>
            <w:tcW w:w="6598" w:type="dxa"/>
            <w:tcBorders/>
            <w:shd w:fill="FFFFFF" w:val="clear"/>
            <w:vAlign w:val="center"/>
          </w:tcPr>
          <w:p>
            <w:pPr>
              <w:pStyle w:val="TableContents"/>
              <w:bidi w:val="0"/>
              <w:spacing w:before="0" w:after="283"/>
              <w:jc w:val="left"/>
              <w:rPr/>
            </w:pPr>
            <w:r>
              <w:rPr/>
              <w:t>Payment of deferred offering costs – ATM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2" w:name="xdx_405_ecustom--ProceedsFromIssuanceOfC"/>
            <w:bookmarkEnd w:id="312"/>
          </w:p>
        </w:tc>
      </w:tr>
      <w:tr>
        <w:trPr/>
        <w:tc>
          <w:tcPr>
            <w:tcW w:w="6598" w:type="dxa"/>
            <w:tcBorders/>
            <w:shd w:fill="FFFFFF" w:val="clear"/>
            <w:vAlign w:val="center"/>
          </w:tcPr>
          <w:p>
            <w:pPr>
              <w:pStyle w:val="TableContents"/>
              <w:bidi w:val="0"/>
              <w:spacing w:before="0" w:after="283"/>
              <w:jc w:val="left"/>
              <w:rPr/>
            </w:pPr>
            <w:r>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3" w:name="xdx_407_ecustom--ProceedsFromSharesIssue"/>
            <w:bookmarkEnd w:id="313"/>
          </w:p>
        </w:tc>
      </w:tr>
      <w:tr>
        <w:trPr/>
        <w:tc>
          <w:tcPr>
            <w:tcW w:w="6598" w:type="dxa"/>
            <w:tcBorders/>
            <w:shd w:fill="FFFFFF" w:val="clear"/>
            <w:vAlign w:val="center"/>
          </w:tcPr>
          <w:p>
            <w:pPr>
              <w:pStyle w:val="TableContents"/>
              <w:bidi w:val="0"/>
              <w:spacing w:before="0" w:after="283"/>
              <w:jc w:val="left"/>
              <w:rPr/>
            </w:pPr>
            <w:r>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14" w:name="xdx_403_eus-gaap--RepaymentsOfConvertibl"/>
            <w:bookmarkEnd w:id="314"/>
          </w:p>
        </w:tc>
      </w:tr>
      <w:tr>
        <w:trPr/>
        <w:tc>
          <w:tcPr>
            <w:tcW w:w="6598" w:type="dxa"/>
            <w:tcBorders/>
            <w:shd w:fill="CCEEFF" w:val="clear"/>
            <w:vAlign w:val="center"/>
          </w:tcPr>
          <w:p>
            <w:pPr>
              <w:pStyle w:val="TableContents"/>
              <w:bidi w:val="0"/>
              <w:spacing w:before="0" w:after="283"/>
              <w:jc w:val="left"/>
              <w:rPr/>
            </w:pPr>
            <w:r>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(647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(1,877</w:t>
            </w:r>
          </w:p>
        </w:tc>
        <w:tc>
          <w:tcPr>
            <w:tcW w:w="112" w:type="dxa"/>
            <w:tcBorders/>
            <w:shd w:fill="CCEEFF" w:val="clear"/>
            <w:vAlign w:val="center"/>
          </w:tcPr>
          <w:p>
            <w:pPr>
              <w:pStyle w:val="TableContents"/>
              <w:bidi w:val="0"/>
              <w:spacing w:before="0" w:after="283"/>
              <w:jc w:val="left"/>
              <w:rPr/>
            </w:pPr>
            <w:r>
              <w:rPr/>
              <w:t>)</w:t>
            </w:r>
            <w:bookmarkStart w:id="315" w:name="xdx_405_eus-gaap--ProceedsFromIssuanceOf"/>
            <w:bookmarkEnd w:id="315"/>
          </w:p>
        </w:tc>
      </w:tr>
      <w:tr>
        <w:trPr/>
        <w:tc>
          <w:tcPr>
            <w:tcW w:w="6598" w:type="dxa"/>
            <w:tcBorders/>
            <w:shd w:fill="FFFFFF" w:val="clear"/>
            <w:vAlign w:val="center"/>
          </w:tcPr>
          <w:p>
            <w:pPr>
              <w:pStyle w:val="TableContents"/>
              <w:bidi w:val="0"/>
              <w:spacing w:before="0" w:after="283"/>
              <w:jc w:val="left"/>
              <w:rPr/>
            </w:pPr>
            <w:r>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504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4,000</w:t>
            </w:r>
          </w:p>
        </w:tc>
        <w:tc>
          <w:tcPr>
            <w:tcW w:w="112" w:type="dxa"/>
            <w:tcBorders/>
            <w:shd w:fill="FFFFFF" w:val="clear"/>
            <w:vAlign w:val="center"/>
          </w:tcPr>
          <w:p>
            <w:pPr>
              <w:pStyle w:val="TableContents"/>
              <w:bidi w:val="0"/>
              <w:spacing w:before="0" w:after="283"/>
              <w:jc w:val="left"/>
              <w:rPr/>
            </w:pPr>
            <w:r>
              <w:rPr/>
              <w:t> </w:t>
            </w:r>
            <w:bookmarkStart w:id="316" w:name="xdx_403_eus-gaap--RepaymentsOfNotesPayab"/>
            <w:bookmarkEnd w:id="316"/>
          </w:p>
        </w:tc>
      </w:tr>
      <w:tr>
        <w:trPr/>
        <w:tc>
          <w:tcPr>
            <w:tcW w:w="6598" w:type="dxa"/>
            <w:tcBorders/>
            <w:shd w:fill="CCEEFF" w:val="clear"/>
            <w:vAlign w:val="center"/>
          </w:tcPr>
          <w:p>
            <w:pPr>
              <w:pStyle w:val="TableContents"/>
              <w:bidi w:val="0"/>
              <w:spacing w:before="0" w:after="283"/>
              <w:jc w:val="left"/>
              <w:rPr/>
            </w:pPr>
            <w:r>
              <w:rPr/>
              <w:t>Repayment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(54</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(3,686</w:t>
            </w:r>
          </w:p>
        </w:tc>
        <w:tc>
          <w:tcPr>
            <w:tcW w:w="112" w:type="dxa"/>
            <w:tcBorders/>
            <w:shd w:fill="CCEEFF" w:val="clear"/>
            <w:vAlign w:val="center"/>
          </w:tcPr>
          <w:p>
            <w:pPr>
              <w:pStyle w:val="TableContents"/>
              <w:bidi w:val="0"/>
              <w:spacing w:before="0" w:after="283"/>
              <w:jc w:val="left"/>
              <w:rPr/>
            </w:pPr>
            <w:r>
              <w:rPr/>
              <w:t>)</w:t>
            </w:r>
            <w:bookmarkStart w:id="317" w:name="xdx_40F_ecustom--PartialRepaymentOfConve"/>
            <w:bookmarkEnd w:id="317"/>
          </w:p>
        </w:tc>
      </w:tr>
      <w:tr>
        <w:trPr/>
        <w:tc>
          <w:tcPr>
            <w:tcW w:w="6598" w:type="dxa"/>
            <w:tcBorders/>
            <w:shd w:fill="FFFFFF" w:val="clear"/>
            <w:vAlign w:val="center"/>
          </w:tcPr>
          <w:p>
            <w:pPr>
              <w:pStyle w:val="TableContents"/>
              <w:bidi w:val="0"/>
              <w:spacing w:before="0" w:after="283"/>
              <w:jc w:val="left"/>
              <w:rPr/>
            </w:pPr>
            <w:r>
              <w:rPr/>
              <w:t>Partial repayment of convertible notes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(870</w:t>
            </w:r>
          </w:p>
        </w:tc>
        <w:tc>
          <w:tcPr>
            <w:tcW w:w="112" w:type="dxa"/>
            <w:tcBorders/>
            <w:shd w:fill="FFFFFF" w:val="clear"/>
            <w:vAlign w:val="center"/>
          </w:tcPr>
          <w:p>
            <w:pPr>
              <w:pStyle w:val="TableContents"/>
              <w:bidi w:val="0"/>
              <w:spacing w:before="0" w:after="283"/>
              <w:jc w:val="left"/>
              <w:rPr/>
            </w:pPr>
            <w:r>
              <w:rPr/>
              <w:t>)</w:t>
            </w:r>
            <w:bookmarkStart w:id="318" w:name="xdx_400_eus-gaap--ProceedsFromConvertibl"/>
            <w:bookmarkEnd w:id="318"/>
          </w:p>
        </w:tc>
      </w:tr>
      <w:tr>
        <w:trPr/>
        <w:tc>
          <w:tcPr>
            <w:tcW w:w="6598" w:type="dxa"/>
            <w:tcBorders/>
            <w:shd w:fill="CCEEFF" w:val="clear"/>
            <w:vAlign w:val="center"/>
          </w:tcPr>
          <w:p>
            <w:pPr>
              <w:pStyle w:val="TableContents"/>
              <w:bidi w:val="0"/>
              <w:spacing w:before="0" w:after="283"/>
              <w:jc w:val="left"/>
              <w:rPr/>
            </w:pPr>
            <w:r>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2,121</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3,258</w:t>
            </w:r>
          </w:p>
        </w:tc>
        <w:tc>
          <w:tcPr>
            <w:tcW w:w="112" w:type="dxa"/>
            <w:tcBorders/>
            <w:shd w:fill="CCEEFF" w:val="clear"/>
            <w:vAlign w:val="center"/>
          </w:tcPr>
          <w:p>
            <w:pPr>
              <w:pStyle w:val="TableContents"/>
              <w:bidi w:val="0"/>
              <w:spacing w:before="0" w:after="283"/>
              <w:jc w:val="left"/>
              <w:rPr/>
            </w:pPr>
            <w:r>
              <w:rPr/>
              <w:t> </w:t>
            </w:r>
            <w:bookmarkStart w:id="319" w:name="xdx_400_ecustom--ProceedsFromIssuanceOfS"/>
            <w:bookmarkEnd w:id="319"/>
          </w:p>
        </w:tc>
      </w:tr>
      <w:tr>
        <w:trPr/>
        <w:tc>
          <w:tcPr>
            <w:tcW w:w="6598" w:type="dxa"/>
            <w:tcBorders/>
            <w:shd w:fill="FFFFFF" w:val="clear"/>
            <w:vAlign w:val="center"/>
          </w:tcPr>
          <w:p>
            <w:pPr>
              <w:pStyle w:val="TableContents"/>
              <w:bidi w:val="0"/>
              <w:spacing w:before="0" w:after="283"/>
              <w:jc w:val="left"/>
              <w:rPr/>
            </w:pPr>
            <w:r>
              <w:rPr/>
              <w:t>Proceeds from issuance of shares to Yorkville under the SEPA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697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6,687</w:t>
            </w:r>
          </w:p>
        </w:tc>
        <w:tc>
          <w:tcPr>
            <w:tcW w:w="112" w:type="dxa"/>
            <w:tcBorders/>
            <w:shd w:fill="FFFFFF" w:val="clear"/>
            <w:vAlign w:val="center"/>
          </w:tcPr>
          <w:p>
            <w:pPr>
              <w:pStyle w:val="TableContents"/>
              <w:bidi w:val="0"/>
              <w:spacing w:before="0" w:after="283"/>
              <w:jc w:val="left"/>
              <w:rPr/>
            </w:pPr>
            <w:r>
              <w:rPr/>
              <w:t> </w:t>
            </w:r>
            <w:bookmarkStart w:id="320" w:name="xdx_40A_ecustom--ProceedsFromIssuanceOfS"/>
            <w:bookmarkEnd w:id="320"/>
          </w:p>
        </w:tc>
      </w:tr>
      <w:tr>
        <w:trPr/>
        <w:tc>
          <w:tcPr>
            <w:tcW w:w="6598" w:type="dxa"/>
            <w:tcBorders/>
            <w:shd w:fill="CCEEFF" w:val="clear"/>
            <w:vAlign w:val="center"/>
          </w:tcPr>
          <w:p>
            <w:pPr>
              <w:pStyle w:val="TableContents"/>
              <w:bidi w:val="0"/>
              <w:spacing w:before="0" w:after="283"/>
              <w:jc w:val="left"/>
              <w:rPr/>
            </w:pPr>
            <w:r>
              <w:rPr/>
              <w:t>Proceeds from shares issued to Verista</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50</w:t>
            </w:r>
          </w:p>
        </w:tc>
        <w:tc>
          <w:tcPr>
            <w:tcW w:w="112" w:type="dxa"/>
            <w:tcBorders/>
            <w:shd w:fill="CCEEFF" w:val="clear"/>
            <w:vAlign w:val="center"/>
          </w:tcPr>
          <w:p>
            <w:pPr>
              <w:pStyle w:val="TableContents"/>
              <w:bidi w:val="0"/>
              <w:spacing w:before="0" w:after="283"/>
              <w:jc w:val="left"/>
              <w:rPr/>
            </w:pPr>
            <w:r>
              <w:rPr/>
              <w:t> </w:t>
            </w:r>
            <w:bookmarkStart w:id="321" w:name="xdx_402_ecustom--ProceedsFromIssuanceOfC"/>
            <w:bookmarkEnd w:id="321"/>
          </w:p>
        </w:tc>
      </w:tr>
      <w:tr>
        <w:trPr/>
        <w:tc>
          <w:tcPr>
            <w:tcW w:w="6598" w:type="dxa"/>
            <w:tcBorders/>
            <w:shd w:fill="FFFFFF" w:val="clear"/>
            <w:vAlign w:val="center"/>
          </w:tcPr>
          <w:p>
            <w:pPr>
              <w:pStyle w:val="TableContents"/>
              <w:bidi w:val="0"/>
              <w:spacing w:before="0" w:after="283"/>
              <w:jc w:val="left"/>
              <w:rPr/>
            </w:pPr>
            <w:r>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2,726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22" w:name="xdx_406_eus-gaap--NetCashProvidedByUsedI"/>
            <w:bookmarkEnd w:id="322"/>
          </w:p>
        </w:tc>
      </w:tr>
      <w:tr>
        <w:trPr/>
        <w:tc>
          <w:tcPr>
            <w:tcW w:w="6598"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5,347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7,347</w:t>
            </w:r>
          </w:p>
        </w:tc>
        <w:tc>
          <w:tcPr>
            <w:tcW w:w="112" w:type="dxa"/>
            <w:tcBorders/>
            <w:shd w:fill="CCEEFF" w:val="clear"/>
            <w:vAlign w:val="center"/>
          </w:tcPr>
          <w:p>
            <w:pPr>
              <w:pStyle w:val="TableContents"/>
              <w:bidi w:val="0"/>
              <w:spacing w:before="0" w:after="283"/>
              <w:jc w:val="left"/>
              <w:rPr/>
            </w:pPr>
            <w:r>
              <w:rPr/>
              <w:t> </w:t>
            </w:r>
            <w:bookmarkStart w:id="323" w:name="xdx_40E_eus-gaap--EffectOfExchangeRateOn"/>
            <w:bookmarkEnd w:id="323"/>
          </w:p>
        </w:tc>
      </w:tr>
      <w:tr>
        <w:trPr/>
        <w:tc>
          <w:tcPr>
            <w:tcW w:w="6598"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24" w:name="xdx_400_eus-gaap--CashCashEquivalentsRes"/>
            <w:bookmarkEnd w:id="324"/>
          </w:p>
        </w:tc>
      </w:tr>
      <w:tr>
        <w:trPr/>
        <w:tc>
          <w:tcPr>
            <w:tcW w:w="6598"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(122</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(304</w:t>
            </w:r>
          </w:p>
        </w:tc>
        <w:tc>
          <w:tcPr>
            <w:tcW w:w="112" w:type="dxa"/>
            <w:tcBorders/>
            <w:shd w:fill="CCEEFF" w:val="clear"/>
            <w:vAlign w:val="center"/>
          </w:tcPr>
          <w:p>
            <w:pPr>
              <w:pStyle w:val="TableContents"/>
              <w:bidi w:val="0"/>
              <w:spacing w:before="0" w:after="283"/>
              <w:jc w:val="left"/>
              <w:rPr/>
            </w:pPr>
            <w:r>
              <w:rPr/>
              <w:t>)</w:t>
            </w:r>
            <w:bookmarkStart w:id="325" w:name="xdx_404_eus-gaap--CashCashEquivalentsRes"/>
            <w:bookmarkEnd w:id="325"/>
          </w:p>
        </w:tc>
      </w:tr>
      <w:tr>
        <w:trPr/>
        <w:tc>
          <w:tcPr>
            <w:tcW w:w="6598"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1,087</w:t>
            </w:r>
          </w:p>
        </w:tc>
        <w:tc>
          <w:tcPr>
            <w:tcW w:w="112" w:type="dxa"/>
            <w:tcBorders/>
            <w:shd w:fill="FFFFFF" w:val="clear"/>
            <w:vAlign w:val="center"/>
          </w:tcPr>
          <w:p>
            <w:pPr>
              <w:pStyle w:val="TableContents"/>
              <w:bidi w:val="0"/>
              <w:spacing w:before="0" w:after="283"/>
              <w:jc w:val="left"/>
              <w:rPr/>
            </w:pPr>
            <w:r>
              <w:rPr/>
              <w:t> </w:t>
            </w:r>
            <w:bookmarkStart w:id="326" w:name="xdx_407_eus-gaap--CashCashEquivalentsRes"/>
            <w:bookmarkEnd w:id="326"/>
          </w:p>
        </w:tc>
      </w:tr>
      <w:tr>
        <w:trPr/>
        <w:tc>
          <w:tcPr>
            <w:tcW w:w="6598"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137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783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7" w:name="xdx_40C_eus-gaap--SupplementalCashFlowIn"/>
      <w:bookmarkStart w:id="328" w:name="xdx_40C_eus-gaap--SupplementalCashFlowIn"/>
      <w:bookmarkEnd w:id="328"/>
    </w:p>
    <w:tbl>
      <w:tblPr>
        <w:tblW w:w="8205" w:type="dxa"/>
        <w:jc w:val="left"/>
        <w:tblInd w:w="0" w:type="dxa"/>
        <w:tblLayout w:type="fixed"/>
        <w:tblCellMar>
          <w:top w:w="0" w:type="dxa"/>
          <w:left w:w="0" w:type="dxa"/>
          <w:bottom w:w="0" w:type="dxa"/>
          <w:right w:w="0" w:type="dxa"/>
        </w:tblCellMar>
      </w:tblPr>
      <w:tblGrid>
        <w:gridCol w:w="6710"/>
        <w:gridCol w:w="60"/>
        <w:gridCol w:w="60"/>
        <w:gridCol w:w="560"/>
        <w:gridCol w:w="60"/>
        <w:gridCol w:w="60"/>
        <w:gridCol w:w="60"/>
        <w:gridCol w:w="560"/>
        <w:gridCol w:w="75"/>
      </w:tblGrid>
      <w:tr>
        <w:trPr/>
        <w:tc>
          <w:tcPr>
            <w:tcW w:w="671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29" w:name="xdx_40B_eus-gaap--InterestPaidNet_i01_zU"/>
            <w:bookmarkEnd w:id="329"/>
          </w:p>
        </w:tc>
      </w:tr>
      <w:tr>
        <w:trPr/>
        <w:tc>
          <w:tcPr>
            <w:tcW w:w="671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30" w:name="xdx_40F_eus-gaap--IncomeTaxesPaidNet_i01"/>
            <w:bookmarkEnd w:id="330"/>
          </w:p>
        </w:tc>
      </w:tr>
      <w:tr>
        <w:trPr/>
        <w:tc>
          <w:tcPr>
            <w:tcW w:w="6710"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31" w:name="xdx_40C_eus-gaap--NoncashInvestingAndFin"/>
            <w:bookmarkEnd w:id="331"/>
          </w:p>
        </w:tc>
      </w:tr>
      <w:tr>
        <w:trPr/>
        <w:tc>
          <w:tcPr>
            <w:tcW w:w="6710" w:type="dxa"/>
            <w:tcBorders/>
            <w:shd w:fill="CCEEFF" w:val="clear"/>
            <w:vAlign w:val="center"/>
          </w:tcPr>
          <w:p>
            <w:pPr>
              <w:pStyle w:val="TableContents"/>
              <w:bidi w:val="0"/>
              <w:spacing w:before="0" w:after="283"/>
              <w:jc w:val="left"/>
              <w:rPr>
                <w:i/>
              </w:rPr>
            </w:pPr>
            <w:r>
              <w:rPr>
                <w:i/>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32" w:name="xdx_403_ecustom--SharesIssuedForHudsonCo"/>
            <w:bookmarkEnd w:id="332"/>
          </w:p>
        </w:tc>
      </w:tr>
      <w:tr>
        <w:trPr/>
        <w:tc>
          <w:tcPr>
            <w:tcW w:w="6710" w:type="dxa"/>
            <w:tcBorders/>
            <w:shd w:fill="FFFFFF" w:val="clear"/>
            <w:vAlign w:val="center"/>
          </w:tcPr>
          <w:p>
            <w:pPr>
              <w:pStyle w:val="TableContents"/>
              <w:bidi w:val="0"/>
              <w:spacing w:before="0" w:after="283"/>
              <w:jc w:val="left"/>
              <w:rPr/>
            </w:pPr>
            <w:r>
              <w:rPr/>
              <w:t>Shares issued for Hudson consulting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233</w:t>
            </w:r>
          </w:p>
        </w:tc>
        <w:tc>
          <w:tcPr>
            <w:tcW w:w="75" w:type="dxa"/>
            <w:tcBorders/>
            <w:shd w:fill="FFFFFF" w:val="clear"/>
            <w:vAlign w:val="center"/>
          </w:tcPr>
          <w:p>
            <w:pPr>
              <w:pStyle w:val="TableContents"/>
              <w:bidi w:val="0"/>
              <w:spacing w:before="0" w:after="283"/>
              <w:jc w:val="left"/>
              <w:rPr/>
            </w:pPr>
            <w:r>
              <w:rPr/>
              <w:t> </w:t>
            </w:r>
            <w:bookmarkStart w:id="333" w:name="xdx_400_ecustom--ConsiderationTransferre"/>
            <w:bookmarkEnd w:id="333"/>
          </w:p>
        </w:tc>
      </w:tr>
      <w:tr>
        <w:trPr/>
        <w:tc>
          <w:tcPr>
            <w:tcW w:w="6710" w:type="dxa"/>
            <w:tcBorders/>
            <w:shd w:fill="CCEEFF" w:val="clear"/>
            <w:vAlign w:val="center"/>
          </w:tcPr>
          <w:p>
            <w:pPr>
              <w:pStyle w:val="TableContents"/>
              <w:bidi w:val="0"/>
              <w:spacing w:before="0" w:after="283"/>
              <w:jc w:val="left"/>
              <w:rPr/>
            </w:pPr>
            <w:r>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1,662</w:t>
            </w:r>
          </w:p>
        </w:tc>
        <w:tc>
          <w:tcPr>
            <w:tcW w:w="75" w:type="dxa"/>
            <w:tcBorders/>
            <w:shd w:fill="CCEEFF" w:val="clear"/>
            <w:vAlign w:val="center"/>
          </w:tcPr>
          <w:p>
            <w:pPr>
              <w:pStyle w:val="TableContents"/>
              <w:bidi w:val="0"/>
              <w:spacing w:before="0" w:after="283"/>
              <w:jc w:val="left"/>
              <w:rPr/>
            </w:pPr>
            <w:r>
              <w:rPr/>
              <w:t> </w:t>
            </w:r>
            <w:bookmarkStart w:id="334" w:name="xdx_406_ecustom--AssetsAcquiredInAcquisi"/>
            <w:bookmarkEnd w:id="334"/>
          </w:p>
        </w:tc>
      </w:tr>
      <w:tr>
        <w:trPr/>
        <w:tc>
          <w:tcPr>
            <w:tcW w:w="6710" w:type="dxa"/>
            <w:tcBorders/>
            <w:shd w:fill="FFFFFF" w:val="clear"/>
            <w:vAlign w:val="center"/>
          </w:tcPr>
          <w:p>
            <w:pPr>
              <w:pStyle w:val="TableContents"/>
              <w:bidi w:val="0"/>
              <w:spacing w:before="0" w:after="283"/>
              <w:jc w:val="left"/>
              <w:rPr/>
            </w:pPr>
            <w:r>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8,393</w:t>
            </w:r>
          </w:p>
        </w:tc>
        <w:tc>
          <w:tcPr>
            <w:tcW w:w="75" w:type="dxa"/>
            <w:tcBorders/>
            <w:shd w:fill="FFFFFF" w:val="clear"/>
            <w:vAlign w:val="center"/>
          </w:tcPr>
          <w:p>
            <w:pPr>
              <w:pStyle w:val="TableContents"/>
              <w:bidi w:val="0"/>
              <w:spacing w:before="0" w:after="283"/>
              <w:jc w:val="left"/>
              <w:rPr/>
            </w:pPr>
            <w:r>
              <w:rPr/>
              <w:t> </w:t>
            </w:r>
            <w:bookmarkStart w:id="335" w:name="xdx_409_ecustom--LiabilitiesAssumedInAcq"/>
            <w:bookmarkEnd w:id="335"/>
          </w:p>
        </w:tc>
      </w:tr>
      <w:tr>
        <w:trPr/>
        <w:tc>
          <w:tcPr>
            <w:tcW w:w="6710" w:type="dxa"/>
            <w:tcBorders/>
            <w:shd w:fill="CCEEFF" w:val="clear"/>
            <w:vAlign w:val="center"/>
          </w:tcPr>
          <w:p>
            <w:pPr>
              <w:pStyle w:val="TableContents"/>
              <w:bidi w:val="0"/>
              <w:spacing w:before="0" w:after="283"/>
              <w:jc w:val="left"/>
              <w:rPr/>
            </w:pPr>
            <w:r>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3,986</w:t>
            </w:r>
          </w:p>
        </w:tc>
        <w:tc>
          <w:tcPr>
            <w:tcW w:w="75" w:type="dxa"/>
            <w:tcBorders/>
            <w:shd w:fill="CCEEFF" w:val="clear"/>
            <w:vAlign w:val="center"/>
          </w:tcPr>
          <w:p>
            <w:pPr>
              <w:pStyle w:val="TableContents"/>
              <w:bidi w:val="0"/>
              <w:spacing w:before="0" w:after="283"/>
              <w:jc w:val="left"/>
              <w:rPr/>
            </w:pPr>
            <w:r>
              <w:rPr/>
              <w:t> </w:t>
            </w:r>
            <w:bookmarkStart w:id="336" w:name="xdx_400_eus-gaap--DebtConversionConverte"/>
            <w:bookmarkEnd w:id="336"/>
          </w:p>
        </w:tc>
      </w:tr>
      <w:tr>
        <w:trPr/>
        <w:tc>
          <w:tcPr>
            <w:tcW w:w="6710" w:type="dxa"/>
            <w:tcBorders/>
            <w:shd w:fill="FFFFFF" w:val="clear"/>
            <w:vAlign w:val="center"/>
          </w:tcPr>
          <w:p>
            <w:pPr>
              <w:pStyle w:val="TableContents"/>
              <w:bidi w:val="0"/>
              <w:spacing w:before="0" w:after="283"/>
              <w:jc w:val="left"/>
              <w:rPr/>
            </w:pPr>
            <w:r>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37" w:name="xdx_40A_ecustom--SharesIssuedForPaymentO"/>
            <w:bookmarkEnd w:id="337"/>
          </w:p>
        </w:tc>
      </w:tr>
      <w:tr>
        <w:trPr/>
        <w:tc>
          <w:tcPr>
            <w:tcW w:w="6710" w:type="dxa"/>
            <w:tcBorders/>
            <w:shd w:fill="CCEEFF" w:val="clear"/>
            <w:vAlign w:val="center"/>
          </w:tcPr>
          <w:p>
            <w:pPr>
              <w:pStyle w:val="TableContents"/>
              <w:bidi w:val="0"/>
              <w:spacing w:before="0" w:after="283"/>
              <w:jc w:val="left"/>
              <w:rPr/>
            </w:pPr>
            <w:r>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38" w:name="xdx_40C_ecustom--SharesIssuedFor1800Diag"/>
            <w:bookmarkEnd w:id="338"/>
          </w:p>
        </w:tc>
      </w:tr>
      <w:tr>
        <w:trPr/>
        <w:tc>
          <w:tcPr>
            <w:tcW w:w="6710" w:type="dxa"/>
            <w:tcBorders/>
            <w:shd w:fill="FFFFFF" w:val="clear"/>
            <w:vAlign w:val="center"/>
          </w:tcPr>
          <w:p>
            <w:pPr>
              <w:pStyle w:val="TableContents"/>
              <w:bidi w:val="0"/>
              <w:spacing w:before="0" w:after="283"/>
              <w:jc w:val="left"/>
              <w:rPr/>
            </w:pPr>
            <w:r>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339" w:name="xdx_040_c20260101__20260331_zZcEiTLwgsT9"/>
      <w:bookmarkEnd w:id="33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0" w:name="TM_005"/>
      <w:bookmarkEnd w:id="340"/>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1" w:name="xdx_80C_eus-gaap--OrganizationConsolidat"/>
      <w:bookmarkEnd w:id="341"/>
      <w:r>
        <w:rPr>
          <w:rFonts w:ascii="Times New Roman;Times;Serif" w:hAnsi="Times New Roman;Times;Serif"/>
          <w:b/>
          <w:i w:val="false"/>
          <w:caps w:val="false"/>
          <w:smallCaps w:val="false"/>
          <w:sz w:val="20"/>
        </w:rPr>
        <w:t xml:space="preserve">1. </w:t>
      </w:r>
      <w:bookmarkStart w:id="342" w:name="xdx_82B_zygWSOY6F2fc"/>
      <w:bookmarkEnd w:id="342"/>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(the “Company” or “Banzai”) was incorporated in Delaware on </w:t>
      </w:r>
      <w:bookmarkStart w:id="343" w:name="xdx_906_edei--EntityIncorporationDateOfI"/>
      <w:bookmarkEnd w:id="343"/>
      <w:r>
        <w:rPr>
          <w:rFonts w:ascii="Times New Roman;Times;Serif" w:hAnsi="Times New Roman;Times;Serif"/>
          <w:b w:val="false"/>
          <w:i w:val="false"/>
          <w:caps w:val="false"/>
          <w:smallCaps w:val="false"/>
          <w:sz w:val="20"/>
        </w:rPr>
        <w:t>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4" w:name="xdx_80A_eus-gaap--SubstantialDoubtAboutG"/>
      <w:bookmarkEnd w:id="344"/>
      <w:r>
        <w:rPr>
          <w:rFonts w:ascii="Times New Roman;Times;Serif" w:hAnsi="Times New Roman;Times;Serif"/>
          <w:b/>
          <w:i w:val="false"/>
          <w:caps w:val="false"/>
          <w:smallCaps w:val="false"/>
          <w:sz w:val="20"/>
        </w:rPr>
        <w:t xml:space="preserve">2. </w:t>
      </w:r>
      <w:bookmarkStart w:id="345" w:name="xdx_82E_zG1oOJoaPWfi"/>
      <w:bookmarkEnd w:id="345"/>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of approximately $</w:t>
      </w:r>
      <w:bookmarkStart w:id="346" w:name="xdx_90D_eus-gaap--Cash_iI_pn5n6_c2026033"/>
      <w:bookmarkEnd w:id="346"/>
      <w:r>
        <w:rPr>
          <w:rFonts w:ascii="Times New Roman;Times;Serif" w:hAnsi="Times New Roman;Times;Serif"/>
          <w:b w:val="false"/>
          <w:i w:val="false"/>
          <w:caps w:val="false"/>
          <w:smallCaps w:val="false"/>
          <w:sz w:val="20"/>
        </w:rPr>
        <w:t>0.1 million. For the three months ended March 31, 2026, the Company used approximately $</w:t>
      </w:r>
      <w:bookmarkStart w:id="347" w:name="xdx_90F_eus-gaap--NetCashProvidedByUsedI"/>
      <w:bookmarkEnd w:id="347"/>
      <w:r>
        <w:rPr>
          <w:rFonts w:ascii="Times New Roman;Times;Serif" w:hAnsi="Times New Roman;Times;Serif"/>
          <w:b w:val="false"/>
          <w:i w:val="false"/>
          <w:caps w:val="false"/>
          <w:smallCaps w:val="false"/>
          <w:sz w:val="20"/>
        </w:rPr>
        <w:t>5.5 million in cash for operating activities. The Company has incurred recurring net losses from operations and negative cash flows from operating activities since inception. As of March 31, 2026, the Company had an accumulated deficit of approximately $</w:t>
      </w:r>
      <w:bookmarkStart w:id="348" w:name="xdx_90A_eus-gaap--RetainedEarningsAccumu"/>
      <w:bookmarkEnd w:id="348"/>
      <w:r>
        <w:rPr>
          <w:rFonts w:ascii="Times New Roman;Times;Serif" w:hAnsi="Times New Roman;Times;Serif"/>
          <w:b w:val="false"/>
          <w:i w:val="false"/>
          <w:caps w:val="false"/>
          <w:smallCaps w:val="false"/>
          <w:sz w:val="20"/>
        </w:rPr>
        <w:t>109.2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9" w:name="xdx_801_eus-gaap--SignificantAccountingP"/>
      <w:bookmarkEnd w:id="349"/>
      <w:r>
        <w:rPr>
          <w:rFonts w:ascii="Times New Roman;Times;Serif" w:hAnsi="Times New Roman;Times;Serif"/>
          <w:b/>
          <w:i w:val="false"/>
          <w:caps w:val="false"/>
          <w:smallCaps w:val="false"/>
          <w:sz w:val="20"/>
        </w:rPr>
        <w:t xml:space="preserve">3. </w:t>
      </w:r>
      <w:bookmarkStart w:id="350" w:name="xdx_828_zi2K0BHsHZb7"/>
      <w:bookmarkEnd w:id="35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1" w:name="xdx_84A_eus-gaap--BasisOfPresentationAnd"/>
      <w:bookmarkEnd w:id="351"/>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2" w:name="xdx_844_eus-gaap--CreditLossFinancialIns"/>
      <w:bookmarkEnd w:id="352"/>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3" w:name="xdx_898_eus-gaap--AccountsReceivableAllo"/>
      <w:bookmarkEnd w:id="353"/>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354" w:name="xdx_8BD_zY9ByqBqV8D"/>
      <w:bookmarkEnd w:id="354"/>
      <w:r>
        <w:rPr>
          <w:rFonts w:ascii="Times New Roman;Times;Serif" w:hAnsi="Times New Roman;Times;Serif"/>
          <w:b w:val="false"/>
          <w:i w:val="false"/>
          <w:caps w:val="false"/>
          <w:smallCaps w:val="false"/>
          <w:sz w:val="20"/>
        </w:rPr>
        <w:t>Summary of Changes in Allowance for Credit Losses</w:t>
      </w:r>
    </w:p>
    <w:tbl>
      <w:tblPr>
        <w:tblW w:w="4130" w:type="dxa"/>
        <w:jc w:val="left"/>
        <w:tblInd w:w="0" w:type="dxa"/>
        <w:tblLayout w:type="fixed"/>
        <w:tblCellMar>
          <w:top w:w="0" w:type="dxa"/>
          <w:left w:w="0" w:type="dxa"/>
          <w:bottom w:w="0" w:type="dxa"/>
          <w:right w:w="0" w:type="dxa"/>
        </w:tblCellMar>
      </w:tblPr>
      <w:tblGrid>
        <w:gridCol w:w="3485"/>
        <w:gridCol w:w="60"/>
        <w:gridCol w:w="140"/>
        <w:gridCol w:w="335"/>
        <w:gridCol w:w="110"/>
      </w:tblGrid>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55" w:name="xdx_495_20260101__20260331_zjvQ3CiJTnG6"/>
            <w:bookmarkEnd w:id="355"/>
          </w:p>
        </w:tc>
        <w:tc>
          <w:tcPr>
            <w:tcW w:w="3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6" w:name="xdx_404_eus-gaap--AllowanceForDoubtfulAc"/>
            <w:bookmarkEnd w:id="356"/>
          </w:p>
        </w:tc>
      </w:tr>
      <w:tr>
        <w:trPr/>
        <w:tc>
          <w:tcPr>
            <w:tcW w:w="348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bookmarkStart w:id="357" w:name="xdx_406_eus-gaap--AllowanceForDoubtfulAc"/>
            <w:bookmarkEnd w:id="357"/>
          </w:p>
        </w:tc>
      </w:tr>
      <w:tr>
        <w:trPr/>
        <w:tc>
          <w:tcPr>
            <w:tcW w:w="3485" w:type="dxa"/>
            <w:tcBorders/>
            <w:shd w:fill="FFFFFF" w:val="clear"/>
            <w:vAlign w:val="center"/>
          </w:tcPr>
          <w:p>
            <w:pPr>
              <w:pStyle w:val="TableContents"/>
              <w:bidi w:val="0"/>
              <w:spacing w:before="0" w:after="283"/>
              <w:jc w:val="left"/>
              <w:rPr/>
            </w:pPr>
            <w:r>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bookmarkStart w:id="358" w:name="xdx_40C_eus-gaap--AllowanceForDoubtfulAc"/>
            <w:bookmarkEnd w:id="358"/>
          </w:p>
        </w:tc>
      </w:tr>
      <w:tr>
        <w:trPr/>
        <w:tc>
          <w:tcPr>
            <w:tcW w:w="3485"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9" w:name="xdx_8A7_zZ9a176bA7A7"/>
      <w:bookmarkEnd w:id="35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0" w:name="xdx_84A_ecustom--WarrantLiabilitiesPolic"/>
      <w:bookmarkEnd w:id="360"/>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1" w:name="xdx_84E_eus-gaap--EarningsPerSharePolicy"/>
      <w:bookmarkEnd w:id="361"/>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90_eus-gaap--ScheduleOfEarningsPerS"/>
      <w:bookmarkEnd w:id="362"/>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bookmarkStart w:id="363" w:name="xdx_8B0_zyGQnJXAgBe1"/>
      <w:bookmarkEnd w:id="363"/>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245"/>
        <w:gridCol w:w="60"/>
        <w:gridCol w:w="311"/>
        <w:gridCol w:w="1411"/>
        <w:gridCol w:w="211"/>
        <w:gridCol w:w="133"/>
        <w:gridCol w:w="311"/>
        <w:gridCol w:w="1411"/>
        <w:gridCol w:w="112"/>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364" w:name="xdx_409_ecustom--NumeratorAbstract_iB_zJ"/>
            <w:bookmarkEnd w:id="364"/>
          </w:p>
        </w:tc>
      </w:tr>
      <w:tr>
        <w:trPr/>
        <w:tc>
          <w:tcPr>
            <w:tcW w:w="624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65" w:name="xdx_902_eus-gaap--NetIncomeLossAvailable"/>
            <w:bookmarkStart w:id="366" w:name="xdx_903_eus-gaap--NetIncomeLossAvailable"/>
            <w:bookmarkEnd w:id="365"/>
            <w:bookmarkEnd w:id="366"/>
            <w:r>
              <w:rPr/>
              <w:t>(8,417</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67" w:name="xdx_90D_eus-gaap--NetIncomeLossAvailable"/>
            <w:bookmarkStart w:id="368" w:name="xdx_90B_eus-gaap--NetIncomeLossAvailable"/>
            <w:bookmarkEnd w:id="367"/>
            <w:bookmarkEnd w:id="368"/>
            <w:r>
              <w:rPr/>
              <w:t>(3,644</w:t>
            </w:r>
          </w:p>
        </w:tc>
        <w:tc>
          <w:tcPr>
            <w:tcW w:w="112" w:type="dxa"/>
            <w:tcBorders/>
            <w:shd w:fill="FFFFFF" w:val="clear"/>
            <w:vAlign w:val="center"/>
          </w:tcPr>
          <w:p>
            <w:pPr>
              <w:pStyle w:val="TableContents"/>
              <w:bidi w:val="0"/>
              <w:spacing w:before="0" w:after="283"/>
              <w:jc w:val="left"/>
              <w:rPr/>
            </w:pPr>
            <w:r>
              <w:rPr/>
              <w:t>)</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69" w:name="xdx_40A_ecustom--DenominatorAbstract_iB_"/>
            <w:bookmarkEnd w:id="369"/>
          </w:p>
        </w:tc>
      </w:tr>
      <w:tr>
        <w:trPr/>
        <w:tc>
          <w:tcPr>
            <w:tcW w:w="624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pPr>
            <w:r>
              <w:rPr/>
              <w:t>Weighted average shares—basic and diluted (in thousands)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bookmarkStart w:id="370" w:name="xdx_909_eus-gaap--WeightedAverageNumberO"/>
            <w:bookmarkStart w:id="371" w:name="xdx_90E_eus-gaap--WeightedAverageNumberO"/>
            <w:bookmarkEnd w:id="370"/>
            <w:bookmarkEnd w:id="371"/>
            <w:r>
              <w:rPr/>
              <w:t>720</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bookmarkStart w:id="372" w:name="xdx_908_eus-gaap--WeightedAverageNumberO"/>
            <w:bookmarkStart w:id="373" w:name="xdx_90C_eus-gaap--WeightedAverageNumberO"/>
            <w:bookmarkEnd w:id="372"/>
            <w:bookmarkEnd w:id="373"/>
            <w:r>
              <w:rPr/>
              <w:t>120</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74" w:name="xdx_907_eus-gaap--EarningsPerShareDilute"/>
            <w:bookmarkStart w:id="375" w:name="xdx_90B_eus-gaap--EarningsPerShareBasic_"/>
            <w:bookmarkEnd w:id="374"/>
            <w:bookmarkEnd w:id="375"/>
            <w:r>
              <w:rPr/>
              <w:t>(11.69</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bookmarkStart w:id="376" w:name="xdx_90C_eus-gaap--EarningsPerShareDilute"/>
            <w:bookmarkStart w:id="377" w:name="xdx_906_eus-gaap--EarningsPerShareBasic_"/>
            <w:bookmarkEnd w:id="376"/>
            <w:bookmarkEnd w:id="377"/>
            <w:r>
              <w:rPr/>
              <w:t>(30.37</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78" w:name="xdx_8AB_zqJnBZqGavb1"/>
      <w:bookmarkEnd w:id="3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9" w:name="xdx_89B_eus-gaap--ScheduleOfAntidilutive"/>
      <w:bookmarkEnd w:id="379"/>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bookmarkStart w:id="380" w:name="xdx_8BD_zGs40NkAAWJ2"/>
      <w:bookmarkEnd w:id="380"/>
      <w:r>
        <w:rPr>
          <w:rFonts w:ascii="Times New Roman;Times;Serif" w:hAnsi="Times New Roman;Times;Serif"/>
          <w:b w:val="false"/>
          <w:i w:val="false"/>
          <w:caps w:val="false"/>
          <w:smallCaps w:val="false"/>
          <w:sz w:val="20"/>
        </w:rPr>
        <w:t>Schedule of Antidilutive Securities Excluded from Computation of Earnings Per Share</w:t>
      </w:r>
    </w:p>
    <w:tbl>
      <w:tblPr>
        <w:tblW w:w="4860" w:type="dxa"/>
        <w:jc w:val="left"/>
        <w:tblInd w:w="0" w:type="dxa"/>
        <w:tblLayout w:type="fixed"/>
        <w:tblCellMar>
          <w:top w:w="0" w:type="dxa"/>
          <w:left w:w="0" w:type="dxa"/>
          <w:bottom w:w="0" w:type="dxa"/>
          <w:right w:w="0" w:type="dxa"/>
        </w:tblCellMar>
      </w:tblPr>
      <w:tblGrid>
        <w:gridCol w:w="3005"/>
        <w:gridCol w:w="60"/>
        <w:gridCol w:w="60"/>
        <w:gridCol w:w="800"/>
        <w:gridCol w:w="60"/>
        <w:gridCol w:w="60"/>
        <w:gridCol w:w="60"/>
        <w:gridCol w:w="680"/>
        <w:gridCol w:w="75"/>
      </w:tblGrid>
      <w:tr>
        <w:trPr/>
        <w:tc>
          <w:tcPr>
            <w:tcW w:w="3005" w:type="dxa"/>
            <w:tcBorders/>
            <w:vAlign w:val="center"/>
          </w:tcPr>
          <w:p>
            <w:pPr>
              <w:pStyle w:val="TableContents"/>
              <w:bidi w:val="0"/>
              <w:spacing w:before="0" w:after="283"/>
              <w:jc w:val="center"/>
              <w:rPr>
                <w:bCs/>
              </w:rPr>
            </w:pPr>
            <w:r>
              <w:rPr>
                <w:bCs/>
              </w:rPr>
              <w:t>﻿</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1" w:name="xdx_98E_eus-gaap--AntidilutiveSecurities"/>
            <w:bookmarkEnd w:id="381"/>
          </w:p>
        </w:tc>
        <w:tc>
          <w:tcPr>
            <w:tcW w:w="80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2" w:name="xdx_988_eus-gaap--AntidilutiveSecurities"/>
            <w:bookmarkEnd w:id="382"/>
          </w:p>
        </w:tc>
        <w:tc>
          <w:tcPr>
            <w:tcW w:w="680" w:type="dxa"/>
            <w:tcBorders/>
            <w:shd w:fill="CCEEFF" w:val="clear"/>
            <w:vAlign w:val="center"/>
          </w:tcPr>
          <w:p>
            <w:pPr>
              <w:pStyle w:val="TableContents"/>
              <w:bidi w:val="0"/>
              <w:spacing w:before="0" w:after="283"/>
              <w:jc w:val="right"/>
              <w:rPr/>
            </w:pPr>
            <w:r>
              <w:rPr/>
              <w:t>128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3" w:name="xdx_989_eus-gaap--AntidilutiveSecurities"/>
            <w:bookmarkEnd w:id="383"/>
          </w:p>
        </w:tc>
        <w:tc>
          <w:tcPr>
            <w:tcW w:w="800" w:type="dxa"/>
            <w:tcBorders/>
            <w:shd w:fill="FFFFFF" w:val="clear"/>
            <w:vAlign w:val="center"/>
          </w:tcPr>
          <w:p>
            <w:pPr>
              <w:pStyle w:val="TableContents"/>
              <w:bidi w:val="0"/>
              <w:spacing w:before="0" w:after="283"/>
              <w:jc w:val="right"/>
              <w:rPr/>
            </w:pPr>
            <w:r>
              <w:rPr/>
              <w:t>26,708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4" w:name="xdx_986_eus-gaap--AntidilutiveSecurities"/>
            <w:bookmarkEnd w:id="384"/>
          </w:p>
        </w:tc>
        <w:tc>
          <w:tcPr>
            <w:tcW w:w="680" w:type="dxa"/>
            <w:tcBorders/>
            <w:shd w:fill="FFFFFF" w:val="clear"/>
            <w:vAlign w:val="center"/>
          </w:tcPr>
          <w:p>
            <w:pPr>
              <w:pStyle w:val="TableContents"/>
              <w:bidi w:val="0"/>
              <w:spacing w:before="0" w:after="283"/>
              <w:jc w:val="right"/>
              <w:rPr/>
            </w:pPr>
            <w:r>
              <w:rPr/>
              <w:t>13,039</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Public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5" w:name="xdx_988_eus-gaap--AntidilutiveSecurities"/>
            <w:bookmarkEnd w:id="385"/>
          </w:p>
        </w:tc>
        <w:tc>
          <w:tcPr>
            <w:tcW w:w="800" w:type="dxa"/>
            <w:tcBorders/>
            <w:shd w:fill="CCEEFF" w:val="clear"/>
            <w:vAlign w:val="center"/>
          </w:tcPr>
          <w:p>
            <w:pPr>
              <w:pStyle w:val="TableContents"/>
              <w:bidi w:val="0"/>
              <w:spacing w:before="0" w:after="283"/>
              <w:jc w:val="right"/>
              <w:rPr/>
            </w:pPr>
            <w:r>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6" w:name="xdx_989_eus-gaap--AntidilutiveSecurities"/>
            <w:bookmarkEnd w:id="386"/>
          </w:p>
        </w:tc>
        <w:tc>
          <w:tcPr>
            <w:tcW w:w="680" w:type="dxa"/>
            <w:tcBorders/>
            <w:shd w:fill="CCEEFF" w:val="cle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GEM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7" w:name="xdx_984_eus-gaap--AntidilutiveSecurities"/>
            <w:bookmarkEnd w:id="387"/>
          </w:p>
        </w:tc>
        <w:tc>
          <w:tcPr>
            <w:tcW w:w="800" w:type="dxa"/>
            <w:tcBorders/>
            <w:shd w:fill="FFFFFF" w:val="clear"/>
            <w:vAlign w:val="center"/>
          </w:tcPr>
          <w:p>
            <w:pPr>
              <w:pStyle w:val="TableContents"/>
              <w:bidi w:val="0"/>
              <w:spacing w:before="0" w:after="283"/>
              <w:jc w:val="right"/>
              <w:rPr/>
            </w:pPr>
            <w:r>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8" w:name="xdx_989_eus-gaap--AntidilutiveSecurities"/>
            <w:bookmarkEnd w:id="388"/>
          </w:p>
        </w:tc>
        <w:tc>
          <w:tcPr>
            <w:tcW w:w="680" w:type="dxa"/>
            <w:tcBorders/>
            <w:shd w:fill="FFFFFF" w:val="clear"/>
            <w:vAlign w:val="center"/>
          </w:tcPr>
          <w:p>
            <w:pPr>
              <w:pStyle w:val="TableContents"/>
              <w:bidi w:val="0"/>
              <w:spacing w:before="0" w:after="283"/>
              <w:jc w:val="right"/>
              <w:rPr/>
            </w:pPr>
            <w:r>
              <w:rPr/>
              <w:t>83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Common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89" w:name="xdx_98D_eus-gaap--AntidilutiveSecurities"/>
            <w:bookmarkEnd w:id="389"/>
          </w:p>
        </w:tc>
        <w:tc>
          <w:tcPr>
            <w:tcW w:w="800" w:type="dxa"/>
            <w:tcBorders/>
            <w:shd w:fill="CCEEFF" w:val="clear"/>
            <w:vAlign w:val="center"/>
          </w:tcPr>
          <w:p>
            <w:pPr>
              <w:pStyle w:val="TableContents"/>
              <w:bidi w:val="0"/>
              <w:spacing w:before="0" w:after="283"/>
              <w:jc w:val="right"/>
              <w:rPr/>
            </w:pPr>
            <w:r>
              <w:rPr/>
              <w:t>100,716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0" w:name="xdx_987_eus-gaap--AntidilutiveSecurities"/>
            <w:bookmarkEnd w:id="390"/>
          </w:p>
        </w:tc>
        <w:tc>
          <w:tcPr>
            <w:tcW w:w="680" w:type="dxa"/>
            <w:tcBorders/>
            <w:shd w:fill="CCEEFF" w:val="clear"/>
            <w:vAlign w:val="center"/>
          </w:tcPr>
          <w:p>
            <w:pPr>
              <w:pStyle w:val="TableContents"/>
              <w:bidi w:val="0"/>
              <w:spacing w:before="0" w:after="283"/>
              <w:jc w:val="right"/>
              <w:rPr/>
            </w:pPr>
            <w:r>
              <w:rPr/>
              <w:t>22,638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1" w:name="xdx_986_eus-gaap--AntidilutiveSecurities"/>
            <w:bookmarkEnd w:id="391"/>
          </w:p>
        </w:tc>
        <w:tc>
          <w:tcPr>
            <w:tcW w:w="800" w:type="dxa"/>
            <w:tcBorders/>
            <w:shd w:fill="FFFFFF" w:val="clear"/>
            <w:vAlign w:val="center"/>
          </w:tcPr>
          <w:p>
            <w:pPr>
              <w:pStyle w:val="TableContents"/>
              <w:bidi w:val="0"/>
              <w:spacing w:before="0" w:after="283"/>
              <w:jc w:val="right"/>
              <w:rPr/>
            </w:pPr>
            <w:r>
              <w:rPr/>
              <w:t>14,912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2" w:name="xdx_985_eus-gaap--AntidilutiveSecurities"/>
            <w:bookmarkEnd w:id="392"/>
          </w:p>
        </w:tc>
        <w:tc>
          <w:tcPr>
            <w:tcW w:w="680" w:type="dxa"/>
            <w:tcBorders/>
            <w:shd w:fill="FFFFFF" w:val="clear"/>
            <w:vAlign w:val="center"/>
          </w:tcPr>
          <w:p>
            <w:pPr>
              <w:pStyle w:val="TableContents"/>
              <w:bidi w:val="0"/>
              <w:spacing w:before="0" w:after="283"/>
              <w:jc w:val="right"/>
              <w:rPr/>
            </w:pPr>
            <w:r>
              <w:rPr/>
              <w:t>525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3" w:name="xdx_98A_eus-gaap--AntidilutiveSecurities"/>
            <w:bookmarkEnd w:id="393"/>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4" w:name="xdx_98C_eus-gaap--AntidilutiveSecurities"/>
            <w:bookmarkEnd w:id="394"/>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95" w:name="xdx_98E_eus-gaap--AntidilutiveSecurities"/>
            <w:bookmarkEnd w:id="395"/>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144,197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96" w:name="xdx_986_eus-gaap--AntidilutiveSecurities"/>
            <w:bookmarkEnd w:id="396"/>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37,563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7" w:name="xdx_8AD_zoZXUYtrREh5"/>
      <w:bookmarkEnd w:id="39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8" w:name="xdx_84A_eus-gaap--DerivativesPolicyTextB"/>
      <w:bookmarkEnd w:id="398"/>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9" w:name="xdx_849_eus-gaap--FairValueOfFinancialIn"/>
      <w:bookmarkEnd w:id="399"/>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0" w:name="xdx_848_ecustom--FairValueOptionElection"/>
      <w:bookmarkEnd w:id="400"/>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1" w:name="xdx_84D_eus-gaap--NewAccountingPronounce"/>
      <w:bookmarkEnd w:id="401"/>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w:t>
      </w:r>
      <w:r>
        <w:rPr>
          <w:rFonts w:ascii="Times New Roman;Times;Serif" w:hAnsi="Times New Roman;Times;Serif"/>
          <w:b w:val="false"/>
          <w:i w:val="false"/>
          <w:caps w:val="false"/>
          <w:smallCaps w:val="false"/>
          <w:sz w:val="20"/>
          <w:shd w:fill="FFFFFF" w:val="clear"/>
        </w:rPr>
        <w:t xml:space="preserve">issued </w:t>
      </w:r>
      <w:r>
        <w:rPr>
          <w:rFonts w:ascii="Times New Roman;Times;Serif" w:hAnsi="Times New Roman;Times;Serif"/>
          <w:b w:val="false"/>
          <w:i w:val="false"/>
          <w:caps w:val="false"/>
          <w:smallCaps w:val="false"/>
          <w:sz w:val="20"/>
        </w:rPr>
        <w:t>ASU 2025-05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shd w:fill="FFFFFF" w:val="clear"/>
        </w:rPr>
        <w:t xml:space="preserve"> which provides a practical expedient to measure credit losses on accounts receivable and contract assets. This guidance is effective for periods beginning after December 15, 2025 and will be adopted prospectively. Early adoption is permitted.</w:t>
      </w:r>
      <w:r>
        <w:rPr>
          <w:rFonts w:ascii="Times New Roman;Times;Serif" w:hAnsi="Times New Roman;Times;Serif"/>
          <w:b w:val="false"/>
          <w:i w:val="false"/>
          <w:caps w:val="false"/>
          <w:smallCaps w:val="false"/>
          <w:sz w:val="20"/>
        </w:rPr>
        <w:t xml:space="preserve"> The adoption of this guidance did not have a material impact on our condensed consolidated financial statements and related disclosures.</w:t>
      </w:r>
    </w:p>
    <w:p>
      <w:pPr>
        <w:pStyle w:val="TextBody"/>
        <w:bidi w:val="0"/>
        <w:spacing w:before="0" w:after="0"/>
        <w:ind w:left="0" w:right="0" w:hanging="0"/>
        <w:jc w:val="both"/>
        <w:rPr>
          <w:caps w:val="false"/>
          <w:smallCaps w:val="false"/>
        </w:rPr>
      </w:pPr>
      <w:bookmarkStart w:id="402" w:name="xdx_857_zNhAoRU6EVTh"/>
      <w:bookmarkEnd w:id="40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3" w:name="xdx_80A_eus-gaap--BusinessCombinationDis"/>
      <w:bookmarkEnd w:id="403"/>
      <w:r>
        <w:rPr>
          <w:rFonts w:ascii="Times New Roman;Times;Serif" w:hAnsi="Times New Roman;Times;Serif"/>
          <w:b/>
          <w:i w:val="false"/>
          <w:caps w:val="false"/>
          <w:smallCaps w:val="false"/>
          <w:sz w:val="20"/>
        </w:rPr>
        <w:t xml:space="preserve">4. </w:t>
      </w:r>
      <w:bookmarkStart w:id="404" w:name="xdx_823_zhb5gf3sEgBl"/>
      <w:bookmarkEnd w:id="404"/>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w:t>
      </w:r>
      <w:bookmarkStart w:id="405" w:name="xdx_90E_eus-gaap--PaymentsToAcquireBusin"/>
      <w:bookmarkEnd w:id="405"/>
      <w:r>
        <w:rPr>
          <w:rFonts w:ascii="Times New Roman;Times;Serif" w:hAnsi="Times New Roman;Times;Serif"/>
          <w:b w:val="false"/>
          <w:i w:val="false"/>
          <w:caps w:val="false"/>
          <w:smallCaps w:val="false"/>
          <w:sz w:val="20"/>
        </w:rPr>
        <w:t>2,745 in cash (the “Vidello Cash Consideration”), whereby $</w:t>
      </w:r>
      <w:bookmarkStart w:id="406" w:name="xdx_903_ecustom--BusinessAcquisitionAmou"/>
      <w:bookmarkEnd w:id="406"/>
      <w:r>
        <w:rPr>
          <w:rFonts w:ascii="Times New Roman;Times;Serif" w:hAnsi="Times New Roman;Times;Serif"/>
          <w:b w:val="false"/>
          <w:i w:val="false"/>
          <w:caps w:val="false"/>
          <w:smallCaps w:val="false"/>
          <w:sz w:val="20"/>
        </w:rPr>
        <w:t xml:space="preserve">2,500 are withheld for indemnification expenses and other holdback provisions in accordance with the Vidello Merger Agreement, and issued </w:t>
      </w:r>
      <w:bookmarkStart w:id="407" w:name="xdx_90D_eus-gaap--BusinessAcquisitionEqu"/>
      <w:bookmarkEnd w:id="407"/>
      <w:r>
        <w:rPr>
          <w:rFonts w:ascii="Times New Roman;Times;Serif" w:hAnsi="Times New Roman;Times;Serif"/>
          <w:b w:val="false"/>
          <w:i w:val="false"/>
          <w:caps w:val="false"/>
          <w:smallCaps w:val="false"/>
          <w:sz w:val="20"/>
        </w:rPr>
        <w:t>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w:t>
      </w:r>
      <w:bookmarkStart w:id="408" w:name="xdx_906_ecustom--BusinessAcquisitionAmou"/>
      <w:bookmarkEnd w:id="408"/>
      <w:r>
        <w:rPr>
          <w:rFonts w:ascii="Times New Roman;Times;Serif" w:hAnsi="Times New Roman;Times;Serif"/>
          <w:b w:val="false"/>
          <w:i w:val="false"/>
          <w:caps w:val="false"/>
          <w:smallCaps w:val="false"/>
          <w:sz w:val="20"/>
        </w:rPr>
        <w:t>1,000 as security for the obligations of Company Shareholders for a period of twelve months (the “Indemnification Holdback Amount”), (2) the withholding of $</w:t>
      </w:r>
      <w:bookmarkStart w:id="409" w:name="xdx_900_ecustom--BusinessAcquisitionAmou"/>
      <w:bookmarkEnd w:id="409"/>
      <w:r>
        <w:rPr>
          <w:rFonts w:ascii="Times New Roman;Times;Serif" w:hAnsi="Times New Roman;Times;Serif"/>
          <w:b w:val="false"/>
          <w:i w:val="false"/>
          <w:caps w:val="false"/>
          <w:smallCaps w:val="false"/>
          <w:sz w:val="20"/>
        </w:rPr>
        <w:t>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w:t>
      </w:r>
      <w:bookmarkStart w:id="410" w:name="xdx_90F_ecustom--BusinessAcquisitionAmou"/>
      <w:bookmarkEnd w:id="410"/>
      <w:r>
        <w:rPr>
          <w:rFonts w:ascii="Times New Roman;Times;Serif" w:hAnsi="Times New Roman;Times;Serif"/>
          <w:b w:val="false"/>
          <w:i w:val="false"/>
          <w:caps w:val="false"/>
          <w:smallCaps w:val="false"/>
          <w:sz w:val="20"/>
        </w:rPr>
        <w:t xml:space="preserve">1,000 subject to certain revenue related conditions being met during the </w:t>
      </w:r>
      <w:bookmarkStart w:id="411" w:name="xdx_909_ecustom--BusinessAcquisitionReve"/>
      <w:bookmarkEnd w:id="411"/>
      <w:r>
        <w:rPr>
          <w:rFonts w:ascii="Times New Roman;Times;Serif" w:hAnsi="Times New Roman;Times;Serif"/>
          <w:b w:val="false"/>
          <w:i w:val="false"/>
          <w:caps w:val="false"/>
          <w:smallCaps w:val="false"/>
          <w:sz w:val="20"/>
        </w:rPr>
        <w:t>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w:t>
      </w:r>
      <w:bookmarkStart w:id="412" w:name="xdx_901_eus-gaap--BusinessCombinationSep"/>
      <w:bookmarkEnd w:id="412"/>
      <w:r>
        <w:rPr>
          <w:rFonts w:ascii="Times New Roman;Times;Serif" w:hAnsi="Times New Roman;Times;Serif"/>
          <w:b w:val="false"/>
          <w:i w:val="false"/>
          <w:caps w:val="false"/>
          <w:smallCaps w:val="false"/>
          <w:sz w:val="20"/>
        </w:rPr>
        <w:t>486 of expense after foreign currency translation in the consolidated statements of operations related to the Transition Holdback Amount in the line Vidello earnout expense. During the three months ended September 30, 2025, the Company paid the contractual amount of $</w:t>
      </w:r>
      <w:bookmarkStart w:id="413" w:name="xdx_904_eus-gaap--PaymentForContingentCo"/>
      <w:bookmarkEnd w:id="413"/>
      <w:r>
        <w:rPr>
          <w:rFonts w:ascii="Times New Roman;Times;Serif" w:hAnsi="Times New Roman;Times;Serif"/>
          <w:b w:val="false"/>
          <w:i w:val="false"/>
          <w:caps w:val="false"/>
          <w:smallCaps w:val="false"/>
          <w:sz w:val="20"/>
        </w:rPr>
        <w:t>500 to the Vidello Shareholders for the Transition Holdback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September 30, 2025, the </w:t>
      </w:r>
      <w:bookmarkStart w:id="414" w:name="xdx_90C_ecustom--BusinessCombinationHold"/>
      <w:bookmarkEnd w:id="414"/>
      <w:r>
        <w:rPr>
          <w:rFonts w:ascii="Times New Roman;Times;Serif" w:hAnsi="Times New Roman;Times;Serif"/>
          <w:b w:val="false"/>
          <w:i w:val="false"/>
          <w:caps w:val="false"/>
          <w:smallCaps w:val="false"/>
          <w:sz w:val="20"/>
        </w:rPr>
        <w:t>180 day measurement period for the Revenue Holdback lapsed and the revenue conditions as defined in the Vidello Merger Agreement had not been met. As such the Company recognized a gain on the extinguishment of Vidello revenue holdback of $</w:t>
      </w:r>
      <w:bookmarkStart w:id="415" w:name="xdx_905_eus-gaap--BusinessCombinationCon"/>
      <w:bookmarkEnd w:id="415"/>
      <w:r>
        <w:rPr>
          <w:rFonts w:ascii="Times New Roman;Times;Serif" w:hAnsi="Times New Roman;Times;Serif"/>
          <w:b w:val="false"/>
          <w:i w:val="false"/>
          <w:caps w:val="false"/>
          <w:smallCaps w:val="false"/>
          <w:sz w:val="20"/>
        </w:rPr>
        <w:t>973 during the three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w:t>
      </w:r>
      <w:bookmarkStart w:id="416" w:name="xdx_901_ecustom--BusinessAcquisitionLock"/>
      <w:bookmarkEnd w:id="416"/>
      <w:r>
        <w:rPr>
          <w:rFonts w:ascii="Times New Roman;Times;Serif" w:hAnsi="Times New Roman;Times;Serif"/>
          <w:b w:val="false"/>
          <w:i w:val="false"/>
          <w:caps w:val="false"/>
          <w:smallCaps w:val="false"/>
          <w:sz w:val="20"/>
        </w:rPr>
        <w:t>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incurred transaction costs of approximately $</w:t>
      </w:r>
      <w:bookmarkStart w:id="417" w:name="xdx_90A_eus-gaap--BusinessAcquisitionCos"/>
      <w:bookmarkEnd w:id="417"/>
      <w:r>
        <w:rPr>
          <w:rFonts w:ascii="Times New Roman;Times;Serif" w:hAnsi="Times New Roman;Times;Serif"/>
          <w:b w:val="false"/>
          <w:i w:val="false"/>
          <w:caps w:val="false"/>
          <w:smallCaps w:val="false"/>
          <w:sz w:val="20"/>
        </w:rPr>
        <w:t>730 which are included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w:t>
      </w:r>
      <w:bookmarkStart w:id="418" w:name="xdx_905_eus-gaap--BusinessCombinationCon"/>
      <w:bookmarkEnd w:id="418"/>
      <w:r>
        <w:rPr>
          <w:rFonts w:ascii="Times New Roman;Times;Serif" w:hAnsi="Times New Roman;Times;Serif"/>
          <w:b w:val="false"/>
          <w:i w:val="false"/>
          <w:caps w:val="false"/>
          <w:smallCaps w:val="false"/>
          <w:sz w:val="20"/>
        </w:rPr>
        <w:t>6,268 summarized as follows:</w:t>
      </w:r>
    </w:p>
    <w:p>
      <w:pPr>
        <w:pStyle w:val="TextBody"/>
        <w:bidi w:val="0"/>
        <w:spacing w:before="0" w:after="0"/>
        <w:ind w:left="0" w:right="0" w:hanging="0"/>
        <w:jc w:val="left"/>
        <w:rPr>
          <w:caps w:val="false"/>
          <w:smallCaps w:val="false"/>
        </w:rPr>
      </w:pPr>
      <w:bookmarkStart w:id="419" w:name="xdx_898_eus-gaap--ScheduleOfBusinessAcqu"/>
      <w:bookmarkEnd w:id="419"/>
      <w:r>
        <w:rPr>
          <w:caps w:val="false"/>
          <w:smallCaps w:val="false"/>
        </w:rPr>
        <w:t> </w:t>
      </w:r>
      <w:bookmarkStart w:id="420" w:name="xdx_8BD_zmnZqnwKSs02"/>
      <w:bookmarkEnd w:id="420"/>
      <w:r>
        <w:rPr>
          <w:rFonts w:ascii="Times New Roman;Times;Serif" w:hAnsi="Times New Roman;Times;Serif"/>
          <w:b w:val="false"/>
          <w:i w:val="false"/>
          <w:caps w:val="false"/>
          <w:smallCaps w:val="false"/>
          <w:sz w:val="20"/>
        </w:rPr>
        <w:t>Summary of Preliminary Fair Value of the Consideration Transferred</w:t>
      </w:r>
    </w:p>
    <w:tbl>
      <w:tblPr>
        <w:tblW w:w="5410" w:type="dxa"/>
        <w:jc w:val="left"/>
        <w:tblInd w:w="0" w:type="dxa"/>
        <w:tblLayout w:type="fixed"/>
        <w:tblCellMar>
          <w:top w:w="0" w:type="dxa"/>
          <w:left w:w="0" w:type="dxa"/>
          <w:bottom w:w="0" w:type="dxa"/>
          <w:right w:w="0" w:type="dxa"/>
        </w:tblCellMar>
      </w:tblPr>
      <w:tblGrid>
        <w:gridCol w:w="4415"/>
        <w:gridCol w:w="60"/>
        <w:gridCol w:w="172"/>
        <w:gridCol w:w="688"/>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1" w:name="xdx_494_20250131__20250131_zLnjH4g8w9vc"/>
            <w:bookmarkEnd w:id="42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422" w:name="xdx_40A_ecustom--BusinessCombinationCash"/>
            <w:bookmarkEnd w:id="422"/>
          </w:p>
        </w:tc>
      </w:tr>
      <w:tr>
        <w:trPr/>
        <w:tc>
          <w:tcPr>
            <w:tcW w:w="4415" w:type="dxa"/>
            <w:tcBorders/>
            <w:shd w:fill="CCEEFF" w:val="clear"/>
            <w:vAlign w:val="center"/>
          </w:tcPr>
          <w:p>
            <w:pPr>
              <w:pStyle w:val="TableContents"/>
              <w:bidi w:val="0"/>
              <w:spacing w:before="0" w:after="283"/>
              <w:jc w:val="left"/>
              <w:rPr/>
            </w:pPr>
            <w:r>
              <w:rPr/>
              <w:t>Cash paid at closing</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2,745</w:t>
            </w:r>
          </w:p>
        </w:tc>
        <w:tc>
          <w:tcPr>
            <w:tcW w:w="75" w:type="dxa"/>
            <w:tcBorders/>
            <w:shd w:fill="CCEEFF" w:val="clear"/>
            <w:vAlign w:val="center"/>
          </w:tcPr>
          <w:p>
            <w:pPr>
              <w:pStyle w:val="TableContents"/>
              <w:bidi w:val="0"/>
              <w:spacing w:before="0" w:after="283"/>
              <w:jc w:val="left"/>
              <w:rPr/>
            </w:pPr>
            <w:r>
              <w:rPr/>
              <w:t> </w:t>
            </w:r>
            <w:bookmarkStart w:id="423" w:name="xdx_407_eus-gaap--BusinessCombinationCon"/>
            <w:bookmarkEnd w:id="423"/>
          </w:p>
        </w:tc>
      </w:tr>
      <w:tr>
        <w:trPr/>
        <w:tc>
          <w:tcPr>
            <w:tcW w:w="4415" w:type="dxa"/>
            <w:tcBorders/>
            <w:shd w:fill="FFFFFF" w:val="clear"/>
            <w:vAlign w:val="center"/>
          </w:tcPr>
          <w:p>
            <w:pPr>
              <w:pStyle w:val="TableContents"/>
              <w:bidi w:val="0"/>
              <w:spacing w:before="0" w:after="283"/>
              <w:jc w:val="left"/>
              <w:rPr/>
            </w:pPr>
            <w:r>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1,662</w:t>
            </w:r>
          </w:p>
        </w:tc>
        <w:tc>
          <w:tcPr>
            <w:tcW w:w="75" w:type="dxa"/>
            <w:tcBorders/>
            <w:shd w:fill="FFFFFF" w:val="clear"/>
            <w:vAlign w:val="center"/>
          </w:tcPr>
          <w:p>
            <w:pPr>
              <w:pStyle w:val="TableContents"/>
              <w:bidi w:val="0"/>
              <w:spacing w:before="0" w:after="283"/>
              <w:jc w:val="left"/>
              <w:rPr/>
            </w:pPr>
            <w:r>
              <w:rPr/>
              <w:t> </w:t>
            </w:r>
            <w:bookmarkStart w:id="424" w:name="xdx_401_ecustom--BusinessCombinationFair"/>
            <w:bookmarkEnd w:id="424"/>
          </w:p>
        </w:tc>
      </w:tr>
      <w:tr>
        <w:trPr/>
        <w:tc>
          <w:tcPr>
            <w:tcW w:w="4415" w:type="dxa"/>
            <w:tcBorders/>
            <w:shd w:fill="CCEEFF" w:val="clear"/>
            <w:vAlign w:val="center"/>
          </w:tcPr>
          <w:p>
            <w:pPr>
              <w:pStyle w:val="TableContents"/>
              <w:bidi w:val="0"/>
              <w:spacing w:before="0" w:after="283"/>
              <w:jc w:val="left"/>
              <w:rPr/>
            </w:pPr>
            <w:r>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1,861</w:t>
            </w:r>
          </w:p>
        </w:tc>
        <w:tc>
          <w:tcPr>
            <w:tcW w:w="75" w:type="dxa"/>
            <w:tcBorders/>
            <w:shd w:fill="CCEEFF" w:val="clear"/>
            <w:vAlign w:val="center"/>
          </w:tcPr>
          <w:p>
            <w:pPr>
              <w:pStyle w:val="TableContents"/>
              <w:bidi w:val="0"/>
              <w:spacing w:before="0" w:after="283"/>
              <w:jc w:val="left"/>
              <w:rPr/>
            </w:pPr>
            <w:r>
              <w:rPr/>
              <w:t> </w:t>
            </w:r>
            <w:bookmarkStart w:id="425" w:name="xdx_406_eus-gaap--BusinessCombinationCon"/>
            <w:bookmarkEnd w:id="425"/>
          </w:p>
        </w:tc>
      </w:tr>
      <w:tr>
        <w:trPr/>
        <w:tc>
          <w:tcPr>
            <w:tcW w:w="4415" w:type="dxa"/>
            <w:tcBorders/>
            <w:shd w:fill="FFFFFF" w:val="clear"/>
            <w:vAlign w:val="center"/>
          </w:tcPr>
          <w:p>
            <w:pPr>
              <w:pStyle w:val="TableContents"/>
              <w:bidi w:val="0"/>
              <w:spacing w:before="0" w:after="283"/>
              <w:jc w:val="left"/>
              <w:rPr/>
            </w:pPr>
            <w:r>
              <w:rPr/>
              <w:t>Total consideration paid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6" w:name="xdx_8AB_z7dtTMfitl42"/>
      <w:bookmarkEnd w:id="42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7" w:name="xdx_891_eus-gaap--ScheduleOfRecognizedId"/>
      <w:bookmarkEnd w:id="427"/>
      <w:r>
        <w:rPr>
          <w:rFonts w:ascii="Times New Roman;Times;Serif" w:hAnsi="Times New Roman;Times;Serif"/>
          <w:b w:val="false"/>
          <w:i w:val="false"/>
          <w:caps w:val="false"/>
          <w:smallCaps w:val="false"/>
          <w:sz w:val="20"/>
        </w:rPr>
        <w:t>The Company allocated the purchase price of the Vidello Merger to the assets acquired and liabilities assumed as of the acquisition date, as follows:</w:t>
      </w:r>
    </w:p>
    <w:p>
      <w:pPr>
        <w:pStyle w:val="TextBody"/>
        <w:bidi w:val="0"/>
        <w:spacing w:before="0" w:after="0"/>
        <w:ind w:left="0" w:right="0" w:hanging="0"/>
        <w:jc w:val="left"/>
        <w:rPr>
          <w:caps w:val="false"/>
          <w:smallCaps w:val="false"/>
        </w:rPr>
      </w:pPr>
      <w:r>
        <w:rPr>
          <w:caps w:val="false"/>
          <w:smallCaps w:val="false"/>
        </w:rPr>
        <w:t> </w:t>
      </w:r>
      <w:bookmarkStart w:id="428" w:name="xdx_8BA_zR2TXucZCJog"/>
      <w:bookmarkEnd w:id="428"/>
      <w:r>
        <w:rPr>
          <w:rFonts w:ascii="Times New Roman;Times;Serif" w:hAnsi="Times New Roman;Times;Serif"/>
          <w:b w:val="false"/>
          <w:i w:val="false"/>
          <w:caps w:val="false"/>
          <w:smallCaps w:val="false"/>
          <w:sz w:val="20"/>
        </w:rPr>
        <w:t>Summary of Provisional Purchase Price Allocation Relating to Vidello Merger</w:t>
      </w:r>
    </w:p>
    <w:tbl>
      <w:tblPr>
        <w:tblW w:w="5160" w:type="dxa"/>
        <w:jc w:val="left"/>
        <w:tblInd w:w="0" w:type="dxa"/>
        <w:tblLayout w:type="fixed"/>
        <w:tblCellMar>
          <w:top w:w="0" w:type="dxa"/>
          <w:left w:w="0" w:type="dxa"/>
          <w:bottom w:w="0" w:type="dxa"/>
          <w:right w:w="0" w:type="dxa"/>
        </w:tblCellMar>
      </w:tblPr>
      <w:tblGrid>
        <w:gridCol w:w="4325"/>
        <w:gridCol w:w="60"/>
        <w:gridCol w:w="140"/>
        <w:gridCol w:w="560"/>
        <w:gridCol w:w="7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29" w:name="xdx_49F_20250131_zTjPT3dR8Tqk"/>
            <w:bookmarkEnd w:id="429"/>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30" w:name="xdx_409_eus-gaap--BusinessCombinationRec"/>
            <w:bookmarkEnd w:id="430"/>
          </w:p>
        </w:tc>
      </w:tr>
      <w:tr>
        <w:trPr/>
        <w:tc>
          <w:tcPr>
            <w:tcW w:w="4325" w:type="dxa"/>
            <w:tcBorders/>
            <w:shd w:fill="CCEEFF" w:val="clear"/>
            <w:vAlign w:val="center"/>
          </w:tcPr>
          <w:p>
            <w:pPr>
              <w:pStyle w:val="TableContents"/>
              <w:bidi w:val="0"/>
              <w:spacing w:before="0" w:after="283"/>
              <w:jc w:val="left"/>
              <w:rPr>
                <w:b/>
              </w:rPr>
            </w:pPr>
            <w:r>
              <w:rPr>
                <w:b/>
              </w:rPr>
              <w:t>Assets acquired:</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431" w:name="xdx_407_eus-gaap--BusinessCombinationRec"/>
            <w:bookmarkEnd w:id="431"/>
          </w:p>
        </w:tc>
      </w:tr>
      <w:tr>
        <w:trPr/>
        <w:tc>
          <w:tcPr>
            <w:tcW w:w="43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bookmarkStart w:id="432" w:name="xdx_400_eus-gaap--BusinessCombinationRec"/>
            <w:bookmarkEnd w:id="432"/>
          </w:p>
        </w:tc>
      </w:tr>
      <w:tr>
        <w:trPr/>
        <w:tc>
          <w:tcPr>
            <w:tcW w:w="43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bookmarkStart w:id="433" w:name="xdx_40F_eus-gaap--BusinessCombinationRec"/>
            <w:bookmarkEnd w:id="433"/>
          </w:p>
        </w:tc>
      </w:tr>
      <w:tr>
        <w:trPr/>
        <w:tc>
          <w:tcPr>
            <w:tcW w:w="4325" w:type="dxa"/>
            <w:tcBorders/>
            <w:shd w:fill="FFFFFF" w:val="clear"/>
            <w:vAlign w:val="center"/>
          </w:tcPr>
          <w:p>
            <w:pPr>
              <w:pStyle w:val="TableContents"/>
              <w:bidi w:val="0"/>
              <w:spacing w:before="0" w:after="283"/>
              <w:jc w:val="left"/>
              <w:rPr/>
            </w:pPr>
            <w:r>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551</w:t>
            </w:r>
          </w:p>
        </w:tc>
        <w:tc>
          <w:tcPr>
            <w:tcW w:w="75" w:type="dxa"/>
            <w:tcBorders/>
            <w:shd w:fill="FFFFFF" w:val="clear"/>
            <w:vAlign w:val="center"/>
          </w:tcPr>
          <w:p>
            <w:pPr>
              <w:pStyle w:val="TableContents"/>
              <w:bidi w:val="0"/>
              <w:spacing w:before="0" w:after="283"/>
              <w:jc w:val="left"/>
              <w:rPr/>
            </w:pPr>
            <w:r>
              <w:rPr/>
              <w:t> </w:t>
            </w:r>
            <w:bookmarkStart w:id="434" w:name="xdx_409_eus-gaap--BusinessCombinationRec"/>
            <w:bookmarkEnd w:id="434"/>
          </w:p>
        </w:tc>
      </w:tr>
      <w:tr>
        <w:trPr/>
        <w:tc>
          <w:tcPr>
            <w:tcW w:w="4325" w:type="dxa"/>
            <w:tcBorders/>
            <w:shd w:fill="CCEEFF" w:val="clear"/>
            <w:vAlign w:val="center"/>
          </w:tcPr>
          <w:p>
            <w:pPr>
              <w:pStyle w:val="TableContents"/>
              <w:bidi w:val="0"/>
              <w:spacing w:before="0" w:after="283"/>
              <w:jc w:val="left"/>
              <w:rPr/>
            </w:pPr>
            <w:r>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736</w:t>
            </w:r>
          </w:p>
        </w:tc>
        <w:tc>
          <w:tcPr>
            <w:tcW w:w="75" w:type="dxa"/>
            <w:tcBorders/>
            <w:shd w:fill="CCEEFF" w:val="clear"/>
            <w:vAlign w:val="center"/>
          </w:tcPr>
          <w:p>
            <w:pPr>
              <w:pStyle w:val="TableContents"/>
              <w:bidi w:val="0"/>
              <w:spacing w:before="0" w:after="283"/>
              <w:jc w:val="left"/>
              <w:rPr/>
            </w:pPr>
            <w:r>
              <w:rPr/>
              <w:t> </w:t>
            </w:r>
            <w:bookmarkStart w:id="435" w:name="xdx_403_eus-gaap--BusinessCombinationRec"/>
            <w:bookmarkEnd w:id="435"/>
          </w:p>
        </w:tc>
      </w:tr>
      <w:tr>
        <w:trPr/>
        <w:tc>
          <w:tcPr>
            <w:tcW w:w="4325" w:type="dxa"/>
            <w:tcBorders/>
            <w:shd w:fill="FFFFFF" w:val="clear"/>
            <w:vAlign w:val="center"/>
          </w:tcPr>
          <w:p>
            <w:pPr>
              <w:pStyle w:val="TableContents"/>
              <w:bidi w:val="0"/>
              <w:spacing w:before="0" w:after="283"/>
              <w:jc w:val="left"/>
              <w:rPr/>
            </w:pPr>
            <w:r>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bookmarkStart w:id="436" w:name="xdx_402_eus-gaap--BusinessCombinationRec"/>
            <w:bookmarkEnd w:id="436"/>
          </w:p>
        </w:tc>
      </w:tr>
      <w:tr>
        <w:trPr/>
        <w:tc>
          <w:tcPr>
            <w:tcW w:w="432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bookmarkStart w:id="437" w:name="xdx_40A_eus-gaap--BusinessCombinationRec"/>
            <w:bookmarkEnd w:id="437"/>
          </w:p>
        </w:tc>
      </w:tr>
      <w:tr>
        <w:trPr/>
        <w:tc>
          <w:tcPr>
            <w:tcW w:w="43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5,374</w:t>
            </w:r>
          </w:p>
        </w:tc>
        <w:tc>
          <w:tcPr>
            <w:tcW w:w="75" w:type="dxa"/>
            <w:tcBorders/>
            <w:shd w:fill="CCEEFF" w:val="clear"/>
            <w:vAlign w:val="center"/>
          </w:tcPr>
          <w:p>
            <w:pPr>
              <w:pStyle w:val="TableContents"/>
              <w:bidi w:val="0"/>
              <w:spacing w:before="0" w:after="283"/>
              <w:jc w:val="left"/>
              <w:rPr/>
            </w:pPr>
            <w:r>
              <w:rPr/>
              <w:t> </w:t>
            </w:r>
            <w:bookmarkStart w:id="438" w:name="xdx_407_eus-gaap--BusinessCombinationRec"/>
            <w:bookmarkEnd w:id="438"/>
          </w:p>
        </w:tc>
      </w:tr>
      <w:tr>
        <w:trPr/>
        <w:tc>
          <w:tcPr>
            <w:tcW w:w="4325" w:type="dxa"/>
            <w:tcBorders/>
            <w:shd w:fill="FFFFFF" w:val="clear"/>
            <w:vAlign w:val="center"/>
          </w:tcPr>
          <w:p>
            <w:pPr>
              <w:pStyle w:val="TableContents"/>
              <w:bidi w:val="0"/>
              <w:spacing w:before="0" w:after="283"/>
              <w:jc w:val="left"/>
              <w:rPr>
                <w:b/>
              </w:rPr>
            </w:pPr>
            <w:r>
              <w:rPr>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39" w:name="xdx_405_eus-gaap--BusinessCombinationRec"/>
            <w:bookmarkEnd w:id="439"/>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440" w:name="xdx_40A_ecustom--BusinessCombinationReco"/>
            <w:bookmarkEnd w:id="440"/>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bookmarkStart w:id="441" w:name="xdx_40C_eus-gaap--BusinessCombinationRec"/>
            <w:bookmarkEnd w:id="441"/>
          </w:p>
        </w:tc>
      </w:tr>
      <w:tr>
        <w:trPr/>
        <w:tc>
          <w:tcPr>
            <w:tcW w:w="4325" w:type="dxa"/>
            <w:tcBorders/>
            <w:shd w:fill="CCEEFF" w:val="clear"/>
            <w:vAlign w:val="center"/>
          </w:tcPr>
          <w:p>
            <w:pPr>
              <w:pStyle w:val="TableContents"/>
              <w:bidi w:val="0"/>
              <w:spacing w:before="0" w:after="283"/>
              <w:jc w:val="left"/>
              <w:rPr/>
            </w:pPr>
            <w:r>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448</w:t>
            </w:r>
          </w:p>
        </w:tc>
        <w:tc>
          <w:tcPr>
            <w:tcW w:w="75" w:type="dxa"/>
            <w:tcBorders/>
            <w:shd w:fill="CCEEFF" w:val="clear"/>
            <w:vAlign w:val="center"/>
          </w:tcPr>
          <w:p>
            <w:pPr>
              <w:pStyle w:val="TableContents"/>
              <w:bidi w:val="0"/>
              <w:spacing w:before="0" w:after="283"/>
              <w:jc w:val="left"/>
              <w:rPr/>
            </w:pPr>
            <w:r>
              <w:rPr/>
              <w:t> </w:t>
            </w:r>
            <w:bookmarkStart w:id="442" w:name="xdx_405_eus-gaap--BusinessCombinationRec"/>
            <w:bookmarkEnd w:id="442"/>
          </w:p>
        </w:tc>
      </w:tr>
      <w:tr>
        <w:trPr/>
        <w:tc>
          <w:tcPr>
            <w:tcW w:w="432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1,324</w:t>
            </w:r>
          </w:p>
        </w:tc>
        <w:tc>
          <w:tcPr>
            <w:tcW w:w="75" w:type="dxa"/>
            <w:tcBorders/>
            <w:shd w:fill="FFFFFF" w:val="clear"/>
            <w:vAlign w:val="center"/>
          </w:tcPr>
          <w:p>
            <w:pPr>
              <w:pStyle w:val="TableContents"/>
              <w:bidi w:val="0"/>
              <w:spacing w:before="0" w:after="283"/>
              <w:jc w:val="left"/>
              <w:rPr/>
            </w:pPr>
            <w:r>
              <w:rPr/>
              <w:t> </w:t>
            </w:r>
            <w:bookmarkStart w:id="443" w:name="xdx_401_ecustom--BusinessCombinationReco"/>
            <w:bookmarkEnd w:id="443"/>
          </w:p>
        </w:tc>
      </w:tr>
      <w:tr>
        <w:trPr/>
        <w:tc>
          <w:tcPr>
            <w:tcW w:w="432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75" w:type="dxa"/>
            <w:tcBorders/>
            <w:shd w:fill="CCEEFF" w:val="clear"/>
            <w:vAlign w:val="center"/>
          </w:tcPr>
          <w:p>
            <w:pPr>
              <w:pStyle w:val="TableContents"/>
              <w:bidi w:val="0"/>
              <w:spacing w:before="0" w:after="283"/>
              <w:jc w:val="left"/>
              <w:rPr/>
            </w:pPr>
            <w:r>
              <w:rPr/>
              <w:t> </w:t>
            </w:r>
            <w:bookmarkStart w:id="444" w:name="xdx_408_eus-gaap--BusinessCombinationRec"/>
            <w:bookmarkEnd w:id="444"/>
          </w:p>
        </w:tc>
      </w:tr>
      <w:tr>
        <w:trPr/>
        <w:tc>
          <w:tcPr>
            <w:tcW w:w="43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2,125</w:t>
            </w:r>
          </w:p>
        </w:tc>
        <w:tc>
          <w:tcPr>
            <w:tcW w:w="75" w:type="dxa"/>
            <w:tcBorders/>
            <w:shd w:fill="FFFFFF" w:val="clear"/>
            <w:vAlign w:val="center"/>
          </w:tcPr>
          <w:p>
            <w:pPr>
              <w:pStyle w:val="TableContents"/>
              <w:bidi w:val="0"/>
              <w:spacing w:before="0" w:after="283"/>
              <w:jc w:val="left"/>
              <w:rPr/>
            </w:pPr>
            <w:r>
              <w:rPr/>
              <w:t> </w:t>
            </w:r>
            <w:bookmarkStart w:id="445" w:name="xdx_400_eus-gaap--BusinessCombinationRec"/>
            <w:bookmarkEnd w:id="445"/>
          </w:p>
        </w:tc>
      </w:tr>
      <w:tr>
        <w:trPr/>
        <w:tc>
          <w:tcPr>
            <w:tcW w:w="4325" w:type="dxa"/>
            <w:tcBorders/>
            <w:shd w:fill="CCEEFF" w:val="clear"/>
            <w:vAlign w:val="center"/>
          </w:tcPr>
          <w:p>
            <w:pPr>
              <w:pStyle w:val="TableContents"/>
              <w:bidi w:val="0"/>
              <w:spacing w:before="0" w:after="283"/>
              <w:jc w:val="left"/>
              <w:rPr/>
            </w:pPr>
            <w:r>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3,249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46" w:name="xdx_40A_eus-gaap--Goodwill_iI_pn3n3_hus-"/>
            <w:bookmarkEnd w:id="446"/>
          </w:p>
        </w:tc>
      </w:tr>
      <w:tr>
        <w:trPr/>
        <w:tc>
          <w:tcPr>
            <w:tcW w:w="432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75" w:type="dxa"/>
            <w:tcBorders/>
            <w:shd w:fill="CCEEFF" w:val="clear"/>
            <w:vAlign w:val="center"/>
          </w:tcPr>
          <w:p>
            <w:pPr>
              <w:pStyle w:val="TableContents"/>
              <w:bidi w:val="0"/>
              <w:spacing w:before="0" w:after="283"/>
              <w:jc w:val="left"/>
              <w:rPr/>
            </w:pPr>
            <w:r>
              <w:rPr/>
              <w:t> </w:t>
            </w:r>
            <w:bookmarkStart w:id="447" w:name="xdx_40A_eus-gaap--BusinessCombinationRec"/>
            <w:bookmarkEnd w:id="447"/>
          </w:p>
        </w:tc>
      </w:tr>
      <w:tr>
        <w:trPr/>
        <w:tc>
          <w:tcPr>
            <w:tcW w:w="432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8" w:name="xdx_8A2_zDHd4rd8UZ9"/>
      <w:bookmarkEnd w:id="4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9" w:name="xdx_892_eus-gaap--ScheduleOfFiniteLivedI"/>
      <w:bookmarkEnd w:id="449"/>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bookmarkStart w:id="450" w:name="xdx_8B0_zgC1VU4kv0U7"/>
      <w:bookmarkEnd w:id="450"/>
      <w:r>
        <w:rPr>
          <w:rFonts w:ascii="Times New Roman;Times;Serif" w:hAnsi="Times New Roman;Times;Serif"/>
          <w:b w:val="false"/>
          <w:i w:val="false"/>
          <w:caps w:val="false"/>
          <w:smallCaps w:val="false"/>
          <w:sz w:val="20"/>
        </w:rPr>
        <w:t>Summary of Intangible Assets Acquired and their Associated Estimated Useful Lives</w:t>
      </w:r>
    </w:p>
    <w:tbl>
      <w:tblPr>
        <w:tblW w:w="2920" w:type="dxa"/>
        <w:jc w:val="left"/>
        <w:tblInd w:w="0" w:type="dxa"/>
        <w:tblLayout w:type="fixed"/>
        <w:tblCellMar>
          <w:top w:w="0" w:type="dxa"/>
          <w:left w:w="0" w:type="dxa"/>
          <w:bottom w:w="0" w:type="dxa"/>
          <w:right w:w="0" w:type="dxa"/>
        </w:tblCellMar>
      </w:tblPr>
      <w:tblGrid>
        <w:gridCol w:w="1910"/>
        <w:gridCol w:w="60"/>
        <w:gridCol w:w="950"/>
      </w:tblGrid>
      <w:tr>
        <w:trPr/>
        <w:tc>
          <w:tcPr>
            <w:tcW w:w="19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51" w:name="xdx_904_eus-gaap--AcquiredFiniteLivedInt"/>
            <w:bookmarkEnd w:id="451"/>
            <w:r>
              <w:rPr>
                <w:rFonts w:ascii="Times New Roman;Times;Serif" w:hAnsi="Times New Roman;Times;Serif"/>
                <w:b w:val="false"/>
                <w:i w:val="false"/>
                <w:caps w:val="false"/>
                <w:smallCaps w:val="false"/>
                <w:sz w:val="20"/>
              </w:rPr>
              <w:t>6 years</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52" w:name="xdx_90E_eus-gaap--AcquiredFiniteLivedInt"/>
            <w:bookmarkEnd w:id="452"/>
            <w:r>
              <w:rPr>
                <w:rFonts w:ascii="Times New Roman;Times;Serif" w:hAnsi="Times New Roman;Times;Serif"/>
                <w:b w:val="false"/>
                <w:i w:val="false"/>
                <w:caps w:val="false"/>
                <w:smallCaps w:val="false"/>
                <w:sz w:val="20"/>
              </w:rPr>
              <w:t>10 years</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53" w:name="xdx_90B_eus-gaap--AcquiredFiniteLivedInt"/>
            <w:bookmarkEnd w:id="453"/>
            <w:r>
              <w:rPr>
                <w:rFonts w:ascii="Times New Roman;Times;Serif" w:hAnsi="Times New Roman;Times;Serif"/>
                <w:b w:val="false"/>
                <w:i w:val="false"/>
                <w:caps w:val="false"/>
                <w:smallCaps w:val="false"/>
                <w:sz w:val="20"/>
              </w:rPr>
              <w:t xml:space="preserve">7 - </w:t>
            </w:r>
            <w:bookmarkStart w:id="454" w:name="xdx_903_eus-gaap--AcquiredFiniteLivedInt"/>
            <w:bookmarkEnd w:id="454"/>
            <w:r>
              <w:rPr>
                <w:rFonts w:ascii="Times New Roman;Times;Serif" w:hAnsi="Times New Roman;Times;Serif"/>
                <w:b w:val="false"/>
                <w:i w:val="false"/>
                <w:caps w:val="false"/>
                <w:smallCaps w:val="false"/>
                <w:sz w:val="20"/>
              </w:rPr>
              <w:t>8 years</w:t>
            </w:r>
          </w:p>
        </w:tc>
      </w:tr>
    </w:tbl>
    <w:p>
      <w:pPr>
        <w:pStyle w:val="TextBody"/>
        <w:bidi w:val="0"/>
        <w:spacing w:before="0" w:after="0"/>
        <w:ind w:left="0" w:right="0" w:hanging="0"/>
        <w:jc w:val="both"/>
        <w:rPr>
          <w:caps w:val="false"/>
          <w:smallCaps w:val="false"/>
        </w:rPr>
      </w:pPr>
      <w:bookmarkStart w:id="455" w:name="xdx_8A0_zCSo618QqWaf"/>
      <w:bookmarkEnd w:id="45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unaudited condensed consolidated statements of operations for the three months ended March 31, 2026 and 2025 includes net loss of approximately $</w:t>
      </w:r>
      <w:bookmarkStart w:id="456" w:name="xdx_907_eus-gaap--NetIncomeLoss_pn3n3_c2"/>
      <w:bookmarkEnd w:id="456"/>
      <w:r>
        <w:rPr>
          <w:rFonts w:ascii="Times New Roman;Times;Serif" w:hAnsi="Times New Roman;Times;Serif"/>
          <w:b w:val="false"/>
          <w:i w:val="false"/>
          <w:caps w:val="false"/>
          <w:smallCaps w:val="false"/>
          <w:sz w:val="20"/>
        </w:rPr>
        <w:t>250 and net income of $</w:t>
      </w:r>
      <w:bookmarkStart w:id="457" w:name="xdx_900_eus-gaap--NetIncomeLoss_pn3n3_c2"/>
      <w:bookmarkEnd w:id="457"/>
      <w:r>
        <w:rPr>
          <w:rFonts w:ascii="Times New Roman;Times;Serif" w:hAnsi="Times New Roman;Times;Serif"/>
          <w:b w:val="false"/>
          <w:i w:val="false"/>
          <w:caps w:val="false"/>
          <w:smallCaps w:val="false"/>
          <w:sz w:val="20"/>
        </w:rPr>
        <w:t>734, respectively, of Vidello from the date of acquisition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8" w:name="xdx_89D_eus-gaap--BusinessAcquisitionPro"/>
      <w:bookmarkEnd w:id="458"/>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bookmarkStart w:id="459" w:name="xdx_8BA_zAeCZBNeEx18"/>
      <w:bookmarkEnd w:id="459"/>
      <w:r>
        <w:rPr>
          <w:rFonts w:ascii="Times New Roman;Times;Serif" w:hAnsi="Times New Roman;Times;Serif"/>
          <w:b w:val="false"/>
          <w:i w:val="false"/>
          <w:caps w:val="false"/>
          <w:smallCaps w:val="false"/>
          <w:sz w:val="20"/>
        </w:rPr>
        <w:t>Summary of Pro Forma Financial Information</w:t>
      </w:r>
    </w:p>
    <w:tbl>
      <w:tblPr>
        <w:tblW w:w="10205" w:type="dxa"/>
        <w:jc w:val="left"/>
        <w:tblInd w:w="0" w:type="dxa"/>
        <w:tblLayout w:type="fixed"/>
        <w:tblCellMar>
          <w:top w:w="0" w:type="dxa"/>
          <w:left w:w="0" w:type="dxa"/>
          <w:bottom w:w="0" w:type="dxa"/>
          <w:right w:w="0" w:type="dxa"/>
        </w:tblCellMar>
      </w:tblPr>
      <w:tblGrid>
        <w:gridCol w:w="5909"/>
        <w:gridCol w:w="60"/>
        <w:gridCol w:w="338"/>
        <w:gridCol w:w="1536"/>
        <w:gridCol w:w="229"/>
        <w:gridCol w:w="144"/>
        <w:gridCol w:w="338"/>
        <w:gridCol w:w="1536"/>
        <w:gridCol w:w="115"/>
      </w:tblGrid>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E_20260101__20260331__us-gaap--Bus"/>
            <w:bookmarkEnd w:id="460"/>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bookmarkStart w:id="461" w:name="xdx_494_20250101__20250331__us-gaap--Bus"/>
            <w:bookmarkEnd w:id="461"/>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462" w:name="xdx_40E_eus-gaap--BusinessAcquisitionsPr"/>
            <w:bookmarkEnd w:id="462"/>
          </w:p>
        </w:tc>
      </w:tr>
      <w:tr>
        <w:trPr/>
        <w:tc>
          <w:tcPr>
            <w:tcW w:w="590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2,696</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3,609</w:t>
            </w:r>
          </w:p>
        </w:tc>
        <w:tc>
          <w:tcPr>
            <w:tcW w:w="115" w:type="dxa"/>
            <w:tcBorders/>
            <w:shd w:fill="CCEEFF" w:val="clear"/>
            <w:vAlign w:val="center"/>
          </w:tcPr>
          <w:p>
            <w:pPr>
              <w:pStyle w:val="TableContents"/>
              <w:bidi w:val="0"/>
              <w:spacing w:before="0" w:after="283"/>
              <w:jc w:val="left"/>
              <w:rPr/>
            </w:pPr>
            <w:r>
              <w:rPr/>
              <w:t> </w:t>
            </w:r>
            <w:bookmarkStart w:id="463" w:name="xdx_403_ecustom--BusinessAcquisitionProF"/>
            <w:bookmarkEnd w:id="463"/>
          </w:p>
        </w:tc>
      </w:tr>
      <w:tr>
        <w:trPr/>
        <w:tc>
          <w:tcPr>
            <w:tcW w:w="5909"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521</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796</w:t>
            </w:r>
          </w:p>
        </w:tc>
        <w:tc>
          <w:tcPr>
            <w:tcW w:w="115" w:type="dxa"/>
            <w:tcBorders/>
            <w:shd w:fill="FFFFFF" w:val="clear"/>
            <w:vAlign w:val="center"/>
          </w:tcPr>
          <w:p>
            <w:pPr>
              <w:pStyle w:val="TableContents"/>
              <w:bidi w:val="0"/>
              <w:spacing w:before="0" w:after="283"/>
              <w:jc w:val="left"/>
              <w:rPr/>
            </w:pPr>
            <w:r>
              <w:rPr/>
              <w:t> </w:t>
            </w:r>
            <w:bookmarkStart w:id="464" w:name="xdx_40A_ecustom--BusinessAcquisitionProF"/>
            <w:bookmarkEnd w:id="464"/>
          </w:p>
        </w:tc>
      </w:tr>
      <w:tr>
        <w:trPr/>
        <w:tc>
          <w:tcPr>
            <w:tcW w:w="590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7,955</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7,753</w:t>
            </w:r>
          </w:p>
        </w:tc>
        <w:tc>
          <w:tcPr>
            <w:tcW w:w="115" w:type="dxa"/>
            <w:tcBorders/>
            <w:shd w:fill="CCEEFF" w:val="clear"/>
            <w:vAlign w:val="center"/>
          </w:tcPr>
          <w:p>
            <w:pPr>
              <w:pStyle w:val="TableContents"/>
              <w:bidi w:val="0"/>
              <w:spacing w:before="0" w:after="283"/>
              <w:jc w:val="left"/>
              <w:rPr/>
            </w:pPr>
            <w:r>
              <w:rPr/>
              <w:t> </w:t>
            </w:r>
            <w:bookmarkStart w:id="465" w:name="xdx_40E_ecustom--BusinessAcquisitionProF"/>
            <w:bookmarkEnd w:id="465"/>
          </w:p>
        </w:tc>
      </w:tr>
      <w:tr>
        <w:trPr/>
        <w:tc>
          <w:tcPr>
            <w:tcW w:w="5909" w:type="dxa"/>
            <w:tcBorders/>
            <w:shd w:fill="FFFFFF" w:val="clear"/>
            <w:vAlign w:val="center"/>
          </w:tcPr>
          <w:p>
            <w:pPr>
              <w:pStyle w:val="TableContents"/>
              <w:bidi w:val="0"/>
              <w:spacing w:before="0" w:after="283"/>
              <w:jc w:val="left"/>
              <w:rPr/>
            </w:pPr>
            <w:r>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2,689</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(1,337</w:t>
            </w:r>
          </w:p>
        </w:tc>
        <w:tc>
          <w:tcPr>
            <w:tcW w:w="115" w:type="dxa"/>
            <w:tcBorders/>
            <w:shd w:fill="FFFFFF" w:val="clear"/>
            <w:vAlign w:val="center"/>
          </w:tcPr>
          <w:p>
            <w:pPr>
              <w:pStyle w:val="TableContents"/>
              <w:bidi w:val="0"/>
              <w:spacing w:before="0" w:after="283"/>
              <w:jc w:val="left"/>
              <w:rPr/>
            </w:pPr>
            <w:r>
              <w:rPr/>
              <w:t>)</w:t>
            </w:r>
            <w:bookmarkStart w:id="466" w:name="xdx_406_eus-gaap--BusinessCombinationPro"/>
            <w:bookmarkEnd w:id="466"/>
          </w:p>
        </w:tc>
      </w:tr>
      <w:tr>
        <w:trPr/>
        <w:tc>
          <w:tcPr>
            <w:tcW w:w="5909" w:type="dxa"/>
            <w:tcBorders/>
            <w:shd w:fill="CCEEFF" w:val="clear"/>
            <w:vAlign w:val="center"/>
          </w:tcPr>
          <w:p>
            <w:pPr>
              <w:pStyle w:val="TableContents"/>
              <w:bidi w:val="0"/>
              <w:spacing w:before="0" w:after="283"/>
              <w:jc w:val="left"/>
              <w:rPr/>
            </w:pPr>
            <w:r>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(8,469</w:t>
            </w:r>
          </w:p>
        </w:tc>
        <w:tc>
          <w:tcPr>
            <w:tcW w:w="229"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(3,603</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467" w:name="xdx_8A8_zvClvsAKmBBj"/>
      <w:bookmarkEnd w:id="46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8" w:name="xdx_801_eus-gaap--RelatedPartyTransactio"/>
      <w:bookmarkEnd w:id="468"/>
      <w:r>
        <w:rPr>
          <w:rFonts w:ascii="Times New Roman;Times;Serif" w:hAnsi="Times New Roman;Times;Serif"/>
          <w:b/>
          <w:i w:val="false"/>
          <w:caps w:val="false"/>
          <w:smallCaps w:val="false"/>
          <w:sz w:val="20"/>
        </w:rPr>
        <w:t xml:space="preserve">5. </w:t>
      </w:r>
      <w:bookmarkStart w:id="469" w:name="xdx_82C_zme91J60mW69"/>
      <w:bookmarkEnd w:id="469"/>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w:t>
      </w:r>
      <w:bookmarkStart w:id="470" w:name="xdx_90D_eus-gaap--DebtInstrumentConverti"/>
      <w:bookmarkEnd w:id="470"/>
      <w:r>
        <w:rPr>
          <w:rFonts w:ascii="Times New Roman;Times;Serif" w:hAnsi="Times New Roman;Times;Serif"/>
          <w:b w:val="false"/>
          <w:i w:val="false"/>
          <w:caps w:val="false"/>
          <w:smallCaps w:val="false"/>
          <w:sz w:val="20"/>
        </w:rPr>
        <w:t xml:space="preserve">one term note and </w:t>
      </w:r>
      <w:bookmarkStart w:id="471" w:name="xdx_90C_eus-gaap--DebtInstrumentConverti"/>
      <w:bookmarkEnd w:id="471"/>
      <w:r>
        <w:rPr>
          <w:rFonts w:ascii="Times New Roman;Times;Serif" w:hAnsi="Times New Roman;Times;Serif"/>
          <w:b w:val="false"/>
          <w:i w:val="false"/>
          <w:caps w:val="false"/>
          <w:smallCaps w:val="false"/>
          <w:sz w:val="20"/>
        </w:rPr>
        <w:t xml:space="preserve">two convertible notes into </w:t>
      </w:r>
      <w:bookmarkStart w:id="472" w:name="xdx_900_eus-gaap--DebtInstrumentConverti"/>
      <w:bookmarkEnd w:id="472"/>
      <w:r>
        <w:rPr>
          <w:rFonts w:ascii="Times New Roman;Times;Serif" w:hAnsi="Times New Roman;Times;Serif"/>
          <w:b w:val="false"/>
          <w:i w:val="false"/>
          <w:caps w:val="false"/>
          <w:smallCaps w:val="false"/>
          <w:sz w:val="20"/>
        </w:rPr>
        <w:t xml:space="preserve">one new consolidated convertible note. The newly issued consolidated convertible note was issued on September 23, 2024. Additionally on </w:t>
      </w:r>
      <w:bookmarkStart w:id="473" w:name="xdx_900_eus-gaap--DebtInstrumentIssuance"/>
      <w:bookmarkEnd w:id="473"/>
      <w:r>
        <w:rPr>
          <w:rFonts w:ascii="Times New Roman;Times;Serif" w:hAnsi="Times New Roman;Times;Serif"/>
          <w:b w:val="false"/>
          <w:i w:val="false"/>
          <w:caps w:val="false"/>
          <w:smallCaps w:val="false"/>
          <w:sz w:val="20"/>
        </w:rPr>
        <w:t>September 23, 2024, the Company and CP BF entered into a share purchase agreement where the Company issued equity in the form of common stock, common stock warrants and pre-funded warrants to CP BF for the reduction of $</w:t>
      </w:r>
      <w:bookmarkStart w:id="474" w:name="xdx_905_ecustom--ReductionOfDebt_iI_pn6n"/>
      <w:bookmarkEnd w:id="474"/>
      <w:r>
        <w:rPr>
          <w:rFonts w:ascii="Times New Roman;Times;Serif" w:hAnsi="Times New Roman;Times;Serif"/>
          <w:b w:val="false"/>
          <w:i w:val="false"/>
          <w:caps w:val="false"/>
          <w:smallCaps w:val="false"/>
          <w:sz w:val="20"/>
        </w:rPr>
        <w:t xml:space="preserve">2 million of debt under the newly issued consolidated convertible note.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5" w:name="xdx_800_eus-gaap--RevenueFromContractWit"/>
      <w:bookmarkEnd w:id="475"/>
      <w:r>
        <w:rPr>
          <w:rFonts w:ascii="Times New Roman;Times;Serif" w:hAnsi="Times New Roman;Times;Serif"/>
          <w:b/>
          <w:i w:val="false"/>
          <w:caps w:val="false"/>
          <w:smallCaps w:val="false"/>
          <w:sz w:val="20"/>
        </w:rPr>
        <w:t xml:space="preserve">6. </w:t>
      </w:r>
      <w:bookmarkStart w:id="476" w:name="xdx_824_zmaoIWZiJLy3"/>
      <w:bookmarkEnd w:id="476"/>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w:t>
      </w:r>
      <w:bookmarkStart w:id="477" w:name="xdx_909_eus-gaap--RevenuePerformanceObli"/>
      <w:bookmarkEnd w:id="477"/>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w:t>
      </w:r>
      <w:bookmarkStart w:id="478" w:name="xdx_907_eus-gaap--RevenuePerformanceObli"/>
      <w:bookmarkEnd w:id="478"/>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OpenReel product offers subscription-based software as a service (SaaS) offerings to enterprise, media, entertainment and agency teams to remotely control, direct, script, film, and collaborate on high definition video projects from a mobile device or webcam. </w:t>
      </w:r>
      <w:bookmarkStart w:id="479" w:name="xdx_907_eus-gaap--RevenuePerformanceObli"/>
      <w:bookmarkEnd w:id="479"/>
      <w:r>
        <w:rPr>
          <w:rFonts w:ascii="Times New Roman;Times;Serif" w:hAnsi="Times New Roman;Times;Serif"/>
          <w:b w:val="false"/>
          <w:i w:val="false"/>
          <w:caps w:val="false"/>
          <w:smallCaps w:val="false"/>
          <w:sz w:val="20"/>
        </w:rPr>
        <w:t>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product is a video hosting and marketing platform designed to help businesses manage, customize, and optimize their video content. Revenue is generated through Vidello providing video hosting and marketing platform subscription software service for a set period of time. </w:t>
      </w:r>
      <w:bookmarkStart w:id="480" w:name="xdx_90D_eus-gaap--RevenuePerformanceObli"/>
      <w:bookmarkEnd w:id="480"/>
      <w:r>
        <w:rPr>
          <w:rFonts w:ascii="Times New Roman;Times;Serif" w:hAnsi="Times New Roman;Times;Serif"/>
          <w:b w:val="false"/>
          <w:i w:val="false"/>
          <w:caps w:val="false"/>
          <w:smallCaps w:val="false"/>
          <w:sz w:val="20"/>
        </w:rPr>
        <w:t>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481" w:name="xdx_900_ecustom--NumberOfCustomersWhichI"/>
      <w:bookmarkEnd w:id="481"/>
      <w:r>
        <w:rPr>
          <w:rFonts w:ascii="Times New Roman;Times;Serif" w:hAnsi="Times New Roman;Times;Serif"/>
          <w:b w:val="false"/>
          <w:i w:val="false"/>
          <w:caps w:val="false"/>
          <w:smallCaps w:val="false"/>
          <w:sz w:val="20"/>
        </w:rPr>
        <w:t>one customer for which the customer is also a vendor. For this one customer, the Company exchanged services for approximately $</w:t>
      </w:r>
      <w:bookmarkStart w:id="482" w:name="xdx_90B_ecustom--ServicesRevenueFromVend"/>
      <w:bookmarkEnd w:id="482"/>
      <w:r>
        <w:rPr>
          <w:rFonts w:ascii="Times New Roman;Times;Serif" w:hAnsi="Times New Roman;Times;Serif"/>
          <w:b w:val="false"/>
          <w:i w:val="false"/>
          <w:caps w:val="false"/>
          <w:smallCaps w:val="false"/>
          <w:sz w:val="20"/>
        </w:rPr>
        <w:t>31 and $</w:t>
      </w:r>
      <w:bookmarkStart w:id="483" w:name="xdx_905_ecustom--ServicesRevenueFromVend"/>
      <w:bookmarkEnd w:id="483"/>
      <w:r>
        <w:rPr>
          <w:rFonts w:ascii="Times New Roman;Times;Serif" w:hAnsi="Times New Roman;Times;Serif"/>
          <w:b w:val="false"/>
          <w:i w:val="false"/>
          <w:caps w:val="false"/>
          <w:smallCaps w:val="false"/>
          <w:sz w:val="20"/>
        </w:rPr>
        <w:t>208,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4" w:name="xdx_89B_eus-gaap--DisaggregationOfRevenu"/>
      <w:bookmarkEnd w:id="484"/>
      <w:r>
        <w:rPr>
          <w:rFonts w:ascii="Times New Roman;Times;Serif" w:hAnsi="Times New Roman;Times;Serif"/>
          <w:b w:val="false"/>
          <w:i w:val="false"/>
          <w:caps w:val="false"/>
          <w:smallCaps w:val="false"/>
          <w:sz w:val="20"/>
        </w:rPr>
        <w:t>The following table summarizes revenue by region based on the billing address of customers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bookmarkStart w:id="485" w:name="xdx_8BA_zj4Qk2nfw4Dk"/>
      <w:bookmarkEnd w:id="485"/>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416"/>
        <w:gridCol w:w="60"/>
        <w:gridCol w:w="172"/>
        <w:gridCol w:w="688"/>
        <w:gridCol w:w="60"/>
        <w:gridCol w:w="60"/>
        <w:gridCol w:w="398"/>
        <w:gridCol w:w="1733"/>
        <w:gridCol w:w="215"/>
        <w:gridCol w:w="60"/>
        <w:gridCol w:w="172"/>
        <w:gridCol w:w="688"/>
        <w:gridCol w:w="60"/>
        <w:gridCol w:w="60"/>
        <w:gridCol w:w="290"/>
        <w:gridCol w:w="1841"/>
        <w:gridCol w:w="232"/>
      </w:tblGrid>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86" w:name="xdx_49F_20260101__20260331_zU9Yx9yPCdp9"/>
            <w:bookmarkEnd w:id="48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7" w:name="xdx_49B_20250101__20250331_zvrlxoPNzYZ9"/>
            <w:bookmarkEnd w:id="48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9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bookmarkStart w:id="488" w:name="xdx_409_eus-gaap--RevenueFromContractWit"/>
            <w:bookmarkEnd w:id="488"/>
          </w:p>
        </w:tc>
      </w:tr>
      <w:tr>
        <w:trPr/>
        <w:tc>
          <w:tcPr>
            <w:tcW w:w="3416"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bookmarkStart w:id="489" w:name="xdx_986_eus-gaap--ConcentrationRiskPerce"/>
            <w:bookmarkEnd w:id="489"/>
          </w:p>
        </w:tc>
        <w:tc>
          <w:tcPr>
            <w:tcW w:w="1733"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bookmarkStart w:id="490" w:name="xdx_982_eus-gaap--ConcentrationRiskPerce"/>
            <w:bookmarkEnd w:id="490"/>
          </w:p>
        </w:tc>
        <w:tc>
          <w:tcPr>
            <w:tcW w:w="1841" w:type="dxa"/>
            <w:tcBorders/>
            <w:shd w:fill="CCEEFF" w:val="clear"/>
            <w:vAlign w:val="center"/>
          </w:tcPr>
          <w:p>
            <w:pPr>
              <w:pStyle w:val="TableContents"/>
              <w:bidi w:val="0"/>
              <w:spacing w:before="0" w:after="283"/>
              <w:jc w:val="right"/>
              <w:rPr/>
            </w:pPr>
            <w:r>
              <w:rPr/>
              <w:t>77</w:t>
            </w:r>
          </w:p>
        </w:tc>
        <w:tc>
          <w:tcPr>
            <w:tcW w:w="232" w:type="dxa"/>
            <w:tcBorders/>
            <w:shd w:fill="CCEEFF" w:val="clear"/>
            <w:vAlign w:val="center"/>
          </w:tcPr>
          <w:p>
            <w:pPr>
              <w:pStyle w:val="TableContents"/>
              <w:bidi w:val="0"/>
              <w:spacing w:before="0" w:after="283"/>
              <w:jc w:val="left"/>
              <w:rPr/>
            </w:pPr>
            <w:r>
              <w:rPr/>
              <w:t>%</w:t>
            </w:r>
            <w:bookmarkStart w:id="491" w:name="xdx_407_eus-gaap--RevenueFromContractWit"/>
            <w:bookmarkEnd w:id="491"/>
          </w:p>
        </w:tc>
      </w:tr>
      <w:tr>
        <w:trPr/>
        <w:tc>
          <w:tcPr>
            <w:tcW w:w="3416" w:type="dxa"/>
            <w:tcBorders/>
            <w:shd w:fill="FFFFFF" w:val="clear"/>
            <w:vAlign w:val="center"/>
          </w:tcPr>
          <w:p>
            <w:pPr>
              <w:pStyle w:val="TableContents"/>
              <w:bidi w:val="0"/>
              <w:spacing w:before="0" w:after="283"/>
              <w:jc w:val="left"/>
              <w:rPr/>
            </w:pPr>
            <w:r>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bookmarkStart w:id="492" w:name="xdx_982_eus-gaap--ConcentrationRiskPerce"/>
            <w:bookmarkEnd w:id="492"/>
          </w:p>
        </w:tc>
        <w:tc>
          <w:tcPr>
            <w:tcW w:w="1733"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493" w:name="xdx_984_eus-gaap--ConcentrationRiskPerce"/>
            <w:bookmarkEnd w:id="493"/>
          </w:p>
        </w:tc>
        <w:tc>
          <w:tcPr>
            <w:tcW w:w="1841" w:type="dxa"/>
            <w:tcBorders/>
            <w:shd w:fill="FFFFFF" w:val="clear"/>
            <w:vAlign w:val="center"/>
          </w:tcPr>
          <w:p>
            <w:pPr>
              <w:pStyle w:val="TableContents"/>
              <w:bidi w:val="0"/>
              <w:spacing w:before="0" w:after="283"/>
              <w:jc w:val="right"/>
              <w:rPr/>
            </w:pPr>
            <w:r>
              <w:rPr/>
              <w:t>17</w:t>
            </w:r>
          </w:p>
        </w:tc>
        <w:tc>
          <w:tcPr>
            <w:tcW w:w="232" w:type="dxa"/>
            <w:tcBorders/>
            <w:shd w:fill="FFFFFF" w:val="clear"/>
            <w:vAlign w:val="center"/>
          </w:tcPr>
          <w:p>
            <w:pPr>
              <w:pStyle w:val="TableContents"/>
              <w:bidi w:val="0"/>
              <w:spacing w:before="0" w:after="283"/>
              <w:jc w:val="left"/>
              <w:rPr/>
            </w:pPr>
            <w:r>
              <w:rPr/>
              <w:t>%</w:t>
            </w:r>
            <w:bookmarkStart w:id="494" w:name="xdx_401_eus-gaap--RevenueFromContractWit"/>
            <w:bookmarkEnd w:id="494"/>
          </w:p>
        </w:tc>
      </w:tr>
      <w:tr>
        <w:trPr/>
        <w:tc>
          <w:tcPr>
            <w:tcW w:w="3416"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5" w:name="xdx_981_eus-gaap--ConcentrationRiskPerce"/>
            <w:bookmarkEnd w:id="495"/>
          </w:p>
        </w:tc>
        <w:tc>
          <w:tcPr>
            <w:tcW w:w="1733"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6" w:name="xdx_98D_eus-gaap--ConcentrationRiskPerce"/>
            <w:bookmarkEnd w:id="496"/>
          </w:p>
        </w:tc>
        <w:tc>
          <w:tcPr>
            <w:tcW w:w="1841"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232" w:type="dxa"/>
            <w:tcBorders/>
            <w:shd w:fill="CCEEFF" w:val="clear"/>
            <w:vAlign w:val="center"/>
          </w:tcPr>
          <w:p>
            <w:pPr>
              <w:pStyle w:val="TableContents"/>
              <w:bidi w:val="0"/>
              <w:spacing w:before="0" w:after="283"/>
              <w:jc w:val="left"/>
              <w:rPr/>
            </w:pPr>
            <w:r>
              <w:rPr/>
              <w:t>%</w:t>
            </w:r>
            <w:bookmarkStart w:id="497" w:name="xdx_40B_eus-gaap--RevenueFromContractWit"/>
            <w:bookmarkEnd w:id="497"/>
          </w:p>
        </w:tc>
      </w:tr>
      <w:tr>
        <w:trPr/>
        <w:tc>
          <w:tcPr>
            <w:tcW w:w="341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2,696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98" w:name="xdx_98E_eus-gaap--ConcentrationRiskPerce"/>
            <w:bookmarkEnd w:id="498"/>
          </w:p>
        </w:tc>
        <w:tc>
          <w:tcPr>
            <w:tcW w:w="1733" w:type="dxa"/>
            <w:tcBorders>
              <w:bottom w:val="double" w:sz="6" w:space="0" w:color="000000"/>
            </w:tcBorders>
            <w:shd w:fill="FFFFFF" w:val="clear"/>
            <w:tcMar>
              <w:bottom w:w="28" w:type="dxa"/>
            </w:tcMar>
            <w:vAlign w:val="center"/>
          </w:tcPr>
          <w:p>
            <w:pPr>
              <w:pStyle w:val="TableContents"/>
              <w:bidi w:val="0"/>
              <w:spacing w:before="0" w:after="283"/>
              <w:jc w:val="right"/>
              <w:rPr/>
            </w:pPr>
            <w:r>
              <w:rPr/>
              <w:t>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3,379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99" w:name="xdx_98F_eus-gaap--ConcentrationRiskPerce"/>
            <w:bookmarkEnd w:id="499"/>
          </w:p>
        </w:tc>
        <w:tc>
          <w:tcPr>
            <w:tcW w:w="1841"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00" w:name="xdx_8A8_zpu3qvPfRyZ9"/>
      <w:bookmarkEnd w:id="50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receivable is recorded when an unconditional right to invoice and receive payment exists, such that only the passage of time is required before payment of consideration is due. </w:t>
      </w:r>
      <w:bookmarkStart w:id="501" w:name="xdx_90C_ecustom--AccountsReceivableContr"/>
      <w:bookmarkEnd w:id="501"/>
      <w:r>
        <w:rPr>
          <w:rFonts w:ascii="Times New Roman;Times;Serif" w:hAnsi="Times New Roman;Times;Serif"/>
          <w:b w:val="false"/>
          <w:i w:val="false"/>
          <w:caps w:val="false"/>
          <w:smallCaps w:val="false"/>
          <w:sz w:val="20"/>
        </w:rPr>
        <w:t>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2" w:name="xdx_898_eus-gaap--ScheduleOfAccountsNote"/>
      <w:bookmarkEnd w:id="502"/>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bookmarkStart w:id="503" w:name="xdx_8B2_zLwxYD3HkfCe"/>
      <w:bookmarkEnd w:id="503"/>
      <w:r>
        <w:rPr>
          <w:rFonts w:ascii="Times New Roman;Times;Serif" w:hAnsi="Times New Roman;Times;Serif"/>
          <w:b w:val="false"/>
          <w:i w:val="false"/>
          <w:caps w:val="false"/>
          <w:smallCaps w:val="false"/>
          <w:sz w:val="20"/>
        </w:rPr>
        <w:t>Summary of Accounts Receivable, Net</w:t>
      </w:r>
    </w:p>
    <w:tbl>
      <w:tblPr>
        <w:tblW w:w="3490" w:type="dxa"/>
        <w:jc w:val="left"/>
        <w:tblInd w:w="0" w:type="dxa"/>
        <w:tblLayout w:type="fixed"/>
        <w:tblCellMar>
          <w:top w:w="0" w:type="dxa"/>
          <w:left w:w="0" w:type="dxa"/>
          <w:bottom w:w="0" w:type="dxa"/>
          <w:right w:w="0" w:type="dxa"/>
        </w:tblCellMar>
      </w:tblPr>
      <w:tblGrid>
        <w:gridCol w:w="2915"/>
        <w:gridCol w:w="60"/>
        <w:gridCol w:w="60"/>
        <w:gridCol w:w="380"/>
        <w:gridCol w:w="75"/>
      </w:tblGrid>
      <w:tr>
        <w:trPr/>
        <w:tc>
          <w:tcPr>
            <w:tcW w:w="291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04" w:name="xdx_986_eus-gaap--AccountsReceivableNetC"/>
            <w:bookmarkEnd w:id="504"/>
          </w:p>
        </w:tc>
        <w:tc>
          <w:tcPr>
            <w:tcW w:w="380" w:type="dxa"/>
            <w:tcBorders/>
            <w:shd w:fill="CCEEFF" w:val="clear"/>
            <w:vAlign w:val="center"/>
          </w:tcPr>
          <w:p>
            <w:pPr>
              <w:pStyle w:val="TableContents"/>
              <w:bidi w:val="0"/>
              <w:spacing w:before="0" w:after="283"/>
              <w:jc w:val="right"/>
              <w:rPr/>
            </w:pPr>
            <w:r>
              <w:rPr/>
              <w:t>709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05" w:name="xdx_98E_eus-gaap--AccountsReceivableNetC"/>
            <w:bookmarkEnd w:id="505"/>
          </w:p>
        </w:tc>
        <w:tc>
          <w:tcPr>
            <w:tcW w:w="380" w:type="dxa"/>
            <w:tcBorders/>
            <w:shd w:fill="FFFFFF" w:val="clear"/>
            <w:vAlign w:val="center"/>
          </w:tcPr>
          <w:p>
            <w:pPr>
              <w:pStyle w:val="TableContents"/>
              <w:bidi w:val="0"/>
              <w:spacing w:before="0" w:after="283"/>
              <w:jc w:val="right"/>
              <w:rPr/>
            </w:pPr>
            <w:r>
              <w:rPr/>
              <w:t>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6" w:name="xdx_8AD_zs8nJAKxj2qh"/>
      <w:bookmarkEnd w:id="50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7" w:name="xdx_89D_eus-gaap--CapitalizedContractCos"/>
      <w:bookmarkEnd w:id="507"/>
      <w:r>
        <w:rPr>
          <w:rFonts w:ascii="Times New Roman;Times;Serif" w:hAnsi="Times New Roman;Times;Serif"/>
          <w:b w:val="false"/>
          <w:i w:val="false"/>
          <w:caps w:val="false"/>
          <w:smallCaps w:val="false"/>
          <w:sz w:val="20"/>
        </w:rPr>
        <w:t>The following summarizes the activity related to costs to obtain a contract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bookmarkStart w:id="508" w:name="xdx_8BD_z3sUO33E6Gk1"/>
      <w:bookmarkEnd w:id="508"/>
      <w:r>
        <w:rPr>
          <w:rFonts w:ascii="Times New Roman;Times;Serif" w:hAnsi="Times New Roman;Times;Serif"/>
          <w:b w:val="false"/>
          <w:i w:val="false"/>
          <w:caps w:val="false"/>
          <w:smallCaps w:val="false"/>
          <w:sz w:val="20"/>
        </w:rPr>
        <w:t>Summary of Activity Related to Costs to Obtain Contract</w:t>
      </w:r>
    </w:p>
    <w:tbl>
      <w:tblPr>
        <w:tblW w:w="4010" w:type="dxa"/>
        <w:jc w:val="left"/>
        <w:tblInd w:w="0" w:type="dxa"/>
        <w:tblLayout w:type="fixed"/>
        <w:tblCellMar>
          <w:top w:w="0" w:type="dxa"/>
          <w:left w:w="0" w:type="dxa"/>
          <w:bottom w:w="0" w:type="dxa"/>
          <w:right w:w="0" w:type="dxa"/>
        </w:tblCellMar>
      </w:tblPr>
      <w:tblGrid>
        <w:gridCol w:w="3245"/>
        <w:gridCol w:w="60"/>
        <w:gridCol w:w="140"/>
        <w:gridCol w:w="455"/>
        <w:gridCol w:w="110"/>
      </w:tblGrid>
      <w:tr>
        <w:trPr/>
        <w:tc>
          <w:tcPr>
            <w:tcW w:w="324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09" w:name="xdx_98D_eus-gaap--CapitalizedContractCos"/>
            <w:bookmarkEnd w:id="509"/>
          </w:p>
        </w:tc>
        <w:tc>
          <w:tcPr>
            <w:tcW w:w="455" w:type="dxa"/>
            <w:tcBorders/>
            <w:shd w:fill="CCEEFF" w:val="cle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0" w:name="xdx_984_ecustom--CommissionsIncurred_pn3"/>
            <w:bookmarkEnd w:id="510"/>
          </w:p>
        </w:tc>
        <w:tc>
          <w:tcPr>
            <w:tcW w:w="455" w:type="dxa"/>
            <w:tcBorders/>
            <w:shd w:fill="FFFFFF" w:val="clear"/>
            <w:vAlign w:val="center"/>
          </w:tcPr>
          <w:p>
            <w:pPr>
              <w:pStyle w:val="TableContents"/>
              <w:bidi w:val="0"/>
              <w:spacing w:before="0" w:after="283"/>
              <w:jc w:val="right"/>
              <w:rPr/>
            </w:pPr>
            <w:r>
              <w:rPr/>
              <w:t>161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1" w:name="xdx_981_ecustom--DeferredCommissionsReco"/>
            <w:bookmarkEnd w:id="511"/>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w:t>
            </w:r>
          </w:p>
        </w:tc>
      </w:tr>
      <w:tr>
        <w:trPr/>
        <w:tc>
          <w:tcPr>
            <w:tcW w:w="324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12" w:name="xdx_98F_eus-gaap--CapitalizedContractCos"/>
            <w:bookmarkEnd w:id="512"/>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13" w:name="xdx_981_eus-gaap--CapitalizedContractCos"/>
            <w:bookmarkEnd w:id="513"/>
          </w:p>
        </w:tc>
        <w:tc>
          <w:tcPr>
            <w:tcW w:w="455" w:type="dxa"/>
            <w:tcBorders/>
            <w:shd w:fill="FFFFFF" w:val="cle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4" w:name="xdx_987_ecustom--CommissionsIncurred_pn3"/>
            <w:bookmarkEnd w:id="514"/>
          </w:p>
        </w:tc>
        <w:tc>
          <w:tcPr>
            <w:tcW w:w="455" w:type="dxa"/>
            <w:tcBorders/>
            <w:shd w:fill="CCEEFF" w:val="cle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5" w:name="xdx_983_ecustom--DeferredCommissionsReco"/>
            <w:bookmarkEnd w:id="515"/>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Balance –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6" w:name="xdx_98C_eus-gaap--CapitalizedContractCos"/>
            <w:bookmarkEnd w:id="516"/>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7" w:name="xdx_8A7_zngul6TZOlEk"/>
      <w:bookmarkEnd w:id="51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w:t>
      </w:r>
      <w:bookmarkStart w:id="518" w:name="xdx_909_eus-gaap--ContractWithCustomerLi"/>
      <w:bookmarkEnd w:id="518"/>
      <w:r>
        <w:rPr>
          <w:rFonts w:ascii="Times New Roman;Times;Serif" w:hAnsi="Times New Roman;Times;Serif"/>
          <w:b w:val="false"/>
          <w:i w:val="false"/>
          <w:caps w:val="false"/>
          <w:smallCaps w:val="false"/>
          <w:sz w:val="20"/>
        </w:rPr>
        <w:t xml:space="preserve">1,658 and </w:t>
      </w:r>
      <w:r>
        <w:rPr>
          <w:rFonts w:ascii="Times New Roman;Times;Serif" w:hAnsi="Times New Roman;Times;Serif"/>
          <w:b w:val="false"/>
          <w:i w:val="false"/>
          <w:caps w:val="false"/>
          <w:smallCaps w:val="false"/>
          <w:sz w:val="20"/>
          <w:shd w:fill="FFFFFF" w:val="clear"/>
        </w:rPr>
        <w:t>$</w:t>
      </w:r>
      <w:bookmarkStart w:id="519" w:name="xdx_90D_eus-gaap--ContractWithCustomerLi"/>
      <w:bookmarkEnd w:id="519"/>
      <w:r>
        <w:rPr>
          <w:rFonts w:ascii="Times New Roman;Times;Serif" w:hAnsi="Times New Roman;Times;Serif"/>
          <w:b w:val="false"/>
          <w:i w:val="false"/>
          <w:caps w:val="false"/>
          <w:smallCaps w:val="false"/>
          <w:sz w:val="20"/>
          <w:shd w:fill="FFFFFF" w:val="clear"/>
        </w:rPr>
        <w:t>3,868</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4_eus-gaap--ContractWithCustomerAs"/>
      <w:bookmarkEnd w:id="520"/>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caps w:val="false"/>
          <w:smallCaps w:val="false"/>
        </w:rPr>
      </w:pPr>
      <w:r>
        <w:rPr>
          <w:caps w:val="false"/>
          <w:smallCaps w:val="false"/>
        </w:rPr>
        <w:t> </w:t>
      </w:r>
      <w:bookmarkStart w:id="521" w:name="xdx_8B4_zOqC6bc6Nbw"/>
      <w:bookmarkEnd w:id="521"/>
      <w:r>
        <w:rPr>
          <w:rFonts w:ascii="Times New Roman;Times;Serif" w:hAnsi="Times New Roman;Times;Serif"/>
          <w:b w:val="false"/>
          <w:i w:val="false"/>
          <w:caps w:val="false"/>
          <w:smallCaps w:val="false"/>
          <w:sz w:val="20"/>
        </w:rPr>
        <w:t>Summary of Changes in Total Deferred Revenue</w:t>
      </w:r>
    </w:p>
    <w:tbl>
      <w:tblPr>
        <w:tblW w:w="10205" w:type="dxa"/>
        <w:jc w:val="left"/>
        <w:tblInd w:w="0" w:type="dxa"/>
        <w:tblLayout w:type="fixed"/>
        <w:tblCellMar>
          <w:top w:w="0" w:type="dxa"/>
          <w:left w:w="0" w:type="dxa"/>
          <w:bottom w:w="0" w:type="dxa"/>
          <w:right w:w="0" w:type="dxa"/>
        </w:tblCellMar>
      </w:tblPr>
      <w:tblGrid>
        <w:gridCol w:w="5882"/>
        <w:gridCol w:w="60"/>
        <w:gridCol w:w="378"/>
        <w:gridCol w:w="1728"/>
        <w:gridCol w:w="95"/>
        <w:gridCol w:w="60"/>
        <w:gridCol w:w="343"/>
        <w:gridCol w:w="1546"/>
        <w:gridCol w:w="113"/>
      </w:tblGrid>
      <w:tr>
        <w:trPr/>
        <w:tc>
          <w:tcPr>
            <w:tcW w:w="58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22" w:name="xdx_49F_20260101__20260331_zYWAda8QFR3k"/>
            <w:bookmarkEnd w:id="522"/>
          </w:p>
        </w:tc>
        <w:tc>
          <w:tcPr>
            <w:tcW w:w="2106" w:type="dxa"/>
            <w:gridSpan w:val="2"/>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D_20250101__20251231_z9CkTCHlrDx3"/>
            <w:bookmarkEnd w:id="523"/>
          </w:p>
        </w:tc>
        <w:tc>
          <w:tcPr>
            <w:tcW w:w="1889" w:type="dxa"/>
            <w:gridSpan w:val="2"/>
            <w:tcBorders/>
            <w:vAlign w:val="center"/>
          </w:tcPr>
          <w:p>
            <w:pPr>
              <w:pStyle w:val="TableContents"/>
              <w:bidi w:val="0"/>
              <w:spacing w:before="0" w:after="283"/>
              <w:jc w:val="center"/>
              <w:rPr>
                <w:b/>
              </w:rPr>
            </w:pPr>
            <w:r>
              <w:rPr>
                <w:b/>
              </w:rPr>
              <w:t>Year Ended</w:t>
            </w:r>
          </w:p>
        </w:tc>
        <w:tc>
          <w:tcPr>
            <w:tcW w:w="113" w:type="dxa"/>
            <w:tcBorders/>
            <w:vAlign w:val="center"/>
          </w:tcPr>
          <w:p>
            <w:pPr>
              <w:pStyle w:val="TableContents"/>
              <w:bidi w:val="0"/>
              <w:spacing w:before="0" w:after="283"/>
              <w:jc w:val="left"/>
              <w:rPr/>
            </w:pPr>
            <w:r>
              <w:rPr/>
              <w:t> </w:t>
            </w:r>
          </w:p>
        </w:tc>
      </w:tr>
      <w:tr>
        <w:trPr/>
        <w:tc>
          <w:tcPr>
            <w:tcW w:w="5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bookmarkStart w:id="524" w:name="xdx_40C_eus-gaap--ContractWithCustomerLi"/>
            <w:bookmarkEnd w:id="524"/>
          </w:p>
        </w:tc>
      </w:tr>
      <w:tr>
        <w:trPr/>
        <w:tc>
          <w:tcPr>
            <w:tcW w:w="5882" w:type="dxa"/>
            <w:tcBorders/>
            <w:shd w:fill="CCEEFF" w:val="clear"/>
            <w:vAlign w:val="center"/>
          </w:tcPr>
          <w:p>
            <w:pPr>
              <w:pStyle w:val="TableContents"/>
              <w:bidi w:val="0"/>
              <w:spacing w:before="0" w:after="283"/>
              <w:jc w:val="left"/>
              <w:rPr/>
            </w:pPr>
            <w:r>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546" w:type="dxa"/>
            <w:tcBorders/>
            <w:shd w:fill="CCEEFF" w:val="clear"/>
            <w:vAlign w:val="center"/>
          </w:tcPr>
          <w:p>
            <w:pPr>
              <w:pStyle w:val="TableContents"/>
              <w:bidi w:val="0"/>
              <w:spacing w:before="0" w:after="283"/>
              <w:jc w:val="right"/>
              <w:rPr/>
            </w:pPr>
            <w:r>
              <w:rPr/>
              <w:t>4,052</w:t>
            </w:r>
          </w:p>
        </w:tc>
        <w:tc>
          <w:tcPr>
            <w:tcW w:w="113" w:type="dxa"/>
            <w:tcBorders/>
            <w:shd w:fill="CCEEFF" w:val="clear"/>
            <w:vAlign w:val="center"/>
          </w:tcPr>
          <w:p>
            <w:pPr>
              <w:pStyle w:val="TableContents"/>
              <w:bidi w:val="0"/>
              <w:spacing w:before="0" w:after="283"/>
              <w:jc w:val="left"/>
              <w:rPr/>
            </w:pPr>
            <w:r>
              <w:rPr/>
              <w:t> </w:t>
            </w:r>
            <w:bookmarkStart w:id="525" w:name="xdx_40E_ecustom--ContractWithCustomerLia"/>
            <w:bookmarkEnd w:id="525"/>
          </w:p>
        </w:tc>
      </w:tr>
      <w:tr>
        <w:trPr/>
        <w:tc>
          <w:tcPr>
            <w:tcW w:w="5882" w:type="dxa"/>
            <w:tcBorders/>
            <w:shd w:fill="FFFFFF" w:val="clear"/>
            <w:vAlign w:val="center"/>
          </w:tcPr>
          <w:p>
            <w:pPr>
              <w:pStyle w:val="TableContents"/>
              <w:bidi w:val="0"/>
              <w:spacing w:before="0" w:after="283"/>
              <w:jc w:val="left"/>
              <w:rPr/>
            </w:pPr>
            <w:r>
              <w:rPr/>
              <w:t>Billings</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2,624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9,487</w:t>
            </w:r>
          </w:p>
        </w:tc>
        <w:tc>
          <w:tcPr>
            <w:tcW w:w="113" w:type="dxa"/>
            <w:tcBorders/>
            <w:shd w:fill="FFFFFF" w:val="clear"/>
            <w:vAlign w:val="center"/>
          </w:tcPr>
          <w:p>
            <w:pPr>
              <w:pStyle w:val="TableContents"/>
              <w:bidi w:val="0"/>
              <w:spacing w:before="0" w:after="283"/>
              <w:jc w:val="left"/>
              <w:rPr/>
            </w:pPr>
            <w:r>
              <w:rPr/>
              <w:t> </w:t>
            </w:r>
            <w:bookmarkStart w:id="526" w:name="xdx_401_ecustom--ContractWithCustomerLia"/>
            <w:bookmarkEnd w:id="526"/>
          </w:p>
        </w:tc>
      </w:tr>
      <w:tr>
        <w:trPr/>
        <w:tc>
          <w:tcPr>
            <w:tcW w:w="5882" w:type="dxa"/>
            <w:tcBorders/>
            <w:shd w:fill="CCEEFF" w:val="clear"/>
            <w:vAlign w:val="center"/>
          </w:tcPr>
          <w:p>
            <w:pPr>
              <w:pStyle w:val="TableContents"/>
              <w:bidi w:val="0"/>
              <w:spacing w:before="0" w:after="283"/>
              <w:jc w:val="left"/>
              <w:rPr/>
            </w:pPr>
            <w:r>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(1,658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(3,868</w:t>
            </w:r>
          </w:p>
        </w:tc>
        <w:tc>
          <w:tcPr>
            <w:tcW w:w="113" w:type="dxa"/>
            <w:tcBorders/>
            <w:shd w:fill="CCEEFF" w:val="clear"/>
            <w:vAlign w:val="center"/>
          </w:tcPr>
          <w:p>
            <w:pPr>
              <w:pStyle w:val="TableContents"/>
              <w:bidi w:val="0"/>
              <w:spacing w:before="0" w:after="283"/>
              <w:jc w:val="left"/>
              <w:rPr/>
            </w:pPr>
            <w:r>
              <w:rPr/>
              <w:t>)</w:t>
            </w:r>
            <w:bookmarkStart w:id="527" w:name="xdx_403_ecustom--ContractWithCustomerLia"/>
            <w:bookmarkEnd w:id="527"/>
          </w:p>
        </w:tc>
      </w:tr>
      <w:tr>
        <w:trPr/>
        <w:tc>
          <w:tcPr>
            <w:tcW w:w="5882" w:type="dxa"/>
            <w:tcBorders/>
            <w:shd w:fill="FFFFFF" w:val="clear"/>
            <w:vAlign w:val="center"/>
          </w:tcPr>
          <w:p>
            <w:pPr>
              <w:pStyle w:val="TableContents"/>
              <w:bidi w:val="0"/>
              <w:spacing w:before="0" w:after="283"/>
              <w:jc w:val="left"/>
              <w:rPr/>
            </w:pPr>
            <w:r>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(6,383</w:t>
            </w:r>
          </w:p>
        </w:tc>
        <w:tc>
          <w:tcPr>
            <w:tcW w:w="113" w:type="dxa"/>
            <w:tcBorders/>
            <w:shd w:fill="FFFFFF" w:val="clear"/>
            <w:vAlign w:val="center"/>
          </w:tcPr>
          <w:p>
            <w:pPr>
              <w:pStyle w:val="TableContents"/>
              <w:bidi w:val="0"/>
              <w:spacing w:before="0" w:after="283"/>
              <w:jc w:val="left"/>
              <w:rPr/>
            </w:pPr>
            <w:r>
              <w:rPr/>
              <w:t>)</w:t>
            </w:r>
            <w:bookmarkStart w:id="528" w:name="xdx_400_eus-gaap--ContractWithCustomerLi"/>
            <w:bookmarkEnd w:id="528"/>
          </w:p>
        </w:tc>
      </w:tr>
      <w:tr>
        <w:trPr/>
        <w:tc>
          <w:tcPr>
            <w:tcW w:w="5882" w:type="dxa"/>
            <w:tcBorders/>
            <w:shd w:fill="CCEEFF" w:val="clear"/>
            <w:vAlign w:val="center"/>
          </w:tcPr>
          <w:p>
            <w:pPr>
              <w:pStyle w:val="TableContents"/>
              <w:bidi w:val="0"/>
              <w:spacing w:before="0" w:after="283"/>
              <w:jc w:val="left"/>
              <w:rPr/>
            </w:pPr>
            <w:r>
              <w:rPr/>
              <w:t>Acquired deferred revenue of Vidello (see Note 4 – Acquisitions)</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pPr>
            <w:r>
              <w:rPr/>
              <w:t>448</w:t>
            </w:r>
          </w:p>
        </w:tc>
        <w:tc>
          <w:tcPr>
            <w:tcW w:w="113" w:type="dxa"/>
            <w:tcBorders/>
            <w:shd w:fill="CCEEFF" w:val="clear"/>
            <w:vAlign w:val="center"/>
          </w:tcPr>
          <w:p>
            <w:pPr>
              <w:pStyle w:val="TableContents"/>
              <w:bidi w:val="0"/>
              <w:spacing w:before="0" w:after="283"/>
              <w:jc w:val="left"/>
              <w:rPr/>
            </w:pPr>
            <w:r>
              <w:rPr/>
              <w:t> </w:t>
            </w:r>
            <w:bookmarkStart w:id="529" w:name="xdx_404_eus-gaap--ContractWithCustomerLi"/>
            <w:bookmarkEnd w:id="529"/>
          </w:p>
        </w:tc>
      </w:tr>
      <w:tr>
        <w:trPr/>
        <w:tc>
          <w:tcPr>
            <w:tcW w:w="5882" w:type="dxa"/>
            <w:tcBorders/>
            <w:shd w:fill="FFFFFF" w:val="clear"/>
            <w:vAlign w:val="center"/>
          </w:tcPr>
          <w:p>
            <w:pPr>
              <w:pStyle w:val="TableContents"/>
              <w:bidi w:val="0"/>
              <w:spacing w:before="0" w:after="283"/>
              <w:jc w:val="left"/>
              <w:rPr/>
            </w:pPr>
            <w:r>
              <w:rPr/>
              <w:t>Total deferred revenue, end of period</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8" w:type="dxa"/>
            <w:tcBorders>
              <w:bottom w:val="double" w:sz="6" w:space="0" w:color="000000"/>
            </w:tcBorders>
            <w:shd w:fill="FFFFFF" w:val="clear"/>
            <w:tcMar>
              <w:bottom w:w="28" w:type="dxa"/>
            </w:tcMar>
            <w:vAlign w:val="center"/>
          </w:tcPr>
          <w:p>
            <w:pPr>
              <w:pStyle w:val="TableContents"/>
              <w:bidi w:val="0"/>
              <w:spacing w:before="0" w:after="283"/>
              <w:jc w:val="right"/>
              <w:rPr/>
            </w:pPr>
            <w:r>
              <w:rPr/>
              <w:t>3,664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6" w:type="dxa"/>
            <w:tcBorders>
              <w:bottom w:val="double" w:sz="6" w:space="0" w:color="000000"/>
            </w:tcBorders>
            <w:shd w:fill="FFFFFF" w:val="clear"/>
            <w:tcMar>
              <w:bottom w:w="28" w:type="dxa"/>
            </w:tcMar>
            <w:vAlign w:val="center"/>
          </w:tcPr>
          <w:p>
            <w:pPr>
              <w:pStyle w:val="TableContents"/>
              <w:bidi w:val="0"/>
              <w:spacing w:before="0" w:after="283"/>
              <w:jc w:val="right"/>
              <w:rPr/>
            </w:pPr>
            <w:r>
              <w:rPr/>
              <w:t>3,736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0" w:name="xdx_8A3_zfdBuvLtc8J2"/>
      <w:bookmarkEnd w:id="53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1" w:name="xdx_809_eus-gaap--FairValueDisclosuresTe"/>
      <w:bookmarkEnd w:id="531"/>
      <w:r>
        <w:rPr>
          <w:rFonts w:ascii="Times New Roman;Times;Serif" w:hAnsi="Times New Roman;Times;Serif"/>
          <w:b/>
          <w:i w:val="false"/>
          <w:caps w:val="false"/>
          <w:smallCaps w:val="false"/>
          <w:sz w:val="20"/>
        </w:rPr>
        <w:t xml:space="preserve">7. </w:t>
      </w:r>
      <w:bookmarkStart w:id="532" w:name="xdx_821_z6msFBVTSNt5"/>
      <w:bookmarkEnd w:id="532"/>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3" w:name="xdx_89D_eus-gaap--FairValueAssetsAndLiab"/>
      <w:bookmarkEnd w:id="533"/>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bookmarkStart w:id="534" w:name="xdx_8BE_ze0uaB9wcWwl"/>
      <w:bookmarkEnd w:id="534"/>
      <w:r>
        <w:rPr>
          <w:rFonts w:ascii="Times New Roman;Times;Serif" w:hAnsi="Times New Roman;Times;Serif"/>
          <w:b w:val="false"/>
          <w:i w:val="false"/>
          <w:caps w:val="false"/>
          <w:smallCaps w:val="false"/>
          <w:sz w:val="20"/>
        </w:rPr>
        <w:t>Schedule of Fair Value on Recurring Basis</w:t>
      </w:r>
    </w:p>
    <w:tbl>
      <w:tblPr>
        <w:tblW w:w="9738" w:type="dxa"/>
        <w:jc w:val="left"/>
        <w:tblInd w:w="0" w:type="dxa"/>
        <w:tblLayout w:type="fixed"/>
        <w:tblCellMar>
          <w:top w:w="0" w:type="dxa"/>
          <w:left w:w="0" w:type="dxa"/>
          <w:bottom w:w="0" w:type="dxa"/>
          <w:right w:w="0" w:type="dxa"/>
        </w:tblCellMar>
      </w:tblPr>
      <w:tblGrid>
        <w:gridCol w:w="5225"/>
        <w:gridCol w:w="60"/>
        <w:gridCol w:w="172"/>
        <w:gridCol w:w="403"/>
        <w:gridCol w:w="60"/>
        <w:gridCol w:w="60"/>
        <w:gridCol w:w="274"/>
        <w:gridCol w:w="1335"/>
        <w:gridCol w:w="60"/>
        <w:gridCol w:w="60"/>
        <w:gridCol w:w="333"/>
        <w:gridCol w:w="1621"/>
        <w:gridCol w:w="75"/>
      </w:tblGrid>
      <w:tr>
        <w:trPr/>
        <w:tc>
          <w:tcPr>
            <w:tcW w:w="5225" w:type="dxa"/>
            <w:tcBorders/>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7_20260331_zgsfjPUf0PIe"/>
            <w:bookmarkEnd w:id="535"/>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6" w:name="xdx_49A_20251231_z2dd8REDZ7N8"/>
            <w:bookmarkEnd w:id="536"/>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537" w:name="xdx_40F_eus-gaap--AssetsAbstract_iB_z8q1"/>
            <w:bookmarkEnd w:id="537"/>
          </w:p>
        </w:tc>
      </w:tr>
      <w:tr>
        <w:trPr/>
        <w:tc>
          <w:tcPr>
            <w:tcW w:w="5225"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38" w:name="xdx_40E_eus-gaap--EmbeddedDerivativeFair"/>
            <w:bookmarkEnd w:id="538"/>
          </w:p>
        </w:tc>
      </w:tr>
      <w:tr>
        <w:trPr/>
        <w:tc>
          <w:tcPr>
            <w:tcW w:w="522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539" w:name="xdx_408_ecustom--DefiniteLivedIntangible"/>
            <w:bookmarkEnd w:id="539"/>
          </w:p>
        </w:tc>
      </w:tr>
      <w:tr>
        <w:trPr/>
        <w:tc>
          <w:tcPr>
            <w:tcW w:w="5225" w:type="dxa"/>
            <w:tcBorders/>
            <w:shd w:fill="CCEEFF" w:val="clear"/>
            <w:vAlign w:val="center"/>
          </w:tcPr>
          <w:p>
            <w:pPr>
              <w:pStyle w:val="TableContents"/>
              <w:bidi w:val="0"/>
              <w:spacing w:before="0" w:after="283"/>
              <w:jc w:val="left"/>
              <w:rPr/>
            </w:pPr>
            <w:r>
              <w:rPr/>
              <w:t>Definite-lived intangibles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7,737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8,027</w:t>
            </w:r>
          </w:p>
        </w:tc>
        <w:tc>
          <w:tcPr>
            <w:tcW w:w="75" w:type="dxa"/>
            <w:tcBorders/>
            <w:shd w:fill="CCEEFF" w:val="clear"/>
            <w:vAlign w:val="center"/>
          </w:tcPr>
          <w:p>
            <w:pPr>
              <w:pStyle w:val="TableContents"/>
              <w:bidi w:val="0"/>
              <w:spacing w:before="0" w:after="283"/>
              <w:jc w:val="left"/>
              <w:rPr/>
            </w:pPr>
            <w:r>
              <w:rPr/>
              <w:t> </w:t>
            </w:r>
            <w:bookmarkStart w:id="540" w:name="xdx_400_eus-gaap--Goodwill_i01I_pn3n3_hu"/>
            <w:bookmarkEnd w:id="540"/>
          </w:p>
        </w:tc>
      </w:tr>
      <w:tr>
        <w:trPr/>
        <w:tc>
          <w:tcPr>
            <w:tcW w:w="522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21,992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bookmarkStart w:id="541" w:name="xdx_401_eus-gaap--LiabilitiesAbstract_iB"/>
            <w:bookmarkEnd w:id="541"/>
          </w:p>
        </w:tc>
      </w:tr>
      <w:tr>
        <w:trPr/>
        <w:tc>
          <w:tcPr>
            <w:tcW w:w="522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2" w:name="xdx_403_ecustom--WarrantLiabilitiesPubli"/>
            <w:bookmarkEnd w:id="542"/>
          </w:p>
        </w:tc>
      </w:tr>
      <w:tr>
        <w:trPr/>
        <w:tc>
          <w:tcPr>
            <w:tcW w:w="5225" w:type="dxa"/>
            <w:tcBorders/>
            <w:shd w:fill="FFFFFF" w:val="clear"/>
            <w:vAlign w:val="center"/>
          </w:tcPr>
          <w:p>
            <w:pPr>
              <w:pStyle w:val="TableContents"/>
              <w:bidi w:val="0"/>
              <w:spacing w:before="0" w:after="283"/>
              <w:jc w:val="left"/>
              <w:rPr/>
            </w:pPr>
            <w:r>
              <w:rPr/>
              <w:t>Warrant liabilities – public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43" w:name="xdx_40B_ecustom--GEMWarrantLiabilities_i"/>
            <w:bookmarkEnd w:id="543"/>
          </w:p>
        </w:tc>
      </w:tr>
      <w:tr>
        <w:trPr/>
        <w:tc>
          <w:tcPr>
            <w:tcW w:w="5225" w:type="dxa"/>
            <w:tcBorders/>
            <w:shd w:fill="CCEEFF" w:val="clear"/>
            <w:vAlign w:val="center"/>
          </w:tcPr>
          <w:p>
            <w:pPr>
              <w:pStyle w:val="TableContents"/>
              <w:bidi w:val="0"/>
              <w:spacing w:before="0" w:after="283"/>
              <w:jc w:val="left"/>
              <w:rPr/>
            </w:pPr>
            <w:r>
              <w:rPr/>
              <w:t>GEM warrant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4" w:name="xdx_409_ecustom--EarnoutLiabilityCurrent"/>
            <w:bookmarkEnd w:id="544"/>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991</w:t>
            </w:r>
          </w:p>
        </w:tc>
        <w:tc>
          <w:tcPr>
            <w:tcW w:w="75" w:type="dxa"/>
            <w:tcBorders/>
            <w:shd w:fill="FFFFFF" w:val="clear"/>
            <w:vAlign w:val="center"/>
          </w:tcPr>
          <w:p>
            <w:pPr>
              <w:pStyle w:val="TableContents"/>
              <w:bidi w:val="0"/>
              <w:spacing w:before="0" w:after="283"/>
              <w:jc w:val="left"/>
              <w:rPr/>
            </w:pPr>
            <w:r>
              <w:rPr/>
              <w:t> </w:t>
            </w:r>
            <w:bookmarkStart w:id="545" w:name="xdx_401_eus-gaap--ConvertibleDebt_i01I_p"/>
            <w:bookmarkEnd w:id="545"/>
          </w:p>
        </w:tc>
      </w:tr>
      <w:tr>
        <w:trPr/>
        <w:tc>
          <w:tcPr>
            <w:tcW w:w="5225" w:type="dxa"/>
            <w:tcBorders/>
            <w:shd w:fill="CCEEFF" w:val="clear"/>
            <w:vAlign w:val="center"/>
          </w:tcPr>
          <w:p>
            <w:pPr>
              <w:pStyle w:val="TableContents"/>
              <w:bidi w:val="0"/>
              <w:spacing w:before="0" w:after="283"/>
              <w:jc w:val="left"/>
              <w:rPr/>
            </w:pPr>
            <w:r>
              <w:rPr/>
              <w:t>Yorkville convertible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1,200</w:t>
            </w:r>
          </w:p>
        </w:tc>
        <w:tc>
          <w:tcPr>
            <w:tcW w:w="75" w:type="dxa"/>
            <w:tcBorders/>
            <w:shd w:fill="CCEEFF" w:val="clear"/>
            <w:vAlign w:val="center"/>
          </w:tcPr>
          <w:p>
            <w:pPr>
              <w:pStyle w:val="TableContents"/>
              <w:bidi w:val="0"/>
              <w:spacing w:before="0" w:after="283"/>
              <w:jc w:val="left"/>
              <w:rPr/>
            </w:pPr>
            <w:r>
              <w:rPr/>
              <w:t> </w:t>
            </w:r>
            <w:bookmarkStart w:id="546" w:name="xdx_407_eus-gaap--NotesPayable_i01I_pn3n"/>
            <w:bookmarkEnd w:id="546"/>
          </w:p>
        </w:tc>
      </w:tr>
      <w:tr>
        <w:trPr/>
        <w:tc>
          <w:tcPr>
            <w:tcW w:w="5225" w:type="dxa"/>
            <w:tcBorders/>
            <w:shd w:fill="FFFFFF" w:val="clear"/>
            <w:vAlign w:val="center"/>
          </w:tcPr>
          <w:p>
            <w:pPr>
              <w:pStyle w:val="TableContents"/>
              <w:bidi w:val="0"/>
              <w:spacing w:before="0" w:after="283"/>
              <w:jc w:val="left"/>
              <w:rPr/>
            </w:pPr>
            <w:r>
              <w:rPr/>
              <w:t>Agile term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1,728</w:t>
            </w:r>
          </w:p>
        </w:tc>
        <w:tc>
          <w:tcPr>
            <w:tcW w:w="75" w:type="dxa"/>
            <w:tcBorders/>
            <w:shd w:fill="FFFFFF" w:val="clear"/>
            <w:vAlign w:val="center"/>
          </w:tcPr>
          <w:p>
            <w:pPr>
              <w:pStyle w:val="TableContents"/>
              <w:bidi w:val="0"/>
              <w:spacing w:before="0" w:after="283"/>
              <w:jc w:val="left"/>
              <w:rPr/>
            </w:pPr>
            <w:r>
              <w:rPr/>
              <w:t> </w:t>
            </w:r>
            <w:bookmarkStart w:id="547" w:name="xdx_409_eus-gaap--ConvertibleNotesPayabl"/>
            <w:bookmarkEnd w:id="547"/>
          </w:p>
        </w:tc>
      </w:tr>
      <w:tr>
        <w:trPr/>
        <w:tc>
          <w:tcPr>
            <w:tcW w:w="5225" w:type="dxa"/>
            <w:tcBorders/>
            <w:shd w:fill="CCEEFF" w:val="clear"/>
            <w:vAlign w:val="center"/>
          </w:tcPr>
          <w:p>
            <w:pPr>
              <w:pStyle w:val="TableContents"/>
              <w:bidi w:val="0"/>
              <w:spacing w:before="0" w:after="283"/>
              <w:jc w:val="left"/>
              <w:rPr/>
            </w:pPr>
            <w:r>
              <w:rPr/>
              <w:t>1800 Diagonal convertible notes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747</w:t>
            </w:r>
          </w:p>
        </w:tc>
        <w:tc>
          <w:tcPr>
            <w:tcW w:w="75" w:type="dxa"/>
            <w:tcBorders/>
            <w:shd w:fill="CCEEFF" w:val="clear"/>
            <w:vAlign w:val="center"/>
          </w:tcPr>
          <w:p>
            <w:pPr>
              <w:pStyle w:val="TableContents"/>
              <w:bidi w:val="0"/>
              <w:spacing w:before="0" w:after="283"/>
              <w:jc w:val="left"/>
              <w:rPr/>
            </w:pPr>
            <w:r>
              <w:rPr/>
              <w:t> </w:t>
            </w:r>
            <w:bookmarkStart w:id="548" w:name="xdx_409_eus-gaap--ConvertibleDebtFairVal"/>
            <w:bookmarkEnd w:id="548"/>
          </w:p>
        </w:tc>
      </w:tr>
      <w:tr>
        <w:trPr/>
        <w:tc>
          <w:tcPr>
            <w:tcW w:w="5225" w:type="dxa"/>
            <w:tcBorders/>
            <w:shd w:fill="FFFFFF" w:val="clear"/>
            <w:vAlign w:val="center"/>
          </w:tcPr>
          <w:p>
            <w:pPr>
              <w:pStyle w:val="TableContents"/>
              <w:bidi w:val="0"/>
              <w:spacing w:before="0" w:after="283"/>
              <w:jc w:val="left"/>
              <w:rPr/>
            </w:pPr>
            <w:r>
              <w:rPr/>
              <w:t>Private Placement Convertible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1,856</w:t>
            </w:r>
          </w:p>
        </w:tc>
        <w:tc>
          <w:tcPr>
            <w:tcW w:w="75" w:type="dxa"/>
            <w:tcBorders/>
            <w:shd w:fill="FFFFFF" w:val="clear"/>
            <w:vAlign w:val="center"/>
          </w:tcPr>
          <w:p>
            <w:pPr>
              <w:pStyle w:val="TableContents"/>
              <w:bidi w:val="0"/>
              <w:spacing w:before="0" w:after="283"/>
              <w:jc w:val="left"/>
              <w:rPr/>
            </w:pPr>
            <w:r>
              <w:rPr/>
              <w:t> </w:t>
            </w:r>
            <w:bookmarkStart w:id="549" w:name="xdx_404_ecustom--PrivatePlacementWarrant"/>
            <w:bookmarkEnd w:id="549"/>
          </w:p>
        </w:tc>
      </w:tr>
      <w:tr>
        <w:trPr/>
        <w:tc>
          <w:tcPr>
            <w:tcW w:w="5225"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bookmarkStart w:id="550" w:name="xdx_406_eus-gaap--EmbeddedDerivativeFair"/>
            <w:bookmarkEnd w:id="550"/>
          </w:p>
        </w:tc>
      </w:tr>
      <w:tr>
        <w:trPr/>
        <w:tc>
          <w:tcPr>
            <w:tcW w:w="5225" w:type="dxa"/>
            <w:tcBorders/>
            <w:shd w:fill="FFFFFF" w:val="clear"/>
            <w:vAlign w:val="center"/>
          </w:tcPr>
          <w:p>
            <w:pPr>
              <w:pStyle w:val="TableContents"/>
              <w:bidi w:val="0"/>
              <w:spacing w:before="0" w:after="283"/>
              <w:jc w:val="left"/>
              <w:rPr/>
            </w:pPr>
            <w:r>
              <w:rPr/>
              <w:t>Bifurcated embedded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551" w:name="xdx_40A_ecustom--BootCapitalNote_i01I_pn"/>
            <w:bookmarkEnd w:id="551"/>
          </w:p>
        </w:tc>
      </w:tr>
      <w:tr>
        <w:trPr/>
        <w:tc>
          <w:tcPr>
            <w:tcW w:w="5225" w:type="dxa"/>
            <w:tcBorders/>
            <w:shd w:fill="CCEEFF" w:val="clear"/>
            <w:vAlign w:val="center"/>
          </w:tcPr>
          <w:p>
            <w:pPr>
              <w:pStyle w:val="TableContents"/>
              <w:bidi w:val="0"/>
              <w:spacing w:before="0" w:after="283"/>
              <w:jc w:val="left"/>
              <w:rPr/>
            </w:pPr>
            <w:r>
              <w:rPr/>
              <w:t>Boot Capital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2" w:name="xdx_8A8_zxu59jQZTIu7"/>
      <w:bookmarkEnd w:id="5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3" w:name="xdx_892_ecustom--SummaryOfChangesInTheFa"/>
      <w:bookmarkEnd w:id="553"/>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March 31, 2026.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bookmarkStart w:id="554" w:name="xdx_8BE_z4rBCKohDEZ2"/>
      <w:bookmarkEnd w:id="554"/>
      <w:r>
        <w:rPr>
          <w:rFonts w:ascii="Times New Roman;Times;Serif" w:hAnsi="Times New Roman;Times;Serif"/>
          <w:b w:val="false"/>
          <w:i w:val="false"/>
          <w:caps w:val="false"/>
          <w:smallCaps w:val="false"/>
          <w:sz w:val="20"/>
        </w:rPr>
        <w:t>Summary of Changes in the Fair Value of the Warrants Liability</w:t>
      </w:r>
    </w:p>
    <w:tbl>
      <w:tblPr>
        <w:tblW w:w="4809" w:type="dxa"/>
        <w:jc w:val="left"/>
        <w:tblInd w:w="0" w:type="dxa"/>
        <w:tblLayout w:type="fixed"/>
        <w:tblCellMar>
          <w:top w:w="0" w:type="dxa"/>
          <w:left w:w="0" w:type="dxa"/>
          <w:bottom w:w="0" w:type="dxa"/>
          <w:right w:w="0" w:type="dxa"/>
        </w:tblCellMar>
      </w:tblPr>
      <w:tblGrid>
        <w:gridCol w:w="2960"/>
        <w:gridCol w:w="60"/>
        <w:gridCol w:w="599"/>
        <w:gridCol w:w="1115"/>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 Warrants</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w:t>
            </w:r>
            <w:bookmarkStart w:id="555" w:name="xdx_982_ecustom--PublicWarrantsLiability"/>
            <w:bookmarkEnd w:id="555"/>
          </w:p>
        </w:tc>
        <w:tc>
          <w:tcPr>
            <w:tcW w:w="11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6" w:name="xdx_985_ecustom--ChangeInFairValueOfPubl"/>
            <w:bookmarkEnd w:id="556"/>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7" w:name="xdx_983_ecustom--PublicWarrantsLiability"/>
            <w:bookmarkEnd w:id="557"/>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8" w:name="xdx_8AD_zerItYZDeJJ2"/>
      <w:bookmarkEnd w:id="55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9" w:name="xdx_89E_ecustom--SummaryOfChangesInTheFa"/>
      <w:bookmarkEnd w:id="559"/>
      <w:r>
        <w:rPr>
          <w:rFonts w:ascii="Times New Roman;Times;Serif" w:hAnsi="Times New Roman;Times;Serif"/>
          <w:b w:val="false"/>
          <w:i w:val="false"/>
          <w:caps w:val="false"/>
          <w:smallCaps w:val="false"/>
          <w:sz w:val="20"/>
        </w:rPr>
        <w:t>The following table summarizes the changes in the fair value of the GEM Warrants liability for the year ended March 31, 2026:</w:t>
      </w:r>
    </w:p>
    <w:p>
      <w:pPr>
        <w:pStyle w:val="TextBody"/>
        <w:bidi w:val="0"/>
        <w:spacing w:before="0" w:after="0"/>
        <w:ind w:left="0" w:right="0" w:hanging="0"/>
        <w:jc w:val="both"/>
        <w:rPr>
          <w:caps w:val="false"/>
          <w:smallCaps w:val="false"/>
        </w:rPr>
      </w:pPr>
      <w:r>
        <w:rPr>
          <w:caps w:val="false"/>
          <w:smallCaps w:val="false"/>
        </w:rPr>
        <w:t> </w:t>
      </w:r>
      <w:bookmarkStart w:id="560" w:name="xdx_8B4_z55mXZ1qOaQb"/>
      <w:bookmarkEnd w:id="560"/>
      <w:r>
        <w:rPr>
          <w:rFonts w:ascii="Times New Roman;Times;Serif" w:hAnsi="Times New Roman;Times;Serif"/>
          <w:b w:val="false"/>
          <w:i w:val="false"/>
          <w:caps w:val="false"/>
          <w:smallCaps w:val="false"/>
          <w:sz w:val="20"/>
        </w:rPr>
        <w:t>Summary of Changes in the Fair Value of the Warrants Liability</w:t>
      </w:r>
    </w:p>
    <w:tbl>
      <w:tblPr>
        <w:tblW w:w="4590" w:type="dxa"/>
        <w:jc w:val="left"/>
        <w:tblInd w:w="0" w:type="dxa"/>
        <w:tblLayout w:type="fixed"/>
        <w:tblCellMar>
          <w:top w:w="0" w:type="dxa"/>
          <w:left w:w="0" w:type="dxa"/>
          <w:bottom w:w="0" w:type="dxa"/>
          <w:right w:w="0" w:type="dxa"/>
        </w:tblCellMar>
      </w:tblPr>
      <w:tblGrid>
        <w:gridCol w:w="2960"/>
        <w:gridCol w:w="60"/>
        <w:gridCol w:w="140"/>
        <w:gridCol w:w="1355"/>
        <w:gridCol w:w="75"/>
      </w:tblGrid>
      <w:tr>
        <w:trPr/>
        <w:tc>
          <w:tcPr>
            <w:tcW w:w="29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GEM Warrants</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61" w:name="xdx_98C_ecustom--GemWarrantsLiability_iS"/>
            <w:bookmarkEnd w:id="561"/>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2" w:name="xdx_986_ecustom--ChangeInFairValueOfGemW"/>
            <w:bookmarkEnd w:id="562"/>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63" w:name="xdx_984_ecustom--GemWarrantsLiability_iE"/>
            <w:bookmarkEnd w:id="563"/>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4" w:name="xdx_8A2_zZLvVIl5gnQ1"/>
      <w:bookmarkEnd w:id="56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March 31, 2026:</w:t>
      </w:r>
    </w:p>
    <w:p>
      <w:pPr>
        <w:pStyle w:val="TextBody"/>
        <w:bidi w:val="0"/>
        <w:spacing w:before="0" w:after="0"/>
        <w:ind w:left="0" w:right="0" w:hanging="0"/>
        <w:jc w:val="both"/>
        <w:rPr>
          <w:caps w:val="false"/>
          <w:smallCaps w:val="false"/>
        </w:rPr>
      </w:pPr>
      <w:bookmarkStart w:id="565" w:name="xdx_89F_ecustom--SummaryOfChangesInFairV"/>
      <w:bookmarkEnd w:id="565"/>
      <w:r>
        <w:rPr>
          <w:caps w:val="false"/>
          <w:smallCaps w:val="false"/>
        </w:rPr>
        <w:t> </w:t>
      </w:r>
      <w:bookmarkStart w:id="566" w:name="xdx_8B1_zBrx22Vu3aR3"/>
      <w:bookmarkEnd w:id="566"/>
      <w:r>
        <w:rPr>
          <w:rFonts w:ascii="Times New Roman;Times;Serif" w:hAnsi="Times New Roman;Times;Serif"/>
          <w:b w:val="false"/>
          <w:i w:val="false"/>
          <w:caps w:val="false"/>
          <w:smallCaps w:val="false"/>
          <w:sz w:val="20"/>
        </w:rPr>
        <w:t>Summary of Changes in Fair Value of Yorkville Convertible Note</w:t>
      </w:r>
    </w:p>
    <w:tbl>
      <w:tblPr>
        <w:tblW w:w="6645" w:type="dxa"/>
        <w:jc w:val="left"/>
        <w:tblInd w:w="0" w:type="dxa"/>
        <w:tblLayout w:type="fixed"/>
        <w:tblCellMar>
          <w:top w:w="0" w:type="dxa"/>
          <w:left w:w="0" w:type="dxa"/>
          <w:bottom w:w="0" w:type="dxa"/>
          <w:right w:w="0" w:type="dxa"/>
        </w:tblCellMar>
      </w:tblPr>
      <w:tblGrid>
        <w:gridCol w:w="4715"/>
        <w:gridCol w:w="60"/>
        <w:gridCol w:w="352"/>
        <w:gridCol w:w="1408"/>
        <w:gridCol w:w="110"/>
      </w:tblGrid>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jc w:val="center"/>
              <w:rPr>
                <w:b/>
              </w:rPr>
            </w:pPr>
            <w:r>
              <w:rPr>
                <w:b/>
              </w:rPr>
              <w:t>Yorkville</w:t>
            </w:r>
          </w:p>
          <w:p>
            <w:pPr>
              <w:pStyle w:val="TableContents"/>
              <w:bidi w:val="0"/>
              <w:spacing w:before="0" w:after="283"/>
              <w:jc w:val="center"/>
              <w:rPr>
                <w:b/>
              </w:rPr>
            </w:pPr>
            <w:r>
              <w:rPr>
                <w:b/>
              </w:rPr>
              <w:t>Convertible Note</w:t>
            </w:r>
          </w:p>
        </w:tc>
        <w:tc>
          <w:tcPr>
            <w:tcW w:w="11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bookmarkStart w:id="567" w:name="xdx_98A_eus-gaap--ConvertibleDebt_iS_pn3"/>
            <w:bookmarkEnd w:id="567"/>
          </w:p>
        </w:tc>
        <w:tc>
          <w:tcPr>
            <w:tcW w:w="1408" w:type="dxa"/>
            <w:tcBorders/>
            <w:shd w:fill="CCEEFF" w:val="clear"/>
            <w:vAlign w:val="center"/>
          </w:tcPr>
          <w:p>
            <w:pPr>
              <w:pStyle w:val="TableContents"/>
              <w:bidi w:val="0"/>
              <w:spacing w:before="0" w:after="283"/>
              <w:jc w:val="right"/>
              <w:rPr/>
            </w:pPr>
            <w:r>
              <w:rPr/>
              <w:t>1,200</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Repayment in cash of Yorkville convertible notes</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bookmarkStart w:id="568" w:name="xdx_98E_eus-gaap--RepaymentsOfConvertibl"/>
            <w:bookmarkEnd w:id="568"/>
          </w:p>
        </w:tc>
        <w:tc>
          <w:tcPr>
            <w:tcW w:w="1408" w:type="dxa"/>
            <w:tcBorders/>
            <w:shd w:fill="FFFFFF" w:val="clear"/>
            <w:vAlign w:val="center"/>
          </w:tcPr>
          <w:p>
            <w:pPr>
              <w:pStyle w:val="TableContents"/>
              <w:bidi w:val="0"/>
              <w:spacing w:before="0" w:after="283"/>
              <w:jc w:val="right"/>
              <w:rPr/>
            </w:pPr>
            <w:r>
              <w:rPr/>
              <w:t>(647</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69" w:name="xdx_983_ecustom--ChangeInFairValueOfYork"/>
            <w:bookmarkEnd w:id="569"/>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70" w:name="xdx_980_eus-gaap--ConvertibleDebt_iE_pn3"/>
            <w:bookmarkEnd w:id="570"/>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571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1" w:name="xdx_8A2_zj0xgPB1tYj1"/>
      <w:bookmarkEnd w:id="57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(Liabilities)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w:t>
      </w:r>
      <w:bookmarkStart w:id="572" w:name="xdx_905_eus-gaap--DerivativeFairValueOfD"/>
      <w:bookmarkEnd w:id="572"/>
      <w:r>
        <w:rPr>
          <w:rFonts w:ascii="Times New Roman;Times;Serif" w:hAnsi="Times New Roman;Times;Serif"/>
          <w:b w:val="false"/>
          <w:i w:val="false"/>
          <w:caps w:val="false"/>
          <w:smallCaps w:val="false"/>
          <w:sz w:val="20"/>
        </w:rPr>
        <w:t>12. The fair value of the Derivative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3" w:name="xdx_893_ecustom--ScheduleOfDerivativeAss"/>
      <w:bookmarkEnd w:id="573"/>
      <w:r>
        <w:rPr>
          <w:rFonts w:ascii="Times New Roman;Times;Serif" w:hAnsi="Times New Roman;Times;Serif"/>
          <w:b w:val="false"/>
          <w:i w:val="false"/>
          <w:caps w:val="false"/>
          <w:smallCaps w:val="false"/>
          <w:sz w:val="20"/>
        </w:rPr>
        <w:t>The following table summarizes the changes in the fair value of the Derivative asset (liability) for the three months ended March 31, 2026,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bookmarkStart w:id="574" w:name="xdx_8B3_zJ7QGqFEnmKg"/>
      <w:bookmarkEnd w:id="574"/>
      <w:r>
        <w:rPr>
          <w:rFonts w:ascii="Times New Roman;Times;Serif" w:hAnsi="Times New Roman;Times;Serif"/>
          <w:b w:val="false"/>
          <w:i w:val="false"/>
          <w:caps w:val="false"/>
          <w:smallCaps w:val="false"/>
          <w:sz w:val="20"/>
        </w:rPr>
        <w:t>Schedule of Derivative Asset (Liability)</w:t>
      </w:r>
    </w:p>
    <w:tbl>
      <w:tblPr>
        <w:tblW w:w="10205" w:type="dxa"/>
        <w:jc w:val="left"/>
        <w:tblInd w:w="0" w:type="dxa"/>
        <w:tblLayout w:type="fixed"/>
        <w:tblCellMar>
          <w:top w:w="0" w:type="dxa"/>
          <w:left w:w="0" w:type="dxa"/>
          <w:bottom w:w="0" w:type="dxa"/>
          <w:right w:w="0" w:type="dxa"/>
        </w:tblCellMar>
      </w:tblPr>
      <w:tblGrid>
        <w:gridCol w:w="7453"/>
        <w:gridCol w:w="60"/>
        <w:gridCol w:w="760"/>
        <w:gridCol w:w="1821"/>
        <w:gridCol w:w="111"/>
      </w:tblGrid>
      <w:tr>
        <w:trPr/>
        <w:tc>
          <w:tcPr>
            <w:tcW w:w="74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Derivative Asset (Liability)</w:t>
            </w:r>
          </w:p>
        </w:tc>
        <w:tc>
          <w:tcPr>
            <w:tcW w:w="111" w:type="dxa"/>
            <w:tcBorders/>
            <w:vAlign w:val="center"/>
          </w:tcPr>
          <w:p>
            <w:pPr>
              <w:pStyle w:val="TableContents"/>
              <w:bidi w:val="0"/>
              <w:spacing w:before="0" w:after="283"/>
              <w:jc w:val="left"/>
              <w:rPr/>
            </w:pPr>
            <w:r>
              <w:rPr/>
              <w:t> </w:t>
            </w:r>
          </w:p>
        </w:tc>
      </w:tr>
      <w:tr>
        <w:trPr/>
        <w:tc>
          <w:tcPr>
            <w:tcW w:w="7453" w:type="dxa"/>
            <w:tcBorders/>
            <w:shd w:fill="CCEEFF" w:val="clear"/>
            <w:vAlign w:val="center"/>
          </w:tcPr>
          <w:p>
            <w:pPr>
              <w:pStyle w:val="TableContents"/>
              <w:bidi w:val="0"/>
              <w:spacing w:before="0" w:after="283"/>
              <w:jc w:val="left"/>
              <w:rPr/>
            </w:pPr>
            <w:r>
              <w:rPr/>
              <w:t>Balance at December 31, 2025 -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w:t>
            </w:r>
            <w:bookmarkStart w:id="575" w:name="xdx_984_eus-gaap--DerivativeAssetsLiabil"/>
            <w:bookmarkEnd w:id="575"/>
          </w:p>
        </w:tc>
        <w:tc>
          <w:tcPr>
            <w:tcW w:w="1821" w:type="dxa"/>
            <w:tcBorders/>
            <w:shd w:fill="CCEEFF" w:val="clear"/>
            <w:vAlign w:val="center"/>
          </w:tcPr>
          <w:p>
            <w:pPr>
              <w:pStyle w:val="TableContents"/>
              <w:bidi w:val="0"/>
              <w:spacing w:before="0" w:after="283"/>
              <w:jc w:val="right"/>
              <w:rPr/>
            </w:pPr>
            <w:r>
              <w:rPr/>
              <w:t>9</w:t>
            </w:r>
          </w:p>
        </w:tc>
        <w:tc>
          <w:tcPr>
            <w:tcW w:w="111" w:type="dxa"/>
            <w:tcBorders/>
            <w:shd w:fill="CCEEFF" w:val="clear"/>
            <w:vAlign w:val="center"/>
          </w:tcPr>
          <w:p>
            <w:pPr>
              <w:pStyle w:val="TableContents"/>
              <w:bidi w:val="0"/>
              <w:spacing w:before="0" w:after="283"/>
              <w:jc w:val="left"/>
              <w:rPr/>
            </w:pPr>
            <w:r>
              <w:rPr/>
              <w:t> </w:t>
            </w:r>
          </w:p>
        </w:tc>
      </w:tr>
      <w:tr>
        <w:trPr/>
        <w:tc>
          <w:tcPr>
            <w:tcW w:w="7453"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6" w:name="xdx_989_eus-gaap--EmbeddedDerivativeGain"/>
            <w:bookmarkEnd w:id="576"/>
          </w:p>
        </w:tc>
        <w:tc>
          <w:tcPr>
            <w:tcW w:w="1821"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jc w:val="left"/>
              <w:rPr/>
            </w:pPr>
            <w:r>
              <w:rPr/>
              <w:t>)</w:t>
            </w:r>
          </w:p>
        </w:tc>
      </w:tr>
      <w:tr>
        <w:trPr/>
        <w:tc>
          <w:tcPr>
            <w:tcW w:w="7453" w:type="dxa"/>
            <w:tcBorders/>
            <w:shd w:fill="CCEEFF" w:val="clear"/>
            <w:vAlign w:val="center"/>
          </w:tcPr>
          <w:p>
            <w:pPr>
              <w:pStyle w:val="TableContents"/>
              <w:bidi w:val="0"/>
              <w:spacing w:before="0" w:after="283"/>
              <w:jc w:val="left"/>
              <w:rPr/>
            </w:pPr>
            <w:r>
              <w:rPr/>
              <w:t>Balance at March 31, 2026 - Bifurcated embedded derivative liability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7" w:name="xdx_983_eus-gaap--DerivativeAssetsLiabil"/>
            <w:bookmarkEnd w:id="577"/>
          </w:p>
        </w:tc>
        <w:tc>
          <w:tcPr>
            <w:tcW w:w="1821"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78" w:name="xdx_8AC_zNmeVJ1SDOPa"/>
      <w:bookmarkEnd w:id="57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9" w:name="xdx_896_eus-gaap--FairValueNetDerivative"/>
      <w:bookmarkEnd w:id="579"/>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580" w:name="xdx_8BA_zplMu1Acz8le"/>
      <w:bookmarkEnd w:id="580"/>
      <w:r>
        <w:rPr>
          <w:rFonts w:ascii="Times New Roman;Times;Serif" w:hAnsi="Times New Roman;Times;Serif"/>
          <w:b w:val="false"/>
          <w:i w:val="false"/>
          <w:caps w:val="false"/>
          <w:smallCaps w:val="false"/>
          <w:sz w:val="20"/>
        </w:rPr>
        <w:t>Summary of Ranges of Inputs in Fair Value of the Private Placement Warrant Liability</w:t>
      </w:r>
    </w:p>
    <w:tbl>
      <w:tblPr>
        <w:tblW w:w="4214" w:type="dxa"/>
        <w:jc w:val="left"/>
        <w:tblInd w:w="0" w:type="dxa"/>
        <w:tblLayout w:type="fixed"/>
        <w:tblCellMar>
          <w:top w:w="0" w:type="dxa"/>
          <w:left w:w="0" w:type="dxa"/>
          <w:bottom w:w="0" w:type="dxa"/>
          <w:right w:w="0" w:type="dxa"/>
        </w:tblCellMar>
      </w:tblPr>
      <w:tblGrid>
        <w:gridCol w:w="2315"/>
        <w:gridCol w:w="60"/>
        <w:gridCol w:w="179"/>
        <w:gridCol w:w="1430"/>
        <w:gridCol w:w="230"/>
      </w:tblGrid>
      <w:tr>
        <w:trPr/>
        <w:tc>
          <w:tcPr>
            <w:tcW w:w="2315" w:type="dxa"/>
            <w:tcBorders/>
            <w:vAlign w:val="center"/>
          </w:tcPr>
          <w:p>
            <w:pPr>
              <w:pStyle w:val="TableContents"/>
              <w:bidi w:val="0"/>
              <w:spacing w:before="0" w:after="283"/>
              <w:jc w:val="left"/>
              <w:rPr>
                <w:b/>
              </w:rPr>
            </w:pPr>
            <w:r>
              <w:rPr>
                <w:b/>
              </w:rPr>
              <w:t>Key Inputs</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bookmarkStart w:id="581" w:name="xdx_90F_eus-gaap--WarrantsAndRightsOutst"/>
            <w:bookmarkEnd w:id="581"/>
            <w:r>
              <w:rPr/>
              <w:t>0.95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Contractual term (years)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bookmarkStart w:id="582" w:name="xdx_90D_eus-gaap--WarrantsAndRightsOutst"/>
            <w:bookmarkEnd w:id="582"/>
            <w:r>
              <w:rPr>
                <w:rFonts w:ascii="Times New Roman;Times;Serif" w:hAnsi="Times New Roman;Times;Serif"/>
                <w:sz w:val="20"/>
              </w:rPr>
              <w:t xml:space="preserve">2.25 - </w:t>
            </w:r>
            <w:bookmarkStart w:id="583" w:name="xdx_905_eus-gaap--WarrantsAndRightsOutst"/>
            <w:bookmarkEnd w:id="583"/>
            <w:r>
              <w:rPr>
                <w:rFonts w:ascii="Times New Roman;Times;Serif" w:hAnsi="Times New Roman;Times;Serif"/>
                <w:sz w:val="20"/>
              </w:rPr>
              <w:t>4.87</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bookmarkStart w:id="584" w:name="xdx_902_eus-gaap--WarrantsAndRightsOutst"/>
            <w:bookmarkEnd w:id="584"/>
            <w:r>
              <w:rPr>
                <w:rFonts w:ascii="Times New Roman;Times;Serif" w:hAnsi="Times New Roman;Times;Serif"/>
                <w:sz w:val="20"/>
              </w:rPr>
              <w:t xml:space="preserve">3.8% - </w:t>
            </w:r>
            <w:bookmarkStart w:id="585" w:name="xdx_906_eus-gaap--WarrantsAndRightsOutst"/>
            <w:bookmarkEnd w:id="585"/>
            <w:r>
              <w:rPr>
                <w:rFonts w:ascii="Times New Roman;Times;Serif" w:hAnsi="Times New Roman;Times;Serif"/>
                <w:sz w:val="20"/>
              </w:rPr>
              <w:t>3.9</w:t>
            </w:r>
          </w:p>
        </w:tc>
        <w:tc>
          <w:tcPr>
            <w:tcW w:w="230"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bookmarkStart w:id="586" w:name="xdx_909_eus-gaap--WarrantsAndRightsOutst"/>
            <w:bookmarkEnd w:id="586"/>
            <w:r>
              <w:rPr>
                <w:rFonts w:ascii="Times New Roman;Times;Serif" w:hAnsi="Times New Roman;Times;Serif"/>
                <w:sz w:val="20"/>
              </w:rPr>
              <w:t xml:space="preserve">113% - </w:t>
            </w:r>
            <w:bookmarkStart w:id="587" w:name="xdx_906_eus-gaap--WarrantsAndRightsOutst"/>
            <w:bookmarkEnd w:id="587"/>
            <w:r>
              <w:rPr>
                <w:rFonts w:ascii="Times New Roman;Times;Serif" w:hAnsi="Times New Roman;Times;Serif"/>
                <w:sz w:val="20"/>
              </w:rPr>
              <w:t>125.3</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bookmarkStart w:id="588" w:name="xdx_90F_eus-gaap--WarrantsAndRightsOutst"/>
            <w:bookmarkEnd w:id="588"/>
            <w:r>
              <w:rPr>
                <w:rFonts w:ascii="Times New Roman;Times;Serif" w:hAnsi="Times New Roman;Times;Serif"/>
                <w:sz w:val="20"/>
              </w:rPr>
              <w:t>0.66 - $</w:t>
            </w:r>
            <w:bookmarkStart w:id="589" w:name="xdx_90F_eus-gaap--WarrantsAndRightsOutst"/>
            <w:bookmarkEnd w:id="589"/>
            <w:r>
              <w:rPr>
                <w:rFonts w:ascii="Times New Roman;Times;Serif" w:hAnsi="Times New Roman;Times;Serif"/>
                <w:sz w:val="20"/>
              </w:rPr>
              <w:t>2.50</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bookmarkStart w:id="590" w:name="xdx_90E_eus-gaap--WarrantsAndRightsOutst"/>
            <w:bookmarkEnd w:id="590"/>
            <w:r>
              <w:rPr/>
              <w:t>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91" w:name="xdx_8A2_zDEl6snPoDxh"/>
      <w:bookmarkEnd w:id="591"/>
      <w:r>
        <w:rPr>
          <w:caps w:val="false"/>
          <w:smallCaps w:val="false"/>
        </w:rPr>
        <w:t> </w:t>
      </w:r>
    </w:p>
    <w:p>
      <w:pPr>
        <w:pStyle w:val="TextBody"/>
        <w:bidi w:val="0"/>
        <w:spacing w:before="0" w:after="0"/>
        <w:ind w:left="0" w:right="0" w:hanging="0"/>
        <w:jc w:val="left"/>
        <w:rPr>
          <w:caps w:val="false"/>
          <w:smallCaps w:val="false"/>
        </w:rPr>
      </w:pPr>
      <w:bookmarkStart w:id="592" w:name="xdx_895_ecustom--FairValueChangeOfPrivat"/>
      <w:bookmarkEnd w:id="592"/>
      <w:r>
        <w:rPr>
          <w:caps w:val="false"/>
          <w:smallCaps w:val="false"/>
        </w:rPr>
        <w:t> </w:t>
      </w:r>
      <w:bookmarkStart w:id="593" w:name="xdx_8BB_zeWFza5RhtN6"/>
      <w:bookmarkEnd w:id="593"/>
      <w:r>
        <w:rPr>
          <w:rFonts w:ascii="Times New Roman;Times;Serif" w:hAnsi="Times New Roman;Times;Serif"/>
          <w:b w:val="false"/>
          <w:i w:val="false"/>
          <w:caps w:val="false"/>
          <w:smallCaps w:val="false"/>
          <w:sz w:val="20"/>
        </w:rPr>
        <w:t>Summary of Changes in Fair Value of Private Placement Warrant Liability</w:t>
      </w:r>
    </w:p>
    <w:tbl>
      <w:tblPr>
        <w:tblW w:w="6610" w:type="dxa"/>
        <w:jc w:val="left"/>
        <w:tblInd w:w="0" w:type="dxa"/>
        <w:tblLayout w:type="fixed"/>
        <w:tblCellMar>
          <w:top w:w="0" w:type="dxa"/>
          <w:left w:w="0" w:type="dxa"/>
          <w:bottom w:w="0" w:type="dxa"/>
          <w:right w:w="0" w:type="dxa"/>
        </w:tblCellMar>
      </w:tblPr>
      <w:tblGrid>
        <w:gridCol w:w="3560"/>
        <w:gridCol w:w="60"/>
        <w:gridCol w:w="583"/>
        <w:gridCol w:w="2332"/>
        <w:gridCol w:w="75"/>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w:t>
            </w:r>
            <w:bookmarkStart w:id="594" w:name="xdx_982_eus-gaap--FairValueNetDerivative"/>
            <w:bookmarkEnd w:id="594"/>
          </w:p>
        </w:tc>
        <w:tc>
          <w:tcPr>
            <w:tcW w:w="2332"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Loss on issuance – February Warrant</w:t>
            </w:r>
          </w:p>
        </w:tc>
        <w:tc>
          <w:tcPr>
            <w:tcW w:w="6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bookmarkStart w:id="595" w:name="xdx_986_ecustom--IssuanceOfPrivatePlacem"/>
            <w:bookmarkEnd w:id="595"/>
          </w:p>
        </w:tc>
        <w:tc>
          <w:tcPr>
            <w:tcW w:w="2332"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5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6" w:name="xdx_983_eus-gaap--FairValueNetDerivative"/>
            <w:bookmarkEnd w:id="596"/>
          </w:p>
        </w:tc>
        <w:tc>
          <w:tcPr>
            <w:tcW w:w="2332" w:type="dxa"/>
            <w:tcBorders>
              <w:bottom w:val="single" w:sz="8" w:space="0" w:color="000000"/>
            </w:tcBorders>
            <w:shd w:fill="CCEEFF" w:val="clear"/>
            <w:tcMar>
              <w:bottom w:w="28" w:type="dxa"/>
            </w:tcM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7" w:name="xdx_987_eus-gaap--FairValueNetDerivative"/>
            <w:bookmarkEnd w:id="597"/>
          </w:p>
        </w:tc>
        <w:tc>
          <w:tcPr>
            <w:tcW w:w="2332" w:type="dxa"/>
            <w:tcBorders>
              <w:bottom w:val="double" w:sz="6" w:space="0" w:color="000000"/>
            </w:tcBorders>
            <w:shd w:fill="FFFFFF" w:val="clear"/>
            <w:tcMar>
              <w:bottom w:w="28" w:type="dxa"/>
            </w:tcMar>
            <w:vAlign w:val="center"/>
          </w:tcPr>
          <w:p>
            <w:pPr>
              <w:pStyle w:val="TableContents"/>
              <w:bidi w:val="0"/>
              <w:spacing w:before="0" w:after="283"/>
              <w:jc w:val="right"/>
              <w:rPr/>
            </w:pPr>
            <w:r>
              <w:rPr/>
              <w:t>1,250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8" w:name="xdx_8A7_zDyEC68JmxU"/>
      <w:bookmarkEnd w:id="59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9" w:name="xdx_80C_ecustom--PrepaidExpensesAndOther"/>
      <w:bookmarkEnd w:id="599"/>
      <w:r>
        <w:rPr>
          <w:rFonts w:ascii="Times New Roman;Times;Serif" w:hAnsi="Times New Roman;Times;Serif"/>
          <w:b/>
          <w:i w:val="false"/>
          <w:caps w:val="false"/>
          <w:smallCaps w:val="false"/>
          <w:sz w:val="20"/>
        </w:rPr>
        <w:t xml:space="preserve">8. </w:t>
      </w:r>
      <w:bookmarkStart w:id="600" w:name="xdx_823_zcMDORjqJyF9"/>
      <w:bookmarkEnd w:id="600"/>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1" w:name="xdx_89A_eus-gaap--DeferredCostsCapitaliz"/>
      <w:bookmarkEnd w:id="601"/>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02" w:name="xdx_8B7_zU2glDUNja8k"/>
      <w:bookmarkEnd w:id="602"/>
      <w:r>
        <w:rPr>
          <w:rFonts w:ascii="Times New Roman;Times;Serif" w:hAnsi="Times New Roman;Times;Serif"/>
          <w:b w:val="false"/>
          <w:i w:val="false"/>
          <w:caps w:val="false"/>
          <w:smallCaps w:val="false"/>
          <w:sz w:val="20"/>
        </w:rPr>
        <w:t>Summary of Prepaid Expenses and Other Current Assets </w:t>
      </w:r>
    </w:p>
    <w:tbl>
      <w:tblPr>
        <w:tblW w:w="8293" w:type="dxa"/>
        <w:jc w:val="left"/>
        <w:tblInd w:w="0" w:type="dxa"/>
        <w:tblLayout w:type="fixed"/>
        <w:tblCellMar>
          <w:top w:w="0" w:type="dxa"/>
          <w:left w:w="0" w:type="dxa"/>
          <w:bottom w:w="0" w:type="dxa"/>
          <w:right w:w="0" w:type="dxa"/>
        </w:tblCellMar>
      </w:tblPr>
      <w:tblGrid>
        <w:gridCol w:w="4475"/>
        <w:gridCol w:w="60"/>
        <w:gridCol w:w="433"/>
        <w:gridCol w:w="1176"/>
        <w:gridCol w:w="60"/>
        <w:gridCol w:w="60"/>
        <w:gridCol w:w="526"/>
        <w:gridCol w:w="1428"/>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03" w:name="xdx_496_20260331_zwMwiP7UUk53"/>
            <w:bookmarkEnd w:id="603"/>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4" w:name="xdx_499_20251231_zTRmNymKoYOh"/>
            <w:bookmarkEnd w:id="604"/>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605" w:name="xdx_405_eus-gaap--PrepaidExpenseAndOther"/>
            <w:bookmarkEnd w:id="605"/>
          </w:p>
        </w:tc>
      </w:tr>
      <w:tr>
        <w:trPr/>
        <w:tc>
          <w:tcPr>
            <w:tcW w:w="447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06" w:name="xdx_402_ecustom--PrepaidSoftwareCosts_i0"/>
            <w:bookmarkEnd w:id="606"/>
          </w:p>
        </w:tc>
      </w:tr>
      <w:tr>
        <w:trPr/>
        <w:tc>
          <w:tcPr>
            <w:tcW w:w="4475" w:type="dxa"/>
            <w:tcBorders/>
            <w:shd w:fill="FFFFFF" w:val="clear"/>
            <w:vAlign w:val="center"/>
          </w:tcPr>
          <w:p>
            <w:pPr>
              <w:pStyle w:val="TableContents"/>
              <w:bidi w:val="0"/>
              <w:spacing w:before="0" w:after="283"/>
              <w:jc w:val="left"/>
              <w:rPr/>
            </w:pPr>
            <w:r>
              <w:rPr/>
              <w:t>Prepaid software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w:t>
            </w:r>
          </w:p>
        </w:tc>
        <w:tc>
          <w:tcPr>
            <w:tcW w:w="1176"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w:t>
            </w:r>
          </w:p>
        </w:tc>
        <w:tc>
          <w:tcPr>
            <w:tcW w:w="1428"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bookmarkStart w:id="607" w:name="xdx_40B_ecustom--ServiceTrade_i01I_pn3n3"/>
            <w:bookmarkEnd w:id="607"/>
          </w:p>
        </w:tc>
      </w:tr>
      <w:tr>
        <w:trPr/>
        <w:tc>
          <w:tcPr>
            <w:tcW w:w="4475" w:type="dxa"/>
            <w:tcBorders/>
            <w:shd w:fill="CCEEFF" w:val="clear"/>
            <w:vAlign w:val="center"/>
          </w:tcPr>
          <w:p>
            <w:pPr>
              <w:pStyle w:val="TableContents"/>
              <w:bidi w:val="0"/>
              <w:spacing w:before="0" w:after="283"/>
              <w:jc w:val="left"/>
              <w:rPr/>
            </w:pPr>
            <w:r>
              <w:rPr/>
              <w:t>Service trade</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bookmarkStart w:id="608" w:name="xdx_407_ecustom--EmployeeReceivable_i01I"/>
            <w:bookmarkEnd w:id="608"/>
          </w:p>
        </w:tc>
      </w:tr>
      <w:tr>
        <w:trPr/>
        <w:tc>
          <w:tcPr>
            <w:tcW w:w="4475" w:type="dxa"/>
            <w:tcBorders/>
            <w:shd w:fill="FFFFFF" w:val="clear"/>
            <w:vAlign w:val="center"/>
          </w:tcPr>
          <w:p>
            <w:pPr>
              <w:pStyle w:val="TableContents"/>
              <w:bidi w:val="0"/>
              <w:spacing w:before="0" w:after="283"/>
              <w:jc w:val="left"/>
              <w:rPr/>
            </w:pPr>
            <w:r>
              <w:rPr/>
              <w:t>Employee receivable</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bookmarkStart w:id="609" w:name="xdx_400_eus-gaap--PrepaidInsurance_i01I_"/>
            <w:bookmarkEnd w:id="609"/>
          </w:p>
        </w:tc>
      </w:tr>
      <w:tr>
        <w:trPr/>
        <w:tc>
          <w:tcPr>
            <w:tcW w:w="4475" w:type="dxa"/>
            <w:tcBorders/>
            <w:shd w:fill="CCEEFF" w:val="clear"/>
            <w:vAlign w:val="center"/>
          </w:tcPr>
          <w:p>
            <w:pPr>
              <w:pStyle w:val="TableContents"/>
              <w:bidi w:val="0"/>
              <w:spacing w:before="0" w:after="283"/>
              <w:jc w:val="left"/>
              <w:rPr/>
            </w:pPr>
            <w:r>
              <w:rPr/>
              <w:t>Prepaid insurance costs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bookmarkStart w:id="610" w:name="xdx_404_ecustom--PrepaidCommissions_i01I"/>
            <w:bookmarkEnd w:id="610"/>
          </w:p>
        </w:tc>
      </w:tr>
      <w:tr>
        <w:trPr/>
        <w:tc>
          <w:tcPr>
            <w:tcW w:w="4475" w:type="dxa"/>
            <w:tcBorders/>
            <w:shd w:fill="FFFFFF" w:val="clear"/>
            <w:vAlign w:val="center"/>
          </w:tcPr>
          <w:p>
            <w:pPr>
              <w:pStyle w:val="TableContents"/>
              <w:bidi w:val="0"/>
              <w:spacing w:before="0" w:after="283"/>
              <w:jc w:val="left"/>
              <w:rPr/>
            </w:pPr>
            <w:r>
              <w:rPr/>
              <w:t>Prepaid commissions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96</w:t>
            </w:r>
          </w:p>
        </w:tc>
        <w:tc>
          <w:tcPr>
            <w:tcW w:w="75" w:type="dxa"/>
            <w:tcBorders/>
            <w:shd w:fill="FFFFFF" w:val="clear"/>
            <w:vAlign w:val="center"/>
          </w:tcPr>
          <w:p>
            <w:pPr>
              <w:pStyle w:val="TableContents"/>
              <w:bidi w:val="0"/>
              <w:spacing w:before="0" w:after="283"/>
              <w:jc w:val="left"/>
              <w:rPr/>
            </w:pPr>
            <w:r>
              <w:rPr/>
              <w:t> </w:t>
            </w:r>
            <w:bookmarkStart w:id="611" w:name="xdx_406_ecustom--PrepaidMerchantFees_i01"/>
            <w:bookmarkEnd w:id="611"/>
          </w:p>
        </w:tc>
      </w:tr>
      <w:tr>
        <w:trPr/>
        <w:tc>
          <w:tcPr>
            <w:tcW w:w="4475" w:type="dxa"/>
            <w:tcBorders/>
            <w:shd w:fill="CCEEFF" w:val="clear"/>
            <w:vAlign w:val="center"/>
          </w:tcPr>
          <w:p>
            <w:pPr>
              <w:pStyle w:val="TableContents"/>
              <w:bidi w:val="0"/>
              <w:spacing w:before="0" w:after="283"/>
              <w:jc w:val="left"/>
              <w:rPr/>
            </w:pPr>
            <w:r>
              <w:rPr/>
              <w:t>Prepaid merchant fees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61</w:t>
            </w:r>
          </w:p>
        </w:tc>
        <w:tc>
          <w:tcPr>
            <w:tcW w:w="75" w:type="dxa"/>
            <w:tcBorders/>
            <w:shd w:fill="CCEEFF" w:val="clear"/>
            <w:vAlign w:val="center"/>
          </w:tcPr>
          <w:p>
            <w:pPr>
              <w:pStyle w:val="TableContents"/>
              <w:bidi w:val="0"/>
              <w:spacing w:before="0" w:after="283"/>
              <w:jc w:val="left"/>
              <w:rPr/>
            </w:pPr>
            <w:r>
              <w:rPr/>
              <w:t> </w:t>
            </w:r>
            <w:bookmarkStart w:id="612" w:name="xdx_404_eus-gaap--OtherAssetsCurrent_i01"/>
            <w:bookmarkEnd w:id="612"/>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13" w:name="xdx_40F_eus-gaap--PrepaidExpenseAndOther"/>
            <w:bookmarkEnd w:id="613"/>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445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4" w:name="xdx_801_eus-gaap--GoodwillAndIntangibleA"/>
      <w:bookmarkEnd w:id="614"/>
      <w:r>
        <w:rPr>
          <w:rFonts w:ascii="Times New Roman;Times;Serif" w:hAnsi="Times New Roman;Times;Serif"/>
          <w:b/>
          <w:i w:val="false"/>
          <w:caps w:val="false"/>
          <w:smallCaps w:val="false"/>
          <w:sz w:val="20"/>
        </w:rPr>
        <w:t xml:space="preserve">9. </w:t>
      </w:r>
      <w:bookmarkStart w:id="615" w:name="xdx_824_zygGPtcDgI83"/>
      <w:bookmarkEnd w:id="615"/>
      <w:r>
        <w:rPr>
          <w:rFonts w:ascii="Times New Roman;Times;Serif" w:hAnsi="Times New Roman;Times;Serif"/>
          <w:b/>
          <w:i w:val="false"/>
          <w:caps w:val="false"/>
          <w:smallCaps w:val="false"/>
          <w:sz w:val="20"/>
        </w:rPr>
        <w:t>Goodwill and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6" w:name="xdx_890_eus-gaap--ScheduleOfGoodwillText"/>
      <w:bookmarkEnd w:id="616"/>
      <w:r>
        <w:rPr>
          <w:rFonts w:ascii="Times New Roman;Times;Serif" w:hAnsi="Times New Roman;Times;Serif"/>
          <w:b w:val="false"/>
          <w:i w:val="false"/>
          <w:caps w:val="false"/>
          <w:smallCaps w:val="false"/>
          <w:sz w:val="20"/>
        </w:rPr>
        <w:t>The following is a summary of goodwill by reportable segment as of and for the three months ended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17" w:name="xdx_8B5_zuNbaa82VUJ8"/>
      <w:bookmarkEnd w:id="617"/>
      <w:r>
        <w:rPr>
          <w:rFonts w:ascii="Times New Roman;Times;Serif" w:hAnsi="Times New Roman;Times;Serif"/>
          <w:b w:val="false"/>
          <w:i w:val="false"/>
          <w:caps w:val="false"/>
          <w:smallCaps w:val="false"/>
          <w:sz w:val="20"/>
        </w:rPr>
        <w:t>Summary of Goodwill by Reportable Segment </w:t>
      </w:r>
    </w:p>
    <w:tbl>
      <w:tblPr>
        <w:tblW w:w="8905" w:type="dxa"/>
        <w:jc w:val="left"/>
        <w:tblInd w:w="0" w:type="dxa"/>
        <w:tblLayout w:type="fixed"/>
        <w:tblCellMar>
          <w:top w:w="0" w:type="dxa"/>
          <w:left w:w="0" w:type="dxa"/>
          <w:bottom w:w="0" w:type="dxa"/>
          <w:right w:w="0" w:type="dxa"/>
        </w:tblCellMar>
      </w:tblPr>
      <w:tblGrid>
        <w:gridCol w:w="3050"/>
        <w:gridCol w:w="60"/>
        <w:gridCol w:w="448"/>
        <w:gridCol w:w="1792"/>
        <w:gridCol w:w="60"/>
        <w:gridCol w:w="60"/>
        <w:gridCol w:w="148"/>
        <w:gridCol w:w="592"/>
        <w:gridCol w:w="60"/>
        <w:gridCol w:w="60"/>
        <w:gridCol w:w="175"/>
        <w:gridCol w:w="850"/>
        <w:gridCol w:w="60"/>
        <w:gridCol w:w="60"/>
        <w:gridCol w:w="231"/>
        <w:gridCol w:w="1124"/>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18" w:name="xdx_4BE_us-gaap--StatementBusinessSegmen"/>
            <w:bookmarkEnd w:id="618"/>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9" w:name="xdx_4BF_us-gaap--StatementBusinessSegmen"/>
            <w:bookmarkEnd w:id="619"/>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0" w:name="xdx_4B4_us-gaap--StatementBusinessSegmen"/>
            <w:bookmarkEnd w:id="620"/>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1" w:name="xdx_4B6_zm3QTWVhiydg"/>
            <w:bookmarkEnd w:id="621"/>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bookmarkStart w:id="622" w:name="xdx_43A_c20260101__20260331_eus-gaap--Go"/>
            <w:bookmarkEnd w:id="622"/>
          </w:p>
        </w:tc>
      </w:tr>
      <w:tr>
        <w:trPr/>
        <w:tc>
          <w:tcPr>
            <w:tcW w:w="3050" w:type="dxa"/>
            <w:tcBorders/>
            <w:shd w:fill="CCEEFF" w:val="clear"/>
            <w:vAlign w:val="center"/>
          </w:tcPr>
          <w:p>
            <w:pPr>
              <w:pStyle w:val="TableContents"/>
              <w:bidi w:val="0"/>
              <w:spacing w:before="0" w:after="283"/>
              <w:jc w:val="left"/>
              <w:rPr/>
            </w:pPr>
            <w:r>
              <w:rPr/>
              <w:t>Goodwill – December 31, 2025</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92" w:type="dxa"/>
            <w:tcBorders>
              <w:bottom w:val="single" w:sz="8" w:space="0" w:color="000000"/>
            </w:tcBorders>
            <w:shd w:fill="CCEEFF" w:val="clear"/>
            <w:tcMar>
              <w:bottom w:w="28" w:type="dxa"/>
            </w:tcMar>
            <w:vAlign w:val="center"/>
          </w:tcPr>
          <w:p>
            <w:pPr>
              <w:pStyle w:val="TableContents"/>
              <w:bidi w:val="0"/>
              <w:spacing w:before="0" w:after="283"/>
              <w:jc w:val="right"/>
              <w:rPr/>
            </w:pPr>
            <w:r>
              <w:rPr/>
              <w:t>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16,801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21,992</w:t>
            </w:r>
          </w:p>
        </w:tc>
        <w:tc>
          <w:tcPr>
            <w:tcW w:w="75" w:type="dxa"/>
            <w:tcBorders/>
            <w:shd w:fill="CCEEFF" w:val="clear"/>
            <w:vAlign w:val="center"/>
          </w:tcPr>
          <w:p>
            <w:pPr>
              <w:pStyle w:val="TableContents"/>
              <w:bidi w:val="0"/>
              <w:spacing w:before="0" w:after="283"/>
              <w:jc w:val="left"/>
              <w:rPr/>
            </w:pPr>
            <w:r>
              <w:rPr/>
              <w:t> </w:t>
            </w:r>
            <w:bookmarkStart w:id="623" w:name="xdx_437_c20260101__20260331_eus-gaap--Go"/>
            <w:bookmarkEnd w:id="623"/>
          </w:p>
        </w:tc>
      </w:tr>
      <w:tr>
        <w:trPr/>
        <w:tc>
          <w:tcPr>
            <w:tcW w:w="3050" w:type="dxa"/>
            <w:tcBorders/>
            <w:shd w:fill="FFFFFF" w:val="clear"/>
            <w:vAlign w:val="center"/>
          </w:tcPr>
          <w:p>
            <w:pPr>
              <w:pStyle w:val="TableContents"/>
              <w:bidi w:val="0"/>
              <w:spacing w:before="0" w:after="283"/>
              <w:jc w:val="left"/>
              <w:rPr/>
            </w:pPr>
            <w:r>
              <w:rPr/>
              <w:t>Goodwill – March 31, 2026</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92" w:type="dxa"/>
            <w:tcBorders>
              <w:bottom w:val="double" w:sz="6" w:space="0" w:color="000000"/>
            </w:tcBorders>
            <w:shd w:fill="FFFFFF" w:val="clear"/>
            <w:tcMar>
              <w:bottom w:w="28" w:type="dxa"/>
            </w:tcMar>
            <w:vAlign w:val="center"/>
          </w:tcPr>
          <w:p>
            <w:pPr>
              <w:pStyle w:val="TableContents"/>
              <w:bidi w:val="0"/>
              <w:spacing w:before="0" w:after="283"/>
              <w:jc w:val="right"/>
              <w:rPr/>
            </w:pPr>
            <w:r>
              <w:rPr/>
              <w:t>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jc w:val="right"/>
              <w:rPr/>
            </w:pPr>
            <w:r>
              <w:rPr/>
              <w:t>3,019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16,801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4" w:name="xdx_8A5_zjLuccMQIZz5"/>
      <w:bookmarkEnd w:id="62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5" w:name="xdx_89F_eus-gaap--ScheduleOfFiniteLivedI"/>
      <w:bookmarkEnd w:id="625"/>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bookmarkStart w:id="626" w:name="xdx_8BE_zHgDcJKgE64a"/>
      <w:bookmarkEnd w:id="626"/>
      <w:r>
        <w:rPr>
          <w:rFonts w:ascii="Times New Roman;Times;Serif" w:hAnsi="Times New Roman;Times;Serif"/>
          <w:b w:val="false"/>
          <w:i w:val="false"/>
          <w:caps w:val="false"/>
          <w:smallCaps w:val="false"/>
          <w:sz w:val="20"/>
        </w:rPr>
        <w:t>Schedule of Identifiable Intangible Assets Subject to Amortization</w:t>
      </w:r>
    </w:p>
    <w:tbl>
      <w:tblPr>
        <w:tblW w:w="6664" w:type="dxa"/>
        <w:jc w:val="left"/>
        <w:tblInd w:w="0" w:type="dxa"/>
        <w:tblLayout w:type="fixed"/>
        <w:tblCellMar>
          <w:top w:w="0" w:type="dxa"/>
          <w:left w:w="0" w:type="dxa"/>
          <w:bottom w:w="0" w:type="dxa"/>
          <w:right w:w="0" w:type="dxa"/>
        </w:tblCellMar>
      </w:tblPr>
      <w:tblGrid>
        <w:gridCol w:w="3080"/>
        <w:gridCol w:w="60"/>
        <w:gridCol w:w="1745"/>
        <w:gridCol w:w="60"/>
        <w:gridCol w:w="290"/>
        <w:gridCol w:w="1319"/>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bookmarkStart w:id="627" w:name="xdx_494_20260331_z3ob0os3L1Ac"/>
            <w:bookmarkEnd w:id="627"/>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jc w:val="left"/>
              <w:rPr/>
            </w:pPr>
            <w:r>
              <w:rPr/>
              <w:t> </w:t>
            </w:r>
            <w:bookmarkStart w:id="628" w:name="xdx_40A_eus-gaap--FiniteLivedIntangibleA"/>
            <w:bookmarkEnd w:id="628"/>
          </w:p>
        </w:tc>
      </w:tr>
      <w:tr>
        <w:trPr/>
        <w:tc>
          <w:tcPr>
            <w:tcW w:w="308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bookmarkStart w:id="629" w:name="xdx_905_eus-gaap--AcquiredFiniteLivedInt"/>
            <w:bookmarkEnd w:id="629"/>
            <w:r>
              <w:rPr/>
              <w:t xml:space="preserve">6 - </w:t>
            </w:r>
            <w:bookmarkStart w:id="630" w:name="xdx_904_eus-gaap--AcquiredFiniteLivedInt"/>
            <w:bookmarkEnd w:id="630"/>
            <w:r>
              <w:rPr/>
              <w:t>7</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1,140</w:t>
            </w:r>
          </w:p>
        </w:tc>
        <w:tc>
          <w:tcPr>
            <w:tcW w:w="110" w:type="dxa"/>
            <w:tcBorders/>
            <w:shd w:fill="CCEEFF" w:val="clear"/>
            <w:vAlign w:val="center"/>
          </w:tcPr>
          <w:p>
            <w:pPr>
              <w:pStyle w:val="TableContents"/>
              <w:bidi w:val="0"/>
              <w:spacing w:before="0" w:after="283"/>
              <w:jc w:val="left"/>
              <w:rPr/>
            </w:pPr>
            <w:r>
              <w:rPr/>
              <w:t> </w:t>
            </w:r>
            <w:bookmarkStart w:id="631" w:name="xdx_40F_eus-gaap--FiniteLivedIntangibleA"/>
            <w:bookmarkEnd w:id="631"/>
          </w:p>
        </w:tc>
      </w:tr>
      <w:tr>
        <w:trPr/>
        <w:tc>
          <w:tcPr>
            <w:tcW w:w="3080"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bookmarkStart w:id="632" w:name="xdx_90A_eus-gaap--AcquiredFiniteLivedInt"/>
            <w:bookmarkEnd w:id="632"/>
            <w:r>
              <w:rPr/>
              <w:t xml:space="preserve">10 - </w:t>
            </w:r>
            <w:bookmarkStart w:id="633" w:name="xdx_90D_eus-gaap--AcquiredFiniteLivedInt"/>
            <w:bookmarkEnd w:id="633"/>
            <w:r>
              <w:rPr/>
              <w:t>15</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1,637</w:t>
            </w:r>
          </w:p>
        </w:tc>
        <w:tc>
          <w:tcPr>
            <w:tcW w:w="110" w:type="dxa"/>
            <w:tcBorders/>
            <w:shd w:fill="FFFFFF" w:val="clear"/>
            <w:vAlign w:val="center"/>
          </w:tcPr>
          <w:p>
            <w:pPr>
              <w:pStyle w:val="TableContents"/>
              <w:bidi w:val="0"/>
              <w:spacing w:before="0" w:after="283"/>
              <w:jc w:val="left"/>
              <w:rPr/>
            </w:pPr>
            <w:r>
              <w:rPr/>
              <w:t> </w:t>
            </w:r>
            <w:bookmarkStart w:id="634" w:name="xdx_403_eus-gaap--FiniteLivedIntangibleA"/>
            <w:bookmarkEnd w:id="634"/>
          </w:p>
        </w:tc>
      </w:tr>
      <w:tr>
        <w:trPr/>
        <w:tc>
          <w:tcPr>
            <w:tcW w:w="3080" w:type="dxa"/>
            <w:tcBorders/>
            <w:shd w:fill="CCEEFF" w:val="clear"/>
            <w:vAlign w:val="center"/>
          </w:tcPr>
          <w:p>
            <w:pPr>
              <w:pStyle w:val="TableContents"/>
              <w:bidi w:val="0"/>
              <w:spacing w:before="0" w:after="283"/>
              <w:jc w:val="left"/>
              <w:rPr/>
            </w:pPr>
            <w:r>
              <w:rPr/>
              <w:t>Technology</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bookmarkStart w:id="635" w:name="xdx_90B_eus-gaap--AcquiredFiniteLivedInt"/>
            <w:bookmarkEnd w:id="635"/>
            <w:r>
              <w:rPr/>
              <w:t xml:space="preserve">6 - </w:t>
            </w:r>
            <w:bookmarkStart w:id="636" w:name="xdx_90A_eus-gaap--AcquiredFiniteLivedInt"/>
            <w:bookmarkEnd w:id="636"/>
            <w:r>
              <w:rPr/>
              <w:t>8</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6,425</w:t>
            </w:r>
          </w:p>
        </w:tc>
        <w:tc>
          <w:tcPr>
            <w:tcW w:w="110" w:type="dxa"/>
            <w:tcBorders/>
            <w:shd w:fill="CCEEFF" w:val="clear"/>
            <w:vAlign w:val="center"/>
          </w:tcPr>
          <w:p>
            <w:pPr>
              <w:pStyle w:val="TableContents"/>
              <w:bidi w:val="0"/>
              <w:spacing w:before="0" w:after="283"/>
              <w:jc w:val="left"/>
              <w:rPr/>
            </w:pPr>
            <w:r>
              <w:rPr/>
              <w:t> </w:t>
            </w:r>
            <w:bookmarkStart w:id="637" w:name="xdx_400_eus-gaap--FiniteLivedIntangibleA"/>
            <w:bookmarkEnd w:id="637"/>
          </w:p>
        </w:tc>
      </w:tr>
      <w:tr>
        <w:trPr/>
        <w:tc>
          <w:tcPr>
            <w:tcW w:w="3080" w:type="dxa"/>
            <w:tcBorders/>
            <w:shd w:fill="FFFFFF" w:val="clear"/>
            <w:vAlign w:val="center"/>
          </w:tcPr>
          <w:p>
            <w:pPr>
              <w:pStyle w:val="TableContents"/>
              <w:bidi w:val="0"/>
              <w:spacing w:before="0" w:after="283"/>
              <w:jc w:val="left"/>
              <w:rPr/>
            </w:pPr>
            <w:r>
              <w:rPr/>
              <w:t>Intangible assets, gross</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9,202</w:t>
            </w:r>
          </w:p>
        </w:tc>
        <w:tc>
          <w:tcPr>
            <w:tcW w:w="110" w:type="dxa"/>
            <w:tcBorders/>
            <w:shd w:fill="FFFFFF" w:val="clear"/>
            <w:vAlign w:val="center"/>
          </w:tcPr>
          <w:p>
            <w:pPr>
              <w:pStyle w:val="TableContents"/>
              <w:bidi w:val="0"/>
              <w:spacing w:before="0" w:after="283"/>
              <w:jc w:val="left"/>
              <w:rPr/>
            </w:pPr>
            <w:r>
              <w:rPr/>
              <w:t> </w:t>
            </w:r>
            <w:bookmarkStart w:id="638" w:name="xdx_409_eus-gaap--FiniteLivedIntangibleA"/>
            <w:bookmarkEnd w:id="638"/>
          </w:p>
        </w:tc>
      </w:tr>
      <w:tr>
        <w:trPr/>
        <w:tc>
          <w:tcPr>
            <w:tcW w:w="3080" w:type="dxa"/>
            <w:tcBorders/>
            <w:shd w:fill="CCEEFF" w:val="clear"/>
            <w:vAlign w:val="center"/>
          </w:tcPr>
          <w:p>
            <w:pPr>
              <w:pStyle w:val="TableContents"/>
              <w:bidi w:val="0"/>
              <w:spacing w:before="0" w:after="283"/>
              <w:jc w:val="left"/>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(1,465</w:t>
            </w:r>
          </w:p>
        </w:tc>
        <w:tc>
          <w:tcPr>
            <w:tcW w:w="110" w:type="dxa"/>
            <w:tcBorders/>
            <w:shd w:fill="CCEEFF" w:val="clear"/>
            <w:vAlign w:val="center"/>
          </w:tcPr>
          <w:p>
            <w:pPr>
              <w:pStyle w:val="TableContents"/>
              <w:bidi w:val="0"/>
              <w:spacing w:before="0" w:after="283"/>
              <w:jc w:val="left"/>
              <w:rPr/>
            </w:pPr>
            <w:r>
              <w:rPr/>
              <w:t>)</w:t>
            </w:r>
            <w:bookmarkStart w:id="639" w:name="xdx_400_eus-gaap--FiniteLivedIntangibleA"/>
            <w:bookmarkEnd w:id="639"/>
          </w:p>
        </w:tc>
      </w:tr>
      <w:tr>
        <w:trPr/>
        <w:tc>
          <w:tcPr>
            <w:tcW w:w="30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pPr>
            <w:r>
              <w:rPr/>
              <w:t>7,737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0" w:name="xdx_8A9_zT2jM0wWkIf6"/>
      <w:bookmarkEnd w:id="64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related to intangible assets was $</w:t>
      </w:r>
      <w:bookmarkStart w:id="641" w:name="xdx_903_eus-gaap--AmortizationOfIntangib"/>
      <w:bookmarkEnd w:id="641"/>
      <w:r>
        <w:rPr>
          <w:rFonts w:ascii="Times New Roman;Times;Serif" w:hAnsi="Times New Roman;Times;Serif"/>
          <w:b w:val="false"/>
          <w:i w:val="false"/>
          <w:caps w:val="false"/>
          <w:smallCaps w:val="false"/>
          <w:sz w:val="20"/>
        </w:rPr>
        <w:t xml:space="preserve">304 for the </w:t>
      </w:r>
      <w:r>
        <w:rPr>
          <w:rFonts w:ascii="Times New Roman;Times;Serif" w:hAnsi="Times New Roman;Times;Serif"/>
          <w:b w:val="false"/>
          <w:i w:val="false"/>
          <w:caps w:val="false"/>
          <w:smallCaps w:val="false"/>
          <w:sz w:val="20"/>
          <w:shd w:fill="FFFFFF" w:val="clear"/>
        </w:rPr>
        <w:t>three months ended March 31, 2026</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bookmarkStart w:id="642" w:name="xdx_893_eus-gaap--ScheduleofFiniteLivedI"/>
      <w:bookmarkEnd w:id="642"/>
      <w:r>
        <w:rPr>
          <w:caps w:val="false"/>
          <w:smallCaps w:val="false"/>
        </w:rPr>
        <w:t> </w:t>
      </w:r>
      <w:bookmarkStart w:id="643" w:name="xdx_8B8_znSxzSGOgCw7"/>
      <w:bookmarkEnd w:id="643"/>
      <w:r>
        <w:rPr>
          <w:rFonts w:ascii="Times New Roman;Times;Serif" w:hAnsi="Times New Roman;Times;Serif"/>
          <w:b w:val="false"/>
          <w:i w:val="false"/>
          <w:caps w:val="false"/>
          <w:smallCaps w:val="false"/>
          <w:sz w:val="20"/>
        </w:rPr>
        <w:t>Schedule of Expected Amortization Expense</w:t>
      </w:r>
    </w:p>
    <w:tbl>
      <w:tblPr>
        <w:tblW w:w="2700" w:type="dxa"/>
        <w:jc w:val="left"/>
        <w:tblInd w:w="0" w:type="dxa"/>
        <w:tblLayout w:type="fixed"/>
        <w:tblCellMar>
          <w:top w:w="0" w:type="dxa"/>
          <w:left w:w="0" w:type="dxa"/>
          <w:bottom w:w="0" w:type="dxa"/>
          <w:right w:w="0" w:type="dxa"/>
        </w:tblCellMar>
      </w:tblPr>
      <w:tblGrid>
        <w:gridCol w:w="1865"/>
        <w:gridCol w:w="60"/>
        <w:gridCol w:w="140"/>
        <w:gridCol w:w="56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44" w:name="xdx_49A_20260331_zb6idzDRLva1"/>
            <w:bookmarkEnd w:id="644"/>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45" w:name="xdx_403_eus-gaap--FiniteLivedIntangibleA"/>
            <w:bookmarkEnd w:id="645"/>
          </w:p>
        </w:tc>
      </w:tr>
      <w:tr>
        <w:trPr/>
        <w:tc>
          <w:tcPr>
            <w:tcW w:w="186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911</w:t>
            </w:r>
          </w:p>
        </w:tc>
        <w:tc>
          <w:tcPr>
            <w:tcW w:w="75" w:type="dxa"/>
            <w:tcBorders/>
            <w:shd w:fill="CCEEFF" w:val="clear"/>
            <w:vAlign w:val="center"/>
          </w:tcPr>
          <w:p>
            <w:pPr>
              <w:pStyle w:val="TableContents"/>
              <w:bidi w:val="0"/>
              <w:spacing w:before="0" w:after="283"/>
              <w:jc w:val="left"/>
              <w:rPr/>
            </w:pPr>
            <w:r>
              <w:rPr/>
              <w:t> </w:t>
            </w:r>
            <w:bookmarkStart w:id="646" w:name="xdx_408_eus-gaap--FiniteLivedIntangibleA"/>
            <w:bookmarkEnd w:id="646"/>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47" w:name="xdx_40A_eus-gaap--FiniteLivedIntangibleA"/>
            <w:bookmarkEnd w:id="647"/>
          </w:p>
        </w:tc>
      </w:tr>
      <w:tr>
        <w:trPr/>
        <w:tc>
          <w:tcPr>
            <w:tcW w:w="1865" w:type="dxa"/>
            <w:tcBorders/>
            <w:shd w:fill="FFFFFF" w:val="clear"/>
            <w:vAlign w:val="center"/>
          </w:tcPr>
          <w:p>
            <w:pPr>
              <w:pStyle w:val="TableContents"/>
              <w:bidi w:val="0"/>
              <w:spacing w:before="0" w:after="283"/>
              <w:jc w:val="left"/>
              <w:rPr/>
            </w:pPr>
            <w:r>
              <w:rPr/>
              <w:t>Year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48" w:name="xdx_40A_eus-gaap--FiniteLivedIntangibleA"/>
            <w:bookmarkEnd w:id="648"/>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bookmarkStart w:id="649" w:name="xdx_409_eus-gaap--FiniteLivedIntangibleA"/>
            <w:bookmarkEnd w:id="649"/>
          </w:p>
        </w:tc>
      </w:tr>
      <w:tr>
        <w:trPr/>
        <w:tc>
          <w:tcPr>
            <w:tcW w:w="1865" w:type="dxa"/>
            <w:tcBorders/>
            <w:shd w:fill="CCEEFF" w:val="clear"/>
            <w:vAlign w:val="center"/>
          </w:tcPr>
          <w:p>
            <w:pPr>
              <w:pStyle w:val="TableContents"/>
              <w:bidi w:val="0"/>
              <w:spacing w:before="0" w:after="283"/>
              <w:jc w:val="left"/>
              <w:rPr/>
            </w:pPr>
            <w:r>
              <w:rPr/>
              <w:t>Year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bookmarkStart w:id="650" w:name="xdx_406_eus-gaap--FiniteLivedIntangibleA"/>
            <w:bookmarkEnd w:id="650"/>
          </w:p>
        </w:tc>
      </w:tr>
      <w:tr>
        <w:trPr/>
        <w:tc>
          <w:tcPr>
            <w:tcW w:w="18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51" w:name="xdx_40D_eus-gaap--FiniteLivedIntangibleA"/>
            <w:bookmarkEnd w:id="651"/>
          </w:p>
        </w:tc>
      </w:tr>
      <w:tr>
        <w:trPr/>
        <w:tc>
          <w:tcPr>
            <w:tcW w:w="1865" w:type="dxa"/>
            <w:tcBorders/>
            <w:shd w:fill="FFFFFF" w:val="clear"/>
            <w:vAlign w:val="center"/>
          </w:tcPr>
          <w:p>
            <w:pPr>
              <w:pStyle w:val="TableContents"/>
              <w:bidi w:val="0"/>
              <w:spacing w:before="0" w:after="283"/>
              <w:jc w:val="left"/>
              <w:rPr/>
            </w:pPr>
            <w:r>
              <w:rPr/>
              <w:t>Year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bookmarkStart w:id="652" w:name="xdx_406_eus-gaap--FiniteLivedIntangibleA"/>
            <w:bookmarkEnd w:id="652"/>
          </w:p>
        </w:tc>
      </w:tr>
      <w:tr>
        <w:trPr/>
        <w:tc>
          <w:tcPr>
            <w:tcW w:w="186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bookmarkStart w:id="653" w:name="xdx_404_eus-gaap--FiniteLivedIntangibleA"/>
            <w:bookmarkEnd w:id="653"/>
          </w:p>
        </w:tc>
      </w:tr>
      <w:tr>
        <w:trPr/>
        <w:tc>
          <w:tcPr>
            <w:tcW w:w="1865" w:type="dxa"/>
            <w:tcBorders/>
            <w:shd w:fill="CCEEFF" w:val="clear"/>
            <w:vAlign w:val="center"/>
          </w:tcPr>
          <w:p>
            <w:pPr>
              <w:pStyle w:val="TableContents"/>
              <w:bidi w:val="0"/>
              <w:spacing w:before="0" w:after="283"/>
              <w:jc w:val="left"/>
              <w:rPr/>
            </w:pPr>
            <w:r>
              <w:rPr/>
              <w:t>Year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bookmarkStart w:id="654" w:name="xdx_406_eus-gaap--FiniteLivedIntangibleA"/>
            <w:bookmarkEnd w:id="654"/>
          </w:p>
        </w:tc>
      </w:tr>
      <w:tr>
        <w:trPr/>
        <w:tc>
          <w:tcPr>
            <w:tcW w:w="1865" w:type="dxa"/>
            <w:tcBorders/>
            <w:shd w:fill="CCEEFF" w:val="clear"/>
            <w:vAlign w:val="center"/>
          </w:tcPr>
          <w:p>
            <w:pPr>
              <w:pStyle w:val="TableContents"/>
              <w:bidi w:val="0"/>
              <w:spacing w:before="0" w:after="283"/>
              <w:jc w:val="left"/>
              <w:rPr/>
            </w:pPr>
            <w:r>
              <w:rPr/>
              <w:t>Year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55" w:name="xdx_405_eus-gaap--FiniteLivedIntangibleA"/>
            <w:bookmarkEnd w:id="655"/>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75" w:type="dxa"/>
            <w:tcBorders/>
            <w:shd w:fill="FFFFFF" w:val="clear"/>
            <w:vAlign w:val="center"/>
          </w:tcPr>
          <w:p>
            <w:pPr>
              <w:pStyle w:val="TableContents"/>
              <w:bidi w:val="0"/>
              <w:spacing w:before="0" w:after="283"/>
              <w:jc w:val="left"/>
              <w:rPr/>
            </w:pPr>
            <w:r>
              <w:rPr/>
              <w:t> </w:t>
            </w:r>
            <w:bookmarkStart w:id="656" w:name="xdx_405_ecustom--FiniteLivedIntangibleAs"/>
            <w:bookmarkEnd w:id="656"/>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57" w:name="xdx_8A7_z4Tm6PoqF22g"/>
      <w:bookmarkEnd w:id="65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8" w:name="xdx_80B_eus-gaap--AccountsPayableAccrued"/>
      <w:bookmarkEnd w:id="658"/>
      <w:r>
        <w:rPr>
          <w:rFonts w:ascii="Times New Roman;Times;Serif" w:hAnsi="Times New Roman;Times;Serif"/>
          <w:b/>
          <w:i w:val="false"/>
          <w:caps w:val="false"/>
          <w:smallCaps w:val="false"/>
          <w:sz w:val="20"/>
        </w:rPr>
        <w:t xml:space="preserve">10. </w:t>
      </w:r>
      <w:bookmarkStart w:id="659" w:name="xdx_82D_zR8szT4hIOri"/>
      <w:bookmarkEnd w:id="659"/>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0" w:name="xdx_895_eus-gaap--ScheduleOfAccountsPaya"/>
      <w:bookmarkEnd w:id="660"/>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bookmarkStart w:id="661" w:name="xdx_8B8_zxqgaKEaDxKi"/>
      <w:bookmarkEnd w:id="661"/>
      <w:r>
        <w:rPr>
          <w:rFonts w:ascii="Times New Roman;Times;Serif" w:hAnsi="Times New Roman;Times;Serif"/>
          <w:b w:val="false"/>
          <w:i w:val="false"/>
          <w:caps w:val="false"/>
          <w:smallCaps w:val="false"/>
          <w:sz w:val="20"/>
        </w:rPr>
        <w:t>Schedule of Accrued Expenses and Other Current Liabilities</w:t>
      </w:r>
    </w:p>
    <w:tbl>
      <w:tblPr>
        <w:tblW w:w="8700" w:type="dxa"/>
        <w:jc w:val="left"/>
        <w:tblInd w:w="0" w:type="dxa"/>
        <w:tblLayout w:type="fixed"/>
        <w:tblCellMar>
          <w:top w:w="0" w:type="dxa"/>
          <w:left w:w="0" w:type="dxa"/>
          <w:bottom w:w="0" w:type="dxa"/>
          <w:right w:w="0" w:type="dxa"/>
        </w:tblCellMar>
      </w:tblPr>
      <w:tblGrid>
        <w:gridCol w:w="4880"/>
        <w:gridCol w:w="60"/>
        <w:gridCol w:w="322"/>
        <w:gridCol w:w="1288"/>
        <w:gridCol w:w="60"/>
        <w:gridCol w:w="60"/>
        <w:gridCol w:w="391"/>
        <w:gridCol w:w="1564"/>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62" w:name="xdx_494_20260331_zrxRRIscZtb6"/>
            <w:bookmarkEnd w:id="662"/>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3" w:name="xdx_49A_20251231_zddRCAtBfYB1"/>
            <w:bookmarkEnd w:id="663"/>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64" w:name="xdx_405_ecustom--AccruedAccountingAndPro"/>
            <w:bookmarkEnd w:id="664"/>
          </w:p>
        </w:tc>
      </w:tr>
      <w:tr>
        <w:trPr/>
        <w:tc>
          <w:tcPr>
            <w:tcW w:w="4880" w:type="dxa"/>
            <w:tcBorders/>
            <w:shd w:fill="FFFFFF" w:val="clear"/>
            <w:vAlign w:val="center"/>
          </w:tcPr>
          <w:p>
            <w:pPr>
              <w:pStyle w:val="TableContents"/>
              <w:bidi w:val="0"/>
              <w:spacing w:before="0" w:after="283"/>
              <w:jc w:val="left"/>
              <w:rPr/>
            </w:pPr>
            <w:r>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2,365</w:t>
            </w:r>
          </w:p>
        </w:tc>
        <w:tc>
          <w:tcPr>
            <w:tcW w:w="75" w:type="dxa"/>
            <w:tcBorders/>
            <w:shd w:fill="FFFFFF" w:val="clear"/>
            <w:vAlign w:val="center"/>
          </w:tcPr>
          <w:p>
            <w:pPr>
              <w:pStyle w:val="TableContents"/>
              <w:bidi w:val="0"/>
              <w:spacing w:before="0" w:after="283"/>
              <w:jc w:val="left"/>
              <w:rPr/>
            </w:pPr>
            <w:r>
              <w:rPr/>
              <w:t> </w:t>
            </w:r>
            <w:bookmarkStart w:id="665" w:name="xdx_400_ecustom--SalesTaxPayableCurrent_"/>
            <w:bookmarkEnd w:id="665"/>
          </w:p>
        </w:tc>
      </w:tr>
      <w:tr>
        <w:trPr/>
        <w:tc>
          <w:tcPr>
            <w:tcW w:w="4880"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251</w:t>
            </w:r>
          </w:p>
        </w:tc>
        <w:tc>
          <w:tcPr>
            <w:tcW w:w="75" w:type="dxa"/>
            <w:tcBorders/>
            <w:shd w:fill="CCEEFF" w:val="clear"/>
            <w:vAlign w:val="center"/>
          </w:tcPr>
          <w:p>
            <w:pPr>
              <w:pStyle w:val="TableContents"/>
              <w:bidi w:val="0"/>
              <w:spacing w:before="0" w:after="283"/>
              <w:jc w:val="left"/>
              <w:rPr/>
            </w:pPr>
            <w:r>
              <w:rPr/>
              <w:t> </w:t>
            </w:r>
            <w:bookmarkStart w:id="666" w:name="xdx_40F_ecustom--ExciseTaxPayableCurrent"/>
            <w:bookmarkEnd w:id="666"/>
          </w:p>
        </w:tc>
      </w:tr>
      <w:tr>
        <w:trPr/>
        <w:tc>
          <w:tcPr>
            <w:tcW w:w="4880" w:type="dxa"/>
            <w:tcBorders/>
            <w:shd w:fill="FFFFFF" w:val="clear"/>
            <w:vAlign w:val="center"/>
          </w:tcPr>
          <w:p>
            <w:pPr>
              <w:pStyle w:val="TableContents"/>
              <w:bidi w:val="0"/>
              <w:spacing w:before="0" w:after="283"/>
              <w:jc w:val="left"/>
              <w:rPr/>
            </w:pPr>
            <w:r>
              <w:rPr/>
              <w:t>Excise tax payable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bookmarkStart w:id="667" w:name="xdx_404_eus-gaap--AccruedIncomeTaxesCurr"/>
            <w:bookmarkEnd w:id="667"/>
          </w:p>
        </w:tc>
      </w:tr>
      <w:tr>
        <w:trPr/>
        <w:tc>
          <w:tcPr>
            <w:tcW w:w="4880" w:type="dxa"/>
            <w:tcBorders/>
            <w:shd w:fill="CCEEFF" w:val="clear"/>
            <w:vAlign w:val="center"/>
          </w:tcPr>
          <w:p>
            <w:pPr>
              <w:pStyle w:val="TableContents"/>
              <w:bidi w:val="0"/>
              <w:spacing w:before="0" w:after="283"/>
              <w:jc w:val="left"/>
              <w:rPr/>
            </w:pPr>
            <w:r>
              <w:rPr/>
              <w:t>Provision for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578</w:t>
            </w:r>
          </w:p>
        </w:tc>
        <w:tc>
          <w:tcPr>
            <w:tcW w:w="75" w:type="dxa"/>
            <w:tcBorders/>
            <w:shd w:fill="CCEEFF" w:val="clear"/>
            <w:vAlign w:val="center"/>
          </w:tcPr>
          <w:p>
            <w:pPr>
              <w:pStyle w:val="TableContents"/>
              <w:bidi w:val="0"/>
              <w:spacing w:before="0" w:after="283"/>
              <w:jc w:val="left"/>
              <w:rPr/>
            </w:pPr>
            <w:r>
              <w:rPr/>
              <w:t> </w:t>
            </w:r>
            <w:bookmarkStart w:id="668" w:name="xdx_408_ecustom--AccruedPayrollAndBenefi"/>
            <w:bookmarkEnd w:id="668"/>
          </w:p>
        </w:tc>
      </w:tr>
      <w:tr>
        <w:trPr/>
        <w:tc>
          <w:tcPr>
            <w:tcW w:w="4880" w:type="dxa"/>
            <w:tcBorders/>
            <w:shd w:fill="FFFFFF" w:val="clear"/>
            <w:vAlign w:val="center"/>
          </w:tcPr>
          <w:p>
            <w:pPr>
              <w:pStyle w:val="TableContents"/>
              <w:bidi w:val="0"/>
              <w:spacing w:before="0" w:after="283"/>
              <w:jc w:val="left"/>
              <w:rPr/>
            </w:pPr>
            <w:r>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440</w:t>
            </w:r>
          </w:p>
        </w:tc>
        <w:tc>
          <w:tcPr>
            <w:tcW w:w="75" w:type="dxa"/>
            <w:tcBorders/>
            <w:shd w:fill="FFFFFF" w:val="clear"/>
            <w:vAlign w:val="center"/>
          </w:tcPr>
          <w:p>
            <w:pPr>
              <w:pStyle w:val="TableContents"/>
              <w:bidi w:val="0"/>
              <w:spacing w:before="0" w:after="283"/>
              <w:jc w:val="left"/>
              <w:rPr/>
            </w:pPr>
            <w:r>
              <w:rPr/>
              <w:t> </w:t>
            </w:r>
            <w:bookmarkStart w:id="669" w:name="xdx_403_ecustom--AccruedLegalCosts_iI_ma"/>
            <w:bookmarkEnd w:id="669"/>
          </w:p>
        </w:tc>
      </w:tr>
      <w:tr>
        <w:trPr/>
        <w:tc>
          <w:tcPr>
            <w:tcW w:w="4880" w:type="dxa"/>
            <w:tcBorders/>
            <w:shd w:fill="CCEEFF" w:val="clear"/>
            <w:vAlign w:val="center"/>
          </w:tcPr>
          <w:p>
            <w:pPr>
              <w:pStyle w:val="TableContents"/>
              <w:bidi w:val="0"/>
              <w:spacing w:before="0" w:after="283"/>
              <w:jc w:val="left"/>
              <w:rPr/>
            </w:pPr>
            <w:r>
              <w:rPr/>
              <w:t>Accrued legal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168</w:t>
            </w:r>
          </w:p>
        </w:tc>
        <w:tc>
          <w:tcPr>
            <w:tcW w:w="75" w:type="dxa"/>
            <w:tcBorders/>
            <w:shd w:fill="CCEEFF" w:val="clear"/>
            <w:vAlign w:val="center"/>
          </w:tcPr>
          <w:p>
            <w:pPr>
              <w:pStyle w:val="TableContents"/>
              <w:bidi w:val="0"/>
              <w:spacing w:before="0" w:after="283"/>
              <w:jc w:val="left"/>
              <w:rPr/>
            </w:pPr>
            <w:r>
              <w:rPr/>
              <w:t> </w:t>
            </w:r>
            <w:bookmarkStart w:id="670" w:name="xdx_407_ecustom--AccruedSubscriptionCost"/>
            <w:bookmarkEnd w:id="670"/>
          </w:p>
        </w:tc>
      </w:tr>
      <w:tr>
        <w:trPr/>
        <w:tc>
          <w:tcPr>
            <w:tcW w:w="4880" w:type="dxa"/>
            <w:tcBorders/>
            <w:shd w:fill="FFFFFF" w:val="clear"/>
            <w:vAlign w:val="center"/>
          </w:tcPr>
          <w:p>
            <w:pPr>
              <w:pStyle w:val="TableContents"/>
              <w:bidi w:val="0"/>
              <w:spacing w:before="0" w:after="283"/>
              <w:jc w:val="left"/>
              <w:rPr/>
            </w:pPr>
            <w:r>
              <w:rPr/>
              <w:t>Accrued subscription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bookmarkStart w:id="671" w:name="xdx_404_ecustom--AccruedStreamingService"/>
            <w:bookmarkEnd w:id="671"/>
          </w:p>
        </w:tc>
      </w:tr>
      <w:tr>
        <w:trPr/>
        <w:tc>
          <w:tcPr>
            <w:tcW w:w="4880" w:type="dxa"/>
            <w:tcBorders/>
            <w:shd w:fill="CCEEFF" w:val="clear"/>
            <w:vAlign w:val="center"/>
          </w:tcPr>
          <w:p>
            <w:pPr>
              <w:pStyle w:val="TableContents"/>
              <w:bidi w:val="0"/>
              <w:spacing w:before="0" w:after="283"/>
              <w:jc w:val="left"/>
              <w:rPr/>
            </w:pPr>
            <w:r>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bookmarkStart w:id="672" w:name="xdx_404_eus-gaap--OtherLiabilitiesCurren"/>
            <w:bookmarkEnd w:id="672"/>
          </w:p>
        </w:tc>
      </w:tr>
      <w:tr>
        <w:trPr/>
        <w:tc>
          <w:tcPr>
            <w:tcW w:w="48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bookmarkStart w:id="673" w:name="xdx_40F_eus-gaap--AccruedLiabilitiesAndO"/>
            <w:bookmarkEnd w:id="673"/>
          </w:p>
        </w:tc>
      </w:tr>
      <w:tr>
        <w:trPr/>
        <w:tc>
          <w:tcPr>
            <w:tcW w:w="4880"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4,354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4" w:name="xdx_800_eus-gaap--DebtDisclosureTextBloc"/>
      <w:bookmarkEnd w:id="674"/>
      <w:r>
        <w:rPr>
          <w:rFonts w:ascii="Times New Roman;Times;Serif" w:hAnsi="Times New Roman;Times;Serif"/>
          <w:b/>
          <w:i w:val="false"/>
          <w:caps w:val="false"/>
          <w:smallCaps w:val="false"/>
          <w:sz w:val="20"/>
        </w:rPr>
        <w:t xml:space="preserve">11. </w:t>
      </w:r>
      <w:bookmarkStart w:id="675" w:name="xdx_82A_zIpPJoVLNES5"/>
      <w:bookmarkEnd w:id="675"/>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w:t>
      </w:r>
      <w:bookmarkStart w:id="676" w:name="xdx_90E_eus-gaap--CommonStockValue_iI_pn"/>
      <w:bookmarkEnd w:id="676"/>
      <w:r>
        <w:rPr>
          <w:rFonts w:ascii="Times New Roman;Times;Serif" w:hAnsi="Times New Roman;Times;Serif"/>
          <w:b w:val="false"/>
          <w:i w:val="false"/>
          <w:caps w:val="false"/>
          <w:smallCaps w:val="false"/>
          <w:sz w:val="20"/>
        </w:rPr>
        <w:t xml:space="preserve">100 million and the Company was required to make and execute a warrant (“GEM Warrant”). The Company’s obligation to issue the GEM Warrant remained, granting GEM the right to purchase Class A Common Stock in an amount equal to </w:t>
      </w:r>
      <w:bookmarkStart w:id="677" w:name="xdx_90B_ecustom--PercentageOfRightToConv"/>
      <w:bookmarkEnd w:id="677"/>
      <w:r>
        <w:rPr>
          <w:rFonts w:ascii="Times New Roman;Times;Serif" w:hAnsi="Times New Roman;Times;Serif"/>
          <w:b w:val="false"/>
          <w:i w:val="false"/>
          <w:caps w:val="false"/>
          <w:smallCaps w:val="false"/>
          <w:sz w:val="20"/>
        </w:rPr>
        <w:t>3% of the total number of equity interests outstanding as of the Closing, calculated on a fully diluted basis, at an exercise price on the terms and conditions set forth therein, in exchange for issuance of a $</w:t>
      </w:r>
      <w:bookmarkStart w:id="678" w:name="xdx_906_eus-gaap--ConvertibleDebt_iI_pn5"/>
      <w:bookmarkEnd w:id="678"/>
      <w:r>
        <w:rPr>
          <w:rFonts w:ascii="Times New Roman;Times;Serif" w:hAnsi="Times New Roman;Times;Serif"/>
          <w:b w:val="false"/>
          <w:i w:val="false"/>
          <w:caps w:val="false"/>
          <w:smallCaps w:val="false"/>
          <w:sz w:val="20"/>
        </w:rPr>
        <w:t xml:space="preserve">2.0 million convertible debenture with a </w:t>
      </w:r>
      <w:bookmarkStart w:id="679" w:name="xdx_90D_eus-gaap--DebtInstrumentTerm_dtY"/>
      <w:bookmarkEnd w:id="679"/>
      <w:r>
        <w:rPr>
          <w:rFonts w:ascii="Times New Roman;Times;Serif" w:hAnsi="Times New Roman;Times;Serif"/>
          <w:b w:val="false"/>
          <w:i w:val="false"/>
          <w:caps w:val="false"/>
          <w:smallCaps w:val="false"/>
          <w:sz w:val="20"/>
        </w:rPr>
        <w:t xml:space="preserve">5 five-year maturity and </w:t>
      </w:r>
      <w:bookmarkStart w:id="680" w:name="xdx_901_ecustom--CouponRate_iI_pid_dp_uP"/>
      <w:bookmarkEnd w:id="680"/>
      <w:r>
        <w:rPr>
          <w:rFonts w:ascii="Times New Roman;Times;Serif" w:hAnsi="Times New Roman;Times;Serif"/>
          <w:b w:val="false"/>
          <w:i w:val="false"/>
          <w:caps w:val="false"/>
          <w:smallCaps w:val="false"/>
          <w:sz w:val="20"/>
        </w:rPr>
        <w:t>0% coupon. Due to the determination of the final terms of the planned $</w:t>
      </w:r>
      <w:bookmarkStart w:id="681" w:name="xdx_908_eus-gaap--ConvertibleDebt_iI_pn5"/>
      <w:bookmarkEnd w:id="681"/>
      <w:r>
        <w:rPr>
          <w:rFonts w:ascii="Times New Roman;Times;Serif" w:hAnsi="Times New Roman;Times;Serif"/>
          <w:b w:val="false"/>
          <w:i w:val="false"/>
          <w:caps w:val="false"/>
          <w:smallCaps w:val="false"/>
          <w:sz w:val="20"/>
        </w:rPr>
        <w:t>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w:t>
      </w:r>
      <w:bookmarkStart w:id="682" w:name="xdx_909_eus-gaap--DebtInstrumentFeeAmoun"/>
      <w:bookmarkEnd w:id="682"/>
      <w:r>
        <w:rPr>
          <w:rFonts w:ascii="Times New Roman;Times;Serif" w:hAnsi="Times New Roman;Times;Serif"/>
          <w:b w:val="false"/>
          <w:i w:val="false"/>
          <w:caps w:val="false"/>
          <w:smallCaps w:val="false"/>
          <w:sz w:val="20"/>
        </w:rPr>
        <w:t>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w:t>
      </w:r>
      <w:bookmarkStart w:id="683" w:name="xdx_90C_ecustom--DebtInstrumentCashAgree"/>
      <w:bookmarkEnd w:id="683"/>
      <w:r>
        <w:rPr>
          <w:rFonts w:ascii="Times New Roman;Times;Serif" w:hAnsi="Times New Roman;Times;Serif"/>
          <w:b w:val="false"/>
          <w:i w:val="false"/>
          <w:caps w:val="false"/>
          <w:smallCaps w:val="false"/>
          <w:sz w:val="20"/>
        </w:rPr>
        <w:t>1.2 million in cash within three business days of the GEM Settlement Agreement and (ii) issued to GEM, on February 5, 2024, an unsecured promissory zero coupon note in the amount of $</w:t>
      </w:r>
      <w:bookmarkStart w:id="684" w:name="xdx_902_eus-gaap--DebtInstrumentFaceAmou"/>
      <w:bookmarkEnd w:id="684"/>
      <w:r>
        <w:rPr>
          <w:rFonts w:ascii="Times New Roman;Times;Serif" w:hAnsi="Times New Roman;Times;Serif"/>
          <w:b w:val="false"/>
          <w:i w:val="false"/>
          <w:caps w:val="false"/>
          <w:smallCaps w:val="false"/>
          <w:sz w:val="20"/>
        </w:rPr>
        <w:t>1.0 million, payable in monthly installments of $</w:t>
      </w:r>
      <w:bookmarkStart w:id="685" w:name="xdx_900_eus-gaap--DebtInstrumentPeriodic"/>
      <w:bookmarkEnd w:id="685"/>
      <w:r>
        <w:rPr>
          <w:rFonts w:ascii="Times New Roman;Times;Serif" w:hAnsi="Times New Roman;Times;Serif"/>
          <w:b w:val="false"/>
          <w:i w:val="false"/>
          <w:caps w:val="false"/>
          <w:smallCaps w:val="false"/>
          <w:sz w:val="20"/>
        </w:rPr>
        <w:t>100 beginning on March 1, 2024, with the final payment to be made on December 1, 2024 (the “GEM Promissory Note”). The Company paid GEM the $</w:t>
      </w:r>
      <w:bookmarkStart w:id="686" w:name="xdx_907_eus-gaap--RepaymentsOfLongTermDe"/>
      <w:bookmarkEnd w:id="686"/>
      <w:r>
        <w:rPr>
          <w:rFonts w:ascii="Times New Roman;Times;Serif" w:hAnsi="Times New Roman;Times;Serif"/>
          <w:b w:val="false"/>
          <w:i w:val="false"/>
          <w:caps w:val="false"/>
          <w:smallCaps w:val="false"/>
          <w:sz w:val="20"/>
        </w:rPr>
        <w:t>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w:t>
      </w:r>
      <w:bookmarkStart w:id="687" w:name="xdx_90B_ecustom--SharesIssuableUnderProm"/>
      <w:bookmarkEnd w:id="687"/>
      <w:r>
        <w:rPr>
          <w:rFonts w:ascii="Times New Roman;Times;Serif" w:hAnsi="Times New Roman;Times;Serif"/>
          <w:b w:val="false"/>
          <w:i w:val="false"/>
          <w:caps w:val="false"/>
          <w:smallCaps w:val="false"/>
          <w:sz w:val="20"/>
        </w:rPr>
        <w:t>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issued an aggregate of </w:t>
      </w:r>
      <w:bookmarkStart w:id="688" w:name="xdx_905_ecustom--SharesIssuableUnderProm"/>
      <w:bookmarkEnd w:id="688"/>
      <w:r>
        <w:rPr>
          <w:rFonts w:ascii="Times New Roman;Times;Serif" w:hAnsi="Times New Roman;Times;Serif"/>
          <w:b w:val="false"/>
          <w:i w:val="false"/>
          <w:caps w:val="false"/>
          <w:smallCaps w:val="false"/>
          <w:sz w:val="20"/>
        </w:rPr>
        <w:t>950 shares of Class A Common Stock to GEM in lieu of monthly payment obligations and during the three months ended March 31, 2025 the Company paid an aggregate of $</w:t>
      </w:r>
      <w:bookmarkStart w:id="689" w:name="xdx_90C_eus-gaap--ConvertibleDebt_iI_c20"/>
      <w:bookmarkEnd w:id="689"/>
      <w:r>
        <w:rPr>
          <w:rFonts w:ascii="Times New Roman;Times;Serif" w:hAnsi="Times New Roman;Times;Serif"/>
          <w:b w:val="false"/>
          <w:i w:val="false"/>
          <w:caps w:val="false"/>
          <w:smallCaps w:val="false"/>
          <w:sz w:val="20"/>
        </w:rPr>
        <w:t>215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w:t>
      </w:r>
      <w:bookmarkStart w:id="690" w:name="xdx_90D_eus-gaap--DebtInstrumentFaceAmou"/>
      <w:bookmarkEnd w:id="690"/>
      <w:r>
        <w:rPr>
          <w:rFonts w:ascii="Times New Roman;Times;Serif" w:hAnsi="Times New Roman;Times;Serif"/>
          <w:b w:val="false"/>
          <w:i w:val="false"/>
          <w:caps w:val="false"/>
          <w:smallCaps w:val="false"/>
          <w:sz w:val="20"/>
        </w:rPr>
        <w:t>3.5 million, $</w:t>
      </w:r>
      <w:bookmarkStart w:id="691" w:name="xdx_90C_eus-gaap--DebtInstrumentFaceAmou"/>
      <w:bookmarkEnd w:id="691"/>
      <w:r>
        <w:rPr>
          <w:rFonts w:ascii="Times New Roman;Times;Serif" w:hAnsi="Times New Roman;Times;Serif"/>
          <w:b w:val="false"/>
          <w:i w:val="false"/>
          <w:caps w:val="false"/>
          <w:smallCaps w:val="false"/>
          <w:sz w:val="20"/>
        </w:rPr>
        <w:t>2.0 million of which was funded at the Closing in exchange for the issuance by the Company of a Convertible Promissory Note (the “December Yorkville Convertible Note”). The Company received net proceeds of $</w:t>
      </w:r>
      <w:bookmarkStart w:id="692" w:name="xdx_90D_eus-gaap--ProceedsFromIssuanceOf"/>
      <w:bookmarkEnd w:id="692"/>
      <w:r>
        <w:rPr>
          <w:rFonts w:ascii="Times New Roman;Times;Serif" w:hAnsi="Times New Roman;Times;Serif"/>
          <w:b w:val="false"/>
          <w:i w:val="false"/>
          <w:caps w:val="false"/>
          <w:smallCaps w:val="false"/>
          <w:sz w:val="20"/>
        </w:rPr>
        <w:t>1.8 million after a non-cash original issue discount of $</w:t>
      </w:r>
      <w:bookmarkStart w:id="693" w:name="xdx_901_eus-gaap--AmortizationOfDebtDisc"/>
      <w:bookmarkEnd w:id="693"/>
      <w:r>
        <w:rPr>
          <w:rFonts w:ascii="Times New Roman;Times;Serif" w:hAnsi="Times New Roman;Times;Serif"/>
          <w:b w:val="false"/>
          <w:i w:val="false"/>
          <w:caps w:val="false"/>
          <w:smallCaps w:val="false"/>
          <w:sz w:val="20"/>
        </w:rPr>
        <w:t>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w:t>
      </w:r>
      <w:bookmarkStart w:id="694" w:name="xdx_905_ecustom--IncreasedPrincipalAmoun"/>
      <w:bookmarkEnd w:id="694"/>
      <w:r>
        <w:rPr>
          <w:rFonts w:ascii="Times New Roman;Times;Serif" w:hAnsi="Times New Roman;Times;Serif"/>
          <w:b w:val="false"/>
          <w:i w:val="false"/>
          <w:caps w:val="false"/>
          <w:smallCaps w:val="false"/>
          <w:sz w:val="20"/>
        </w:rPr>
        <w:t>1.0 million (the “Additional Pre-Paid Advance Amount”), for an aggregate principal amount of $</w:t>
      </w:r>
      <w:bookmarkStart w:id="695" w:name="xdx_90A_ecustom--AggregatePrincipalAmoun"/>
      <w:bookmarkEnd w:id="695"/>
      <w:r>
        <w:rPr>
          <w:rFonts w:ascii="Times New Roman;Times;Serif" w:hAnsi="Times New Roman;Times;Serif"/>
          <w:b w:val="false"/>
          <w:i w:val="false"/>
          <w:caps w:val="false"/>
          <w:smallCaps w:val="false"/>
          <w:sz w:val="20"/>
        </w:rPr>
        <w:t>4.5 million to be advanced by Yorkville to the Company in the form of convertible promissory notes. On February 5, 2024 in exchange for a promissory note in the principal amount of $</w:t>
      </w:r>
      <w:bookmarkStart w:id="696" w:name="xdx_900_eus-gaap--DebtInstrumentFaceAmou"/>
      <w:bookmarkEnd w:id="696"/>
      <w:r>
        <w:rPr>
          <w:rFonts w:ascii="Times New Roman;Times;Serif" w:hAnsi="Times New Roman;Times;Serif"/>
          <w:b w:val="false"/>
          <w:i w:val="false"/>
          <w:caps w:val="false"/>
          <w:smallCaps w:val="false"/>
          <w:sz w:val="20"/>
        </w:rPr>
        <w:t>1.0 million (the “February Yorkville Promissory Note”), with the same terms as the December Yorkville Convertible Note, the Company received net proceeds of $</w:t>
      </w:r>
      <w:bookmarkStart w:id="697" w:name="xdx_900_eus-gaap--ProceedsFromIssuanceOf"/>
      <w:bookmarkEnd w:id="697"/>
      <w:r>
        <w:rPr>
          <w:rFonts w:ascii="Times New Roman;Times;Serif" w:hAnsi="Times New Roman;Times;Serif"/>
          <w:b w:val="false"/>
          <w:i w:val="false"/>
          <w:caps w:val="false"/>
          <w:smallCaps w:val="false"/>
          <w:sz w:val="20"/>
        </w:rPr>
        <w:t>900 after an original issue discount of $</w:t>
      </w:r>
      <w:bookmarkStart w:id="698" w:name="xdx_905_eus-gaap--AmortizationOfDebtDisc"/>
      <w:bookmarkEnd w:id="698"/>
      <w:r>
        <w:rPr>
          <w:rFonts w:ascii="Times New Roman;Times;Serif" w:hAnsi="Times New Roman;Times;Serif"/>
          <w:b w:val="false"/>
          <w:i w:val="false"/>
          <w:caps w:val="false"/>
          <w:smallCaps w:val="false"/>
          <w:sz w:val="20"/>
        </w:rPr>
        <w:t>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w:t>
      </w:r>
      <w:bookmarkStart w:id="699" w:name="xdx_908_eus-gaap--DebtInstrumentFaceAmou"/>
      <w:bookmarkEnd w:id="699"/>
      <w:r>
        <w:rPr>
          <w:rFonts w:ascii="Times New Roman;Times;Serif" w:hAnsi="Times New Roman;Times;Serif"/>
          <w:b w:val="false"/>
          <w:i w:val="false"/>
          <w:caps w:val="false"/>
          <w:smallCaps w:val="false"/>
          <w:sz w:val="20"/>
        </w:rPr>
        <w:t>1.5 million (the “March Yorkville Promissory Note” and, together with the December Yorkville Convertible Note and February Yorkville Promissory Note, the “Yorkville Promissory Notes”), received net proceeds of $</w:t>
      </w:r>
      <w:bookmarkStart w:id="700" w:name="xdx_904_eus-gaap--ProceedsFromIssuanceOf"/>
      <w:bookmarkEnd w:id="700"/>
      <w:r>
        <w:rPr>
          <w:rFonts w:ascii="Times New Roman;Times;Serif" w:hAnsi="Times New Roman;Times;Serif"/>
          <w:b w:val="false"/>
          <w:i w:val="false"/>
          <w:caps w:val="false"/>
          <w:smallCaps w:val="false"/>
          <w:sz w:val="20"/>
        </w:rPr>
        <w:t>1,250 after an original issue discount of $</w:t>
      </w:r>
      <w:bookmarkStart w:id="701" w:name="xdx_909_eus-gaap--AmortizationOfDebtDisc"/>
      <w:bookmarkEnd w:id="701"/>
      <w:r>
        <w:rPr>
          <w:rFonts w:ascii="Times New Roman;Times;Serif" w:hAnsi="Times New Roman;Times;Serif"/>
          <w:b w:val="false"/>
          <w:i w:val="false"/>
          <w:caps w:val="false"/>
          <w:smallCaps w:val="false"/>
          <w:sz w:val="20"/>
        </w:rPr>
        <w:t>250.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w:t>
      </w:r>
      <w:bookmarkStart w:id="702" w:name="xdx_90F_eus-gaap--RepaymentsOfConvertibl"/>
      <w:bookmarkEnd w:id="702"/>
      <w:r>
        <w:rPr>
          <w:rFonts w:ascii="Times New Roman;Times;Serif" w:hAnsi="Times New Roman;Times;Serif"/>
          <w:b w:val="false"/>
          <w:i w:val="false"/>
          <w:caps w:val="false"/>
          <w:smallCaps w:val="false"/>
          <w:sz w:val="20"/>
        </w:rPr>
        <w:t xml:space="preserve">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w:t>
      </w:r>
      <w:bookmarkStart w:id="703" w:name="xdx_90A_eus-gaap--DebtInstrumentMaturity"/>
      <w:bookmarkEnd w:id="703"/>
      <w:r>
        <w:rPr>
          <w:rFonts w:ascii="Times New Roman;Times;Serif" w:hAnsi="Times New Roman;Times;Serif"/>
          <w:b w:val="false"/>
          <w:i w:val="false"/>
          <w:caps w:val="false"/>
          <w:smallCaps w:val="false"/>
          <w:sz w:val="20"/>
        </w:rPr>
        <w:t>Under the Original Debt Repayment Agreement, the Company and Yorkville also agreed to extend the maturity date of the Yorkville Promissory Notes to the date that is 120 days after the closing of the offering and to satisfy the $</w:t>
      </w:r>
      <w:bookmarkStart w:id="704" w:name="xdx_904_eus-gaap--RedemptionPremium_pn3n"/>
      <w:bookmarkEnd w:id="704"/>
      <w:r>
        <w:rPr>
          <w:rFonts w:ascii="Times New Roman;Times;Serif" w:hAnsi="Times New Roman;Times;Serif"/>
          <w:b w:val="false"/>
          <w:i w:val="false"/>
          <w:caps w:val="false"/>
          <w:smallCaps w:val="false"/>
          <w:sz w:val="20"/>
        </w:rPr>
        <w:t>200 payment premium due in connection with an early redemption through the issuance of an Advance Notice (as defined in the SEPA) for shares of the Company’s Class A Common Stock, par value $</w:t>
      </w:r>
      <w:bookmarkStart w:id="705" w:name="xdx_900_eus-gaap--SharesIssuedPricePerSh"/>
      <w:bookmarkEnd w:id="705"/>
      <w:r>
        <w:rPr>
          <w:rFonts w:ascii="Times New Roman;Times;Serif" w:hAnsi="Times New Roman;Times;Serif"/>
          <w:b w:val="false"/>
          <w:i w:val="false"/>
          <w:caps w:val="false"/>
          <w:smallCaps w:val="false"/>
          <w:sz w:val="20"/>
        </w:rPr>
        <w:t xml:space="preserve">0.0001 per share. The Original Debt Repayment Agreement was conditioned on the completion of the offering by </w:t>
      </w:r>
      <w:bookmarkStart w:id="706" w:name="xdx_90B_eus-gaap--DebtInstrumentOffering"/>
      <w:bookmarkEnd w:id="706"/>
      <w:r>
        <w:rPr>
          <w:rFonts w:ascii="Times New Roman;Times;Serif" w:hAnsi="Times New Roman;Times;Serif"/>
          <w:b w:val="false"/>
          <w:i w:val="false"/>
          <w:caps w:val="false"/>
          <w:smallCaps w:val="false"/>
          <w:sz w:val="20"/>
        </w:rPr>
        <w:t>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w:t>
      </w:r>
      <w:bookmarkStart w:id="707" w:name="xdx_90E_eus-gaap--RepaymentsOfConvertibl"/>
      <w:bookmarkEnd w:id="707"/>
      <w:r>
        <w:rPr>
          <w:rFonts w:ascii="Times New Roman;Times;Serif" w:hAnsi="Times New Roman;Times;Serif"/>
          <w:b w:val="false"/>
          <w:i w:val="false"/>
          <w:caps w:val="false"/>
          <w:smallCaps w:val="false"/>
          <w:sz w:val="20"/>
        </w:rPr>
        <w:t>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w:t>
      </w:r>
      <w:bookmarkStart w:id="708" w:name="xdx_90A_eus-gaap--RedemptionPremium_pn3n"/>
      <w:bookmarkEnd w:id="708"/>
      <w:r>
        <w:rPr>
          <w:rFonts w:ascii="Times New Roman;Times;Serif" w:hAnsi="Times New Roman;Times;Serif"/>
          <w:b w:val="false"/>
          <w:i w:val="false"/>
          <w:caps w:val="false"/>
          <w:smallCaps w:val="false"/>
          <w:sz w:val="20"/>
        </w:rPr>
        <w:t>75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w:t>
      </w:r>
      <w:bookmarkStart w:id="709" w:name="xdx_90B_ecustom--AggregatePrincipalAmoun"/>
      <w:bookmarkEnd w:id="709"/>
      <w:r>
        <w:rPr>
          <w:rFonts w:ascii="Times New Roman;Times;Serif" w:hAnsi="Times New Roman;Times;Serif"/>
          <w:b w:val="false"/>
          <w:i w:val="false"/>
          <w:caps w:val="false"/>
          <w:smallCaps w:val="false"/>
          <w:sz w:val="20"/>
        </w:rPr>
        <w:t xml:space="preserve">750 on May 31, 2024 (the “Repayment Date”), and issued an Advance Notice for the purchase of </w:t>
      </w:r>
      <w:bookmarkStart w:id="710" w:name="xdx_902_eus-gaap--StockIssuedDuringPerio"/>
      <w:bookmarkEnd w:id="710"/>
      <w:r>
        <w:rPr>
          <w:rFonts w:ascii="Times New Roman;Times;Serif" w:hAnsi="Times New Roman;Times;Serif"/>
          <w:b w:val="false"/>
          <w:i w:val="false"/>
          <w:caps w:val="false"/>
          <w:smallCaps w:val="false"/>
          <w:sz w:val="20"/>
        </w:rPr>
        <w:t>60 shares of Class A Common Stock (the “Premium Advance Shares”) (representing the number of shares the Company reasonably believed would be sufficient to result in net proceeds of $</w:t>
      </w:r>
      <w:bookmarkStart w:id="711" w:name="xdx_909_eus-gaap--ProceedsFromIssuanceOf"/>
      <w:bookmarkEnd w:id="711"/>
      <w:r>
        <w:rPr>
          <w:rFonts w:ascii="Times New Roman;Times;Serif" w:hAnsi="Times New Roman;Times;Serif"/>
          <w:b w:val="false"/>
          <w:i w:val="false"/>
          <w:caps w:val="false"/>
          <w:smallCaps w:val="false"/>
          <w:sz w:val="20"/>
        </w:rPr>
        <w:t>75 as of the Repayment Date) (the “Premium Advance”). The total purchase price for the Premium Advance was $</w:t>
      </w:r>
      <w:bookmarkStart w:id="712" w:name="xdx_906_eus-gaap--DebtInstrumentFaceAmou"/>
      <w:bookmarkEnd w:id="712"/>
      <w:r>
        <w:rPr>
          <w:rFonts w:ascii="Times New Roman;Times;Serif" w:hAnsi="Times New Roman;Times;Serif"/>
          <w:b w:val="false"/>
          <w:i w:val="false"/>
          <w:caps w:val="false"/>
          <w:smallCaps w:val="false"/>
          <w:sz w:val="20"/>
        </w:rPr>
        <w:t>110, of which $</w:t>
      </w:r>
      <w:bookmarkStart w:id="713" w:name="xdx_900_eus-gaap--RedemptionPremium_pn3n"/>
      <w:bookmarkEnd w:id="713"/>
      <w:r>
        <w:rPr>
          <w:rFonts w:ascii="Times New Roman;Times;Serif" w:hAnsi="Times New Roman;Times;Serif"/>
          <w:b w:val="false"/>
          <w:i w:val="false"/>
          <w:caps w:val="false"/>
          <w:smallCaps w:val="false"/>
          <w:sz w:val="20"/>
        </w:rPr>
        <w:t>75 was applied in satisfaction of the Payment Premium, and the remaining $</w:t>
      </w:r>
      <w:bookmarkStart w:id="714" w:name="xdx_90F_ecustom--DebtInstrumentCashSurpl"/>
      <w:bookmarkEnd w:id="714"/>
      <w:r>
        <w:rPr>
          <w:rFonts w:ascii="Times New Roman;Times;Serif" w:hAnsi="Times New Roman;Times;Serif"/>
          <w:b w:val="false"/>
          <w:i w:val="false"/>
          <w:caps w:val="false"/>
          <w:smallCaps w:val="false"/>
          <w:sz w:val="20"/>
        </w:rPr>
        <w:t>35 was paid by Yorkville to the Company in cash (the “Cash Surplus”). The Premium Advance Shares were recorded at fair value totaling $</w:t>
      </w:r>
      <w:bookmarkStart w:id="715" w:name="xdx_90D_eus-gaap--DebtInstrumentFairValu"/>
      <w:bookmarkEnd w:id="715"/>
      <w:r>
        <w:rPr>
          <w:rFonts w:ascii="Times New Roman;Times;Serif" w:hAnsi="Times New Roman;Times;Serif"/>
          <w:b w:val="false"/>
          <w:i w:val="false"/>
          <w:caps w:val="false"/>
          <w:smallCaps w:val="false"/>
          <w:sz w:val="20"/>
        </w:rPr>
        <w:t>116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w:t>
      </w:r>
      <w:bookmarkStart w:id="716" w:name="xdx_901_ecustom--DebtInstrumentReduction"/>
      <w:bookmarkEnd w:id="716"/>
      <w:r>
        <w:rPr>
          <w:rFonts w:ascii="Times New Roman;Times;Serif" w:hAnsi="Times New Roman;Times;Serif"/>
          <w:b w:val="false"/>
          <w:i w:val="false"/>
          <w:caps w:val="false"/>
          <w:smallCaps w:val="false"/>
          <w:sz w:val="20"/>
        </w:rPr>
        <w:t xml:space="preserve">0.7 million, with </w:t>
      </w:r>
      <w:bookmarkStart w:id="717" w:name="xdx_902_eus-gaap--DebtInstrumentInterest"/>
      <w:bookmarkEnd w:id="717"/>
      <w:r>
        <w:rPr>
          <w:rFonts w:ascii="Times New Roman;Times;Serif" w:hAnsi="Times New Roman;Times;Serif"/>
          <w:b w:val="false"/>
          <w:i w:val="false"/>
          <w:caps w:val="false"/>
          <w:smallCaps w:val="false"/>
          <w:sz w:val="20"/>
        </w:rPr>
        <w:t>no remaining interest, the floor price, as described in the Outstanding Promissory Notes, was adjusted to $</w:t>
      </w:r>
      <w:bookmarkStart w:id="718" w:name="xdx_905_ecustom--DebtInstrumentAdjustedA"/>
      <w:bookmarkEnd w:id="718"/>
      <w:r>
        <w:rPr>
          <w:rFonts w:ascii="Times New Roman;Times;Serif" w:hAnsi="Times New Roman;Times;Serif"/>
          <w:b w:val="false"/>
          <w:i w:val="false"/>
          <w:caps w:val="false"/>
          <w:smallCaps w:val="false"/>
          <w:sz w:val="20"/>
        </w:rPr>
        <w:t xml:space="preserve">400.00 per share, and the </w:t>
      </w:r>
      <w:bookmarkStart w:id="719" w:name="xdx_90A_ecustom--DebtInstrumentExtendedM"/>
      <w:bookmarkEnd w:id="719"/>
      <w:r>
        <w:rPr>
          <w:rFonts w:ascii="Times New Roman;Times;Serif" w:hAnsi="Times New Roman;Times;Serif"/>
          <w:b w:val="false"/>
          <w:i w:val="false"/>
          <w:caps w:val="false"/>
          <w:smallCaps w:val="false"/>
          <w:sz w:val="20"/>
        </w:rPr>
        <w:t>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w:t>
      </w:r>
      <w:bookmarkStart w:id="720" w:name="xdx_90B_eus-gaap--DebtInstrumentMaturity"/>
      <w:bookmarkEnd w:id="720"/>
      <w:r>
        <w:rPr>
          <w:rFonts w:ascii="Times New Roman;Times;Serif" w:hAnsi="Times New Roman;Times;Serif"/>
          <w:b w:val="false"/>
          <w:i w:val="false"/>
          <w:caps w:val="false"/>
          <w:smallCaps w:val="false"/>
          <w:sz w:val="20"/>
          <w:shd w:fill="FFFFFF" w:val="clear"/>
        </w:rPr>
        <w:t xml:space="preserve">January 17, 2025, and accrue interest at </w:t>
      </w:r>
      <w:bookmarkStart w:id="721" w:name="xdx_908_eus-gaap--DebtInstrumentInterest"/>
      <w:bookmarkEnd w:id="721"/>
      <w:r>
        <w:rPr>
          <w:rFonts w:ascii="Times New Roman;Times;Serif" w:hAnsi="Times New Roman;Times;Serif"/>
          <w:b w:val="false"/>
          <w:i w:val="false"/>
          <w:caps w:val="false"/>
          <w:smallCaps w:val="false"/>
          <w:sz w:val="20"/>
          <w:shd w:fill="FFFFFF" w:val="clear"/>
        </w:rPr>
        <w:t xml:space="preserve">0% per annum, subject to an increase to </w:t>
      </w:r>
      <w:bookmarkStart w:id="722" w:name="xdx_906_eus-gaap--DebtInstrumentInterest"/>
      <w:bookmarkEnd w:id="722"/>
      <w:r>
        <w:rPr>
          <w:rFonts w:ascii="Times New Roman;Times;Serif" w:hAnsi="Times New Roman;Times;Serif"/>
          <w:b w:val="false"/>
          <w:i w:val="false"/>
          <w:caps w:val="false"/>
          <w:smallCaps w:val="false"/>
          <w:sz w:val="20"/>
          <w:shd w:fill="FFFFFF" w:val="clear"/>
        </w:rPr>
        <w:t>18% per annum upon events of default as defined in the agreement. As of March 31, 2026, no events of default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Yorkville will not have the right to convert any portion of the principal to the extent that after giving effect to such conversion, Yorkville would beneficially own in excess of </w:t>
      </w:r>
      <w:bookmarkStart w:id="723" w:name="xdx_90A_eus-gaap--DebtConversionConverte"/>
      <w:bookmarkEnd w:id="723"/>
      <w:r>
        <w:rPr>
          <w:rFonts w:ascii="Times New Roman;Times;Serif" w:hAnsi="Times New Roman;Times;Serif"/>
          <w:b w:val="false"/>
          <w:i w:val="false"/>
          <w:caps w:val="false"/>
          <w:smallCaps w:val="false"/>
          <w:sz w:val="20"/>
        </w:rPr>
        <w:t>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at its option, shall have the right, but not the obligation, to redeem early a portion or all amounts outstanding under the Promissory Notes at a redemption amount equal to the outstanding principal balance being repaid or redeemed, plus a </w:t>
      </w:r>
      <w:bookmarkStart w:id="724" w:name="xdx_90F_ecustom--PercentageOfPrepaymentP"/>
      <w:bookmarkEnd w:id="724"/>
      <w:r>
        <w:rPr>
          <w:rFonts w:ascii="Times New Roman;Times;Serif" w:hAnsi="Times New Roman;Times;Serif"/>
          <w:b w:val="false"/>
          <w:i w:val="false"/>
          <w:caps w:val="false"/>
          <w:smallCaps w:val="false"/>
          <w:sz w:val="20"/>
        </w:rPr>
        <w:t>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w:t>
      </w:r>
      <w:bookmarkStart w:id="725" w:name="xdx_90A_eus-gaap--RepaymentsOfConvertibl"/>
      <w:bookmarkEnd w:id="725"/>
      <w:r>
        <w:rPr>
          <w:rFonts w:ascii="Times New Roman;Times;Serif" w:hAnsi="Times New Roman;Times;Serif"/>
          <w:b w:val="false"/>
          <w:i w:val="false"/>
          <w:caps w:val="false"/>
          <w:smallCaps w:val="false"/>
          <w:sz w:val="20"/>
        </w:rPr>
        <w:t xml:space="preserve">1 million, plus (y) </w:t>
      </w:r>
      <w:bookmarkStart w:id="726" w:name="xdx_905_ecustom--PercentageOfRepaymentOf"/>
      <w:bookmarkEnd w:id="726"/>
      <w:r>
        <w:rPr>
          <w:rFonts w:ascii="Times New Roman;Times;Serif" w:hAnsi="Times New Roman;Times;Serif"/>
          <w:b w:val="false"/>
          <w:i w:val="false"/>
          <w:caps w:val="false"/>
          <w:smallCaps w:val="false"/>
          <w:sz w:val="20"/>
        </w:rPr>
        <w:t>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fell below the then in effect Floor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of $</w:t>
      </w:r>
      <w:bookmarkStart w:id="727" w:name="xdx_90F_ecustom--MaximumFloorPrice_iI_pi"/>
      <w:bookmarkEnd w:id="727"/>
      <w:r>
        <w:rPr>
          <w:rFonts w:ascii="Times New Roman;Times;Serif" w:hAnsi="Times New Roman;Times;Serif"/>
          <w:b w:val="false"/>
          <w:i w:val="false"/>
          <w:caps w:val="false"/>
          <w:smallCaps w:val="false"/>
          <w:sz w:val="20"/>
        </w:rPr>
        <w:t>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w:t>
      </w:r>
      <w:bookmarkStart w:id="728" w:name="xdx_900_ecustom--FloorPrice_iI_pid_c2024"/>
      <w:bookmarkEnd w:id="728"/>
      <w:r>
        <w:rPr>
          <w:rFonts w:ascii="Times New Roman;Times;Serif" w:hAnsi="Times New Roman;Times;Serif"/>
          <w:b w:val="false"/>
          <w:i w:val="false"/>
          <w:caps w:val="false"/>
          <w:smallCaps w:val="false"/>
          <w:sz w:val="20"/>
        </w:rPr>
        <w:t>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t>
      </w:r>
      <w:bookmarkStart w:id="729" w:name="xdx_901_eus-gaap--DebtInstrumentIssuedPr"/>
      <w:bookmarkEnd w:id="729"/>
      <w:r>
        <w:rPr>
          <w:rFonts w:ascii="Times New Roman;Times;Serif" w:hAnsi="Times New Roman;Times;Serif"/>
          <w:b w:val="false"/>
          <w:i w:val="false"/>
          <w:caps w:val="false"/>
          <w:smallCaps w:val="false"/>
          <w:sz w:val="20"/>
        </w:rPr>
        <w:t xml:space="preserve">2.0 million of the full outstanding principal under the December Yorkville Convertible Note, respectively, was converted into </w:t>
      </w:r>
      <w:bookmarkStart w:id="730" w:name="xdx_900_eus-gaap--ConversionOfStockShare"/>
      <w:bookmarkEnd w:id="730"/>
      <w:r>
        <w:rPr>
          <w:rFonts w:ascii="Times New Roman;Times;Serif" w:hAnsi="Times New Roman;Times;Serif"/>
          <w:b w:val="false"/>
          <w:i w:val="false"/>
          <w:caps w:val="false"/>
          <w:smallCaps w:val="false"/>
          <w:sz w:val="20"/>
        </w:rPr>
        <w:t>1,377 shares of Class A Common stock of the Company. During the year ended December 31, 2024, the full principal amount of $</w:t>
      </w:r>
      <w:bookmarkStart w:id="731" w:name="xdx_90A_eus-gaap--DebtInstrumentFaceAmou"/>
      <w:bookmarkEnd w:id="731"/>
      <w:r>
        <w:rPr>
          <w:rFonts w:ascii="Times New Roman;Times;Serif" w:hAnsi="Times New Roman;Times;Serif"/>
          <w:b w:val="false"/>
          <w:i w:val="false"/>
          <w:caps w:val="false"/>
          <w:smallCaps w:val="false"/>
          <w:sz w:val="20"/>
        </w:rPr>
        <w:t xml:space="preserve">1.0 million under the February Yorkville Promissory Note was converted into </w:t>
      </w:r>
      <w:bookmarkStart w:id="732" w:name="xdx_90F_eus-gaap--ConversionOfStockShare"/>
      <w:bookmarkEnd w:id="732"/>
      <w:r>
        <w:rPr>
          <w:rFonts w:ascii="Times New Roman;Times;Serif" w:hAnsi="Times New Roman;Times;Serif"/>
          <w:b w:val="false"/>
          <w:i w:val="false"/>
          <w:caps w:val="false"/>
          <w:smallCaps w:val="false"/>
          <w:sz w:val="20"/>
        </w:rPr>
        <w:t>145 Class A Common stock of the Company. During the year ended December 31, 2024, the full outstanding principal amount of $</w:t>
      </w:r>
      <w:bookmarkStart w:id="733" w:name="xdx_903_eus-gaap--DebtInstrumentFaceAmou"/>
      <w:bookmarkEnd w:id="733"/>
      <w:r>
        <w:rPr>
          <w:rFonts w:ascii="Times New Roman;Times;Serif" w:hAnsi="Times New Roman;Times;Serif"/>
          <w:b w:val="false"/>
          <w:i w:val="false"/>
          <w:caps w:val="false"/>
          <w:smallCaps w:val="false"/>
          <w:sz w:val="20"/>
        </w:rPr>
        <w:t xml:space="preserve">750 under the March Yorkville Promissory Note was converted into </w:t>
      </w:r>
      <w:bookmarkStart w:id="734" w:name="xdx_90A_eus-gaap--ConversionOfStockShare"/>
      <w:bookmarkEnd w:id="734"/>
      <w:r>
        <w:rPr>
          <w:rFonts w:ascii="Times New Roman;Times;Serif" w:hAnsi="Times New Roman;Times;Serif"/>
          <w:b w:val="false"/>
          <w:i w:val="false"/>
          <w:caps w:val="false"/>
          <w:smallCaps w:val="false"/>
          <w:sz w:val="20"/>
        </w:rPr>
        <w:t>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w:t>
      </w:r>
      <w:bookmarkStart w:id="735" w:name="xdx_901_eus-gaap--DebtInstrumentFaceAmou"/>
      <w:bookmarkEnd w:id="735"/>
      <w:r>
        <w:rPr>
          <w:rFonts w:ascii="Times New Roman;Times;Serif" w:hAnsi="Times New Roman;Times;Serif"/>
          <w:b w:val="false"/>
          <w:i w:val="false"/>
          <w:caps w:val="false"/>
          <w:smallCaps w:val="false"/>
          <w:sz w:val="20"/>
        </w:rPr>
        <w:t>3.5 million. The Company received net proceeds of $</w:t>
      </w:r>
      <w:bookmarkStart w:id="736" w:name="xdx_90D_eus-gaap--ProceedsFromIssuanceOf"/>
      <w:bookmarkEnd w:id="736"/>
      <w:r>
        <w:rPr>
          <w:rFonts w:ascii="Times New Roman;Times;Serif" w:hAnsi="Times New Roman;Times;Serif"/>
          <w:b w:val="false"/>
          <w:i w:val="false"/>
          <w:caps w:val="false"/>
          <w:smallCaps w:val="false"/>
          <w:sz w:val="20"/>
        </w:rPr>
        <w:t>3,140 after an original issue discount of $</w:t>
      </w:r>
      <w:bookmarkStart w:id="737" w:name="xdx_902_eus-gaap--AmortizationOfDebtDisc"/>
      <w:bookmarkEnd w:id="737"/>
      <w:r>
        <w:rPr>
          <w:rFonts w:ascii="Times New Roman;Times;Serif" w:hAnsi="Times New Roman;Times;Serif"/>
          <w:b w:val="false"/>
          <w:i w:val="false"/>
          <w:caps w:val="false"/>
          <w:smallCaps w:val="false"/>
          <w:sz w:val="20"/>
        </w:rPr>
        <w:t>350, and $</w:t>
      </w:r>
      <w:bookmarkStart w:id="738" w:name="xdx_90A_eus-gaap--DeferredFinanceCostsNe"/>
      <w:bookmarkEnd w:id="738"/>
      <w:r>
        <w:rPr>
          <w:rFonts w:ascii="Times New Roman;Times;Serif" w:hAnsi="Times New Roman;Times;Serif"/>
          <w:b w:val="false"/>
          <w:i w:val="false"/>
          <w:caps w:val="false"/>
          <w:smallCaps w:val="false"/>
          <w:sz w:val="20"/>
        </w:rPr>
        <w:t>10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January 2025 Yorkville Note had a maturity date of </w:t>
      </w:r>
      <w:bookmarkStart w:id="739" w:name="xdx_904_eus-gaap--DebtInstrumentMaturity"/>
      <w:bookmarkEnd w:id="739"/>
      <w:r>
        <w:rPr>
          <w:rFonts w:ascii="Times New Roman;Times;Serif" w:hAnsi="Times New Roman;Times;Serif"/>
          <w:b w:val="false"/>
          <w:i w:val="false"/>
          <w:caps w:val="false"/>
          <w:smallCaps w:val="false"/>
          <w:sz w:val="20"/>
        </w:rPr>
        <w:t>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w:t>
      </w:r>
      <w:bookmarkStart w:id="740" w:name="xdx_90F_eus-gaap--RepaymentsOfConvertibl"/>
      <w:bookmarkEnd w:id="740"/>
      <w:r>
        <w:rPr>
          <w:rFonts w:ascii="Times New Roman;Times;Serif" w:hAnsi="Times New Roman;Times;Serif"/>
          <w:b w:val="false"/>
          <w:i w:val="false"/>
          <w:caps w:val="false"/>
          <w:smallCaps w:val="false"/>
          <w:sz w:val="20"/>
        </w:rPr>
        <w:t xml:space="preserve">1.0 million of principal (or the outstanding Principal if less than such amount), plus (ii) a payment premium (in an amount equal to </w:t>
      </w:r>
      <w:bookmarkStart w:id="741" w:name="xdx_900_ecustom--ConvertiblePromissoryNo"/>
      <w:bookmarkEnd w:id="741"/>
      <w:r>
        <w:rPr>
          <w:rFonts w:ascii="Times New Roman;Times;Serif" w:hAnsi="Times New Roman;Times;Serif"/>
          <w:b w:val="false"/>
          <w:i w:val="false"/>
          <w:caps w:val="false"/>
          <w:smallCaps w:val="false"/>
          <w:sz w:val="20"/>
        </w:rPr>
        <w:t xml:space="preserve">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w:t>
      </w:r>
      <w:bookmarkStart w:id="742" w:name="xdx_905_eus-gaap--DebtInstrumentInterest"/>
      <w:bookmarkEnd w:id="742"/>
      <w:r>
        <w:rPr>
          <w:rFonts w:ascii="Times New Roman;Times;Serif" w:hAnsi="Times New Roman;Times;Serif"/>
          <w:b w:val="false"/>
          <w:i w:val="false"/>
          <w:caps w:val="false"/>
          <w:smallCaps w:val="false"/>
          <w:sz w:val="20"/>
        </w:rPr>
        <w:t xml:space="preserve">0% for the first 90 days following the Issuance Date, and </w:t>
      </w:r>
      <w:bookmarkStart w:id="743" w:name="xdx_901_eus-gaap--DebtInstrumentInterest"/>
      <w:bookmarkEnd w:id="743"/>
      <w:r>
        <w:rPr>
          <w:rFonts w:ascii="Times New Roman;Times;Serif" w:hAnsi="Times New Roman;Times;Serif"/>
          <w:b w:val="false"/>
          <w:i w:val="false"/>
          <w:caps w:val="false"/>
          <w:smallCaps w:val="false"/>
          <w:sz w:val="20"/>
        </w:rPr>
        <w:t xml:space="preserve">6% thereafter (the “Interest Rate”). The Interest Rate shall increase to an annual rate of </w:t>
      </w:r>
      <w:bookmarkStart w:id="744" w:name="xdx_908_eus-gaap--DebtInstrumentInterest"/>
      <w:bookmarkEnd w:id="744"/>
      <w:r>
        <w:rPr>
          <w:rFonts w:ascii="Times New Roman;Times;Serif" w:hAnsi="Times New Roman;Times;Serif"/>
          <w:b w:val="false"/>
          <w:i w:val="false"/>
          <w:caps w:val="false"/>
          <w:smallCaps w:val="false"/>
          <w:sz w:val="20"/>
        </w:rPr>
        <w:t>18% upon the occurrence of an Event of Default (as defined by the January 2025 Yorkville Note). The January 2025 Yorkville Note is convertible into shares of the Company’s Class A common stock, par value $</w:t>
      </w:r>
      <w:bookmarkStart w:id="745" w:name="xdx_903_eus-gaap--CommonStockParOrStated"/>
      <w:bookmarkEnd w:id="745"/>
      <w:r>
        <w:rPr>
          <w:rFonts w:ascii="Times New Roman;Times;Serif" w:hAnsi="Times New Roman;Times;Serif"/>
          <w:b w:val="false"/>
          <w:i w:val="false"/>
          <w:caps w:val="false"/>
          <w:smallCaps w:val="false"/>
          <w:sz w:val="20"/>
        </w:rPr>
        <w:t>0.0001 per share (the “Class A Common Stock”), at a conversion price of $</w:t>
      </w:r>
      <w:bookmarkStart w:id="746" w:name="xdx_909_eus-gaap--DebtInstrumentConverti"/>
      <w:bookmarkEnd w:id="746"/>
      <w:r>
        <w:rPr>
          <w:rFonts w:ascii="Times New Roman;Times;Serif" w:hAnsi="Times New Roman;Times;Serif"/>
          <w:b w:val="false"/>
          <w:i w:val="false"/>
          <w:caps w:val="false"/>
          <w:smallCaps w:val="false"/>
          <w:sz w:val="20"/>
        </w:rPr>
        <w:t xml:space="preserve">400.00 per share (the “Conversion Price”). The Investor may elect to convert part or all of the outstanding balance of the Note at any time or from time to time after the Issuance Date. The Company may prepay the outstanding amount at any time, in whole or in part, subject to a </w:t>
      </w:r>
      <w:bookmarkStart w:id="747" w:name="xdx_903_ecustom--ConvertiblePromissoryNo"/>
      <w:bookmarkEnd w:id="747"/>
      <w:r>
        <w:rPr>
          <w:rFonts w:ascii="Times New Roman;Times;Serif" w:hAnsi="Times New Roman;Times;Serif"/>
          <w:b w:val="false"/>
          <w:i w:val="false"/>
          <w:caps w:val="false"/>
          <w:smallCaps w:val="false"/>
          <w:sz w:val="20"/>
        </w:rPr>
        <w:t xml:space="preserve">4% premium, provided that (i) the Company provides the Investor with at least </w:t>
      </w:r>
      <w:bookmarkStart w:id="748" w:name="xdx_90B_ecustom--MinimumRedemptionNotice"/>
      <w:bookmarkEnd w:id="748"/>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w:t>
      </w:r>
      <w:bookmarkStart w:id="749" w:name="xdx_905_eus-gaap--DebtInstrumentAnnualPr"/>
      <w:bookmarkEnd w:id="749"/>
      <w:r>
        <w:rPr>
          <w:rFonts w:ascii="Times New Roman;Times;Serif" w:hAnsi="Times New Roman;Times;Serif"/>
          <w:b w:val="false"/>
          <w:i w:val="false"/>
          <w:caps w:val="false"/>
          <w:smallCaps w:val="false"/>
          <w:sz w:val="20"/>
        </w:rPr>
        <w:t>3,640, of which approximately $</w:t>
      </w:r>
      <w:bookmarkStart w:id="750" w:name="xdx_903_eus-gaap--DebtInstrumentIssuedPr"/>
      <w:bookmarkEnd w:id="750"/>
      <w:r>
        <w:rPr>
          <w:rFonts w:ascii="Times New Roman;Times;Serif" w:hAnsi="Times New Roman;Times;Serif"/>
          <w:b w:val="false"/>
          <w:i w:val="false"/>
          <w:caps w:val="false"/>
          <w:smallCaps w:val="false"/>
          <w:sz w:val="20"/>
        </w:rPr>
        <w:t>3,500 was applied against outstanding principal, and approximately $</w:t>
      </w:r>
      <w:bookmarkStart w:id="751" w:name="xdx_907_eus-gaap--RedemptionPremium_pn3n"/>
      <w:bookmarkEnd w:id="751"/>
      <w:r>
        <w:rPr>
          <w:rFonts w:ascii="Times New Roman;Times;Serif" w:hAnsi="Times New Roman;Times;Serif"/>
          <w:b w:val="false"/>
          <w:i w:val="false"/>
          <w:caps w:val="false"/>
          <w:smallCaps w:val="false"/>
          <w:sz w:val="20"/>
        </w:rPr>
        <w:t>140 was paid to Yorkville as Payment Premiums and expensed as incurred. As of June 30, 2025, the January 2025 Yorkville Note was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Convertible Promissory Note (the “September 2025 Yorkville Note”) with Yorkville in principal amount of $</w:t>
      </w:r>
      <w:bookmarkStart w:id="752" w:name="xdx_90C_eus-gaap--DebtInstrumentFaceAmou"/>
      <w:bookmarkEnd w:id="752"/>
      <w:r>
        <w:rPr>
          <w:rFonts w:ascii="Times New Roman;Times;Serif" w:hAnsi="Times New Roman;Times;Serif"/>
          <w:b w:val="false"/>
          <w:i w:val="false"/>
          <w:caps w:val="false"/>
          <w:smallCaps w:val="false"/>
          <w:sz w:val="20"/>
        </w:rPr>
        <w:t>2.0 million (the “Original Principal Amount”) to the Company, to be used as an advance under the SEPA. The Company received $</w:t>
      </w:r>
      <w:bookmarkStart w:id="753" w:name="xdx_90E_eus-gaap--ProceedsFromIssuanceOf"/>
      <w:bookmarkEnd w:id="753"/>
      <w:r>
        <w:rPr>
          <w:rFonts w:ascii="Times New Roman;Times;Serif" w:hAnsi="Times New Roman;Times;Serif"/>
          <w:b w:val="false"/>
          <w:i w:val="false"/>
          <w:caps w:val="false"/>
          <w:smallCaps w:val="false"/>
          <w:sz w:val="20"/>
        </w:rPr>
        <w:t xml:space="preserve">890 from the Investor on that same date (“Advance #1), which reflects </w:t>
      </w:r>
      <w:bookmarkStart w:id="754" w:name="xdx_90C_eus-gaap--DebtInstrumentInterest"/>
      <w:bookmarkEnd w:id="754"/>
      <w:r>
        <w:rPr>
          <w:rFonts w:ascii="Times New Roman;Times;Serif" w:hAnsi="Times New Roman;Times;Serif"/>
          <w:b w:val="false"/>
          <w:i w:val="false"/>
          <w:caps w:val="false"/>
          <w:smallCaps w:val="false"/>
          <w:sz w:val="20"/>
        </w:rPr>
        <w:t xml:space="preserve">50% of the Original Principal Amount, less </w:t>
      </w:r>
      <w:bookmarkStart w:id="755" w:name="xdx_900_ecustom--DebtInstrumentInterestR"/>
      <w:bookmarkEnd w:id="755"/>
      <w:r>
        <w:rPr>
          <w:rFonts w:ascii="Times New Roman;Times;Serif" w:hAnsi="Times New Roman;Times;Serif"/>
          <w:b w:val="false"/>
          <w:i w:val="false"/>
          <w:caps w:val="false"/>
          <w:smallCaps w:val="false"/>
          <w:sz w:val="20"/>
        </w:rPr>
        <w:t xml:space="preserve">10% discount, and certain fees owed at such time. Upon the effectiveness of the registration statement on Form S-1, originally filed with the SEC on September 12, 2025 (File No. 333-290241) and the delivery of a closing statement, the Company received the remaining </w:t>
      </w:r>
      <w:bookmarkStart w:id="756" w:name="xdx_90C_ecustom--DebtInstrumentPaymentRa"/>
      <w:bookmarkEnd w:id="756"/>
      <w:r>
        <w:rPr>
          <w:rFonts w:ascii="Times New Roman;Times;Serif" w:hAnsi="Times New Roman;Times;Serif"/>
          <w:b w:val="false"/>
          <w:i w:val="false"/>
          <w:caps w:val="false"/>
          <w:smallCaps w:val="false"/>
          <w:sz w:val="20"/>
        </w:rPr>
        <w:t>50% of the Original Principal Amount, or $</w:t>
      </w:r>
      <w:bookmarkStart w:id="757" w:name="xdx_901_eus-gaap--RepaymentsOfLongTermDe"/>
      <w:bookmarkEnd w:id="757"/>
      <w:r>
        <w:rPr>
          <w:rFonts w:ascii="Times New Roman;Times;Serif" w:hAnsi="Times New Roman;Times;Serif"/>
          <w:b w:val="false"/>
          <w:i w:val="false"/>
          <w:caps w:val="false"/>
          <w:smallCaps w:val="false"/>
          <w:sz w:val="20"/>
        </w:rPr>
        <w:t xml:space="preserve">1.0 million, less </w:t>
      </w:r>
      <w:bookmarkStart w:id="758" w:name="xdx_905_ecustom--DebtInstrumentInterestR"/>
      <w:bookmarkEnd w:id="758"/>
      <w:r>
        <w:rPr>
          <w:rFonts w:ascii="Times New Roman;Times;Serif" w:hAnsi="Times New Roman;Times;Serif"/>
          <w:b w:val="false"/>
          <w:i w:val="false"/>
          <w:caps w:val="false"/>
          <w:smallCaps w:val="false"/>
          <w:sz w:val="20"/>
        </w:rPr>
        <w:t xml:space="preserve">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September 2025 Yorkville Note was issued on September 16, 2025 and the maturity date of the September 2025 Yorkville Note is </w:t>
      </w:r>
      <w:bookmarkStart w:id="759" w:name="xdx_90C_eus-gaap--DebtInstrumentMaturity"/>
      <w:bookmarkEnd w:id="759"/>
      <w:r>
        <w:rPr>
          <w:rFonts w:ascii="Times New Roman;Times;Serif" w:hAnsi="Times New Roman;Times;Serif"/>
          <w:b w:val="false"/>
          <w:i w:val="false"/>
          <w:caps w:val="false"/>
          <w:smallCaps w:val="false"/>
          <w:sz w:val="20"/>
          <w:shd w:fill="FFFFFF" w:val="clear"/>
        </w:rPr>
        <w:t>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and continuing on the same day of each successive calendar month thereafter, (each, an “Installment Date”), the Company shall repay a portion of the outstanding balance of the Note in an amount equal to the sum of (i) $</w:t>
      </w:r>
      <w:bookmarkStart w:id="760" w:name="xdx_905_eus-gaap--RepaymentsOfConvertibl"/>
      <w:bookmarkEnd w:id="760"/>
      <w:r>
        <w:rPr>
          <w:rFonts w:ascii="Times New Roman;Times;Serif" w:hAnsi="Times New Roman;Times;Serif"/>
          <w:b w:val="false"/>
          <w:i w:val="false"/>
          <w:caps w:val="false"/>
          <w:smallCaps w:val="false"/>
          <w:sz w:val="20"/>
        </w:rPr>
        <w:t xml:space="preserve">500 of principal (or the outstanding Principal if less than such amount), plus (ii) a payment premium in an amount equal to </w:t>
      </w:r>
      <w:bookmarkStart w:id="761" w:name="xdx_902_ecustom--ConvertiblePromissoryNo"/>
      <w:bookmarkEnd w:id="761"/>
      <w:r>
        <w:rPr>
          <w:rFonts w:ascii="Times New Roman;Times;Serif" w:hAnsi="Times New Roman;Times;Serif"/>
          <w:b w:val="false"/>
          <w:i w:val="false"/>
          <w:caps w:val="false"/>
          <w:smallCaps w:val="false"/>
          <w:sz w:val="20"/>
        </w:rPr>
        <w:t xml:space="preserve">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w:t>
      </w:r>
      <w:bookmarkStart w:id="762" w:name="xdx_907_eus-gaap--InvestmentInterestRate"/>
      <w:bookmarkEnd w:id="762"/>
      <w:r>
        <w:rPr>
          <w:rFonts w:ascii="Times New Roman;Times;Serif" w:hAnsi="Times New Roman;Times;Serif"/>
          <w:b w:val="false"/>
          <w:i w:val="false"/>
          <w:caps w:val="false"/>
          <w:smallCaps w:val="false"/>
          <w:sz w:val="20"/>
        </w:rPr>
        <w:t xml:space="preserve">6%, which shall increase to </w:t>
      </w:r>
      <w:bookmarkStart w:id="763" w:name="xdx_90B_eus-gaap--DebtInstrumentInterest"/>
      <w:bookmarkEnd w:id="763"/>
      <w:r>
        <w:rPr>
          <w:rFonts w:ascii="Times New Roman;Times;Serif" w:hAnsi="Times New Roman;Times;Serif"/>
          <w:b w:val="false"/>
          <w:i w:val="false"/>
          <w:caps w:val="false"/>
          <w:smallCaps w:val="false"/>
          <w:sz w:val="20"/>
        </w:rPr>
        <w:t>18% upon the occurrence of an Event of Default, as defined in the September 2025 Yorkville Note. The September 2025 Yorkville Note is convertible into shares of the Company’s Class A common stock, par value $</w:t>
      </w:r>
      <w:bookmarkStart w:id="764" w:name="xdx_901_eus-gaap--CommonStockParOrStated"/>
      <w:bookmarkEnd w:id="764"/>
      <w:r>
        <w:rPr>
          <w:rFonts w:ascii="Times New Roman;Times;Serif" w:hAnsi="Times New Roman;Times;Serif"/>
          <w:b w:val="false"/>
          <w:i w:val="false"/>
          <w:caps w:val="false"/>
          <w:smallCaps w:val="false"/>
          <w:sz w:val="20"/>
        </w:rPr>
        <w:t>0.0001 per share, at a conversion price of $</w:t>
      </w:r>
      <w:bookmarkStart w:id="765" w:name="xdx_90E_eus-gaap--DebtInstrumentConverti"/>
      <w:bookmarkEnd w:id="765"/>
      <w:r>
        <w:rPr>
          <w:rFonts w:ascii="Times New Roman;Times;Serif" w:hAnsi="Times New Roman;Times;Serif"/>
          <w:b w:val="false"/>
          <w:i w:val="false"/>
          <w:caps w:val="false"/>
          <w:smallCaps w:val="false"/>
          <w:sz w:val="20"/>
        </w:rPr>
        <w:t xml:space="preserve">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xml:space="preserve">. The Company maintains the right to redeem all or any part of the September 2025 Yorkville Note, at any time, provided that (i) the Company provides the Investor with at least </w:t>
      </w:r>
      <w:bookmarkStart w:id="766" w:name="xdx_906_ecustom--MinimumRedemptionNotice"/>
      <w:bookmarkEnd w:id="766"/>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issued an Advance Notice to Yorkville pursuant to the SEPA in which the Company requested the purchase of </w:t>
      </w:r>
      <w:bookmarkStart w:id="767" w:name="xdx_904_eus-gaap--StockIssuedDuringPerio"/>
      <w:bookmarkEnd w:id="767"/>
      <w:r>
        <w:rPr>
          <w:rFonts w:ascii="Times New Roman;Times;Serif" w:hAnsi="Times New Roman;Times;Serif"/>
          <w:b w:val="false"/>
          <w:i w:val="false"/>
          <w:caps w:val="false"/>
          <w:smallCaps w:val="false"/>
          <w:sz w:val="20"/>
        </w:rPr>
        <w:t>5,750 shares of the Company’s Class A Common Stock at a purchase price of $</w:t>
      </w:r>
      <w:bookmarkStart w:id="768" w:name="xdx_904_eus-gaap--SharesIssuedPricePerSh"/>
      <w:bookmarkEnd w:id="768"/>
      <w:r>
        <w:rPr>
          <w:rFonts w:ascii="Times New Roman;Times;Serif" w:hAnsi="Times New Roman;Times;Serif"/>
          <w:b w:val="false"/>
          <w:i w:val="false"/>
          <w:caps w:val="false"/>
          <w:smallCaps w:val="false"/>
          <w:sz w:val="20"/>
        </w:rPr>
        <w:t>61.60 for a total purchase price of $</w:t>
      </w:r>
      <w:bookmarkStart w:id="769" w:name="xdx_906_eus-gaap--ProceedsFromIssuanceOr"/>
      <w:bookmarkEnd w:id="769"/>
      <w:r>
        <w:rPr>
          <w:rFonts w:ascii="Times New Roman;Times;Serif" w:hAnsi="Times New Roman;Times;Serif"/>
          <w:b w:val="false"/>
          <w:i w:val="false"/>
          <w:caps w:val="false"/>
          <w:smallCaps w:val="false"/>
          <w:sz w:val="20"/>
        </w:rPr>
        <w:t xml:space="preserve">354 to be applied against the outstanding Yorkville Convertible Notes. Upon settlement on October 8, 2025, the Company issued </w:t>
      </w:r>
      <w:bookmarkStart w:id="770" w:name="xdx_905_eus-gaap--SharesIssued_iI_pid_c2"/>
      <w:bookmarkEnd w:id="770"/>
      <w:r>
        <w:rPr>
          <w:rFonts w:ascii="Times New Roman;Times;Serif" w:hAnsi="Times New Roman;Times;Serif"/>
          <w:b w:val="false"/>
          <w:i w:val="false"/>
          <w:caps w:val="false"/>
          <w:smallCaps w:val="false"/>
          <w:sz w:val="20"/>
        </w:rPr>
        <w:t>5,750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2025, the Company issued an Advance Notice to Yorkville pursuant to the SEPA in which the Company requested the purchase of </w:t>
      </w:r>
      <w:bookmarkStart w:id="771" w:name="xdx_909_eus-gaap--StockIssuedDuringPerio"/>
      <w:bookmarkEnd w:id="771"/>
      <w:r>
        <w:rPr>
          <w:rFonts w:ascii="Times New Roman;Times;Serif" w:hAnsi="Times New Roman;Times;Serif"/>
          <w:b w:val="false"/>
          <w:i w:val="false"/>
          <w:caps w:val="false"/>
          <w:smallCaps w:val="false"/>
          <w:sz w:val="20"/>
        </w:rPr>
        <w:t>3,250 shares of the Company’s Class A Common Stock at a purchase price of $</w:t>
      </w:r>
      <w:bookmarkStart w:id="772" w:name="xdx_908_eus-gaap--SharesIssuedPricePerSh"/>
      <w:bookmarkEnd w:id="772"/>
      <w:r>
        <w:rPr>
          <w:rFonts w:ascii="Times New Roman;Times;Serif" w:hAnsi="Times New Roman;Times;Serif"/>
          <w:b w:val="false"/>
          <w:i w:val="false"/>
          <w:caps w:val="false"/>
          <w:smallCaps w:val="false"/>
          <w:sz w:val="20"/>
        </w:rPr>
        <w:t>59.00 for a total purchase price of $</w:t>
      </w:r>
      <w:bookmarkStart w:id="773" w:name="xdx_900_eus-gaap--ProceedsFromIssuanceOr"/>
      <w:bookmarkEnd w:id="773"/>
      <w:r>
        <w:rPr>
          <w:rFonts w:ascii="Times New Roman;Times;Serif" w:hAnsi="Times New Roman;Times;Serif"/>
          <w:b w:val="false"/>
          <w:i w:val="false"/>
          <w:caps w:val="false"/>
          <w:smallCaps w:val="false"/>
          <w:sz w:val="20"/>
        </w:rPr>
        <w:t>191 to be applied against the outstanding Yorkville Convertible Notes. Upon settlement on October 15, 2025, the Company issued</w:t>
      </w:r>
      <w:bookmarkStart w:id="774" w:name="xdx_90C_eus-gaap--SharesIssued_iI_pid_c2"/>
      <w:bookmarkEnd w:id="774"/>
      <w:r>
        <w:rPr>
          <w:rFonts w:ascii="Times New Roman;Times;Serif" w:hAnsi="Times New Roman;Times;Serif"/>
          <w:b w:val="false"/>
          <w:i w:val="false"/>
          <w:caps w:val="false"/>
          <w:smallCaps w:val="false"/>
          <w:sz w:val="20"/>
        </w:rPr>
        <w:t xml:space="preserve"> 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a loan agreement with CP BF Lending, LLC (“CP BF”) comprised of a Term Note and a Convertible Note. The Term Note bears cash interest at a rate of </w:t>
      </w:r>
      <w:bookmarkStart w:id="775" w:name="xdx_90F_eus-gaap--DebtInstrumentInterest"/>
      <w:bookmarkEnd w:id="775"/>
      <w:r>
        <w:rPr>
          <w:rFonts w:ascii="Times New Roman;Times;Serif" w:hAnsi="Times New Roman;Times;Serif"/>
          <w:b w:val="false"/>
          <w:i w:val="false"/>
          <w:caps w:val="false"/>
          <w:smallCaps w:val="false"/>
          <w:sz w:val="20"/>
        </w:rPr>
        <w:t xml:space="preserve">14% per annum paid </w:t>
      </w:r>
      <w:bookmarkStart w:id="776" w:name="xdx_907_eus-gaap--DebtInstrumentFrequenc"/>
      <w:bookmarkEnd w:id="776"/>
      <w:r>
        <w:rPr>
          <w:rFonts w:ascii="Times New Roman;Times;Serif" w:hAnsi="Times New Roman;Times;Serif"/>
          <w:b w:val="false"/>
          <w:i w:val="false"/>
          <w:caps w:val="false"/>
          <w:smallCaps w:val="false"/>
          <w:sz w:val="20"/>
        </w:rPr>
        <w:t xml:space="preserve">monthly and accrued interest payable-in-kind (“PIK”) cumulatively at </w:t>
      </w:r>
      <w:bookmarkStart w:id="777" w:name="xdx_901_ecustom--PaidInKindInterestPerce"/>
      <w:bookmarkEnd w:id="777"/>
      <w:r>
        <w:rPr>
          <w:rFonts w:ascii="Times New Roman;Times;Serif" w:hAnsi="Times New Roman;Times;Serif"/>
          <w:b w:val="false"/>
          <w:i w:val="false"/>
          <w:caps w:val="false"/>
          <w:smallCaps w:val="false"/>
          <w:sz w:val="20"/>
        </w:rPr>
        <w:t xml:space="preserve">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w:t>
      </w:r>
      <w:bookmarkStart w:id="778" w:name="xdx_900_ecustom--PaidInKindInterestPerce"/>
      <w:bookmarkEnd w:id="778"/>
      <w:r>
        <w:rPr>
          <w:rFonts w:ascii="Times New Roman;Times;Serif" w:hAnsi="Times New Roman;Times;Serif"/>
          <w:b w:val="false"/>
          <w:i w:val="false"/>
          <w:caps w:val="false"/>
          <w:smallCaps w:val="false"/>
          <w:sz w:val="20"/>
        </w:rPr>
        <w:t>15.5% per annum, and is convertible into Class A Common Stock upon Qualified Financing (as defined in the agreement), upon a Change of Control (as defined in the agreement), upon Prepayment, or at Maturity at a conversion price, which was $</w:t>
      </w:r>
      <w:bookmarkStart w:id="779" w:name="xdx_903_eus-gaap--DebtInstrumentConverti"/>
      <w:bookmarkEnd w:id="779"/>
      <w:r>
        <w:rPr>
          <w:rFonts w:ascii="Times New Roman;Times;Serif" w:hAnsi="Times New Roman;Times;Serif"/>
          <w:b w:val="false"/>
          <w:i w:val="false"/>
          <w:caps w:val="false"/>
          <w:smallCaps w:val="false"/>
          <w:sz w:val="20"/>
        </w:rPr>
        <w:t>50.00 per unit at March 31, 2026.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0" w:name="xdx_906_eus-gaap--DebtInstrumentCovenant"/>
      <w:bookmarkEnd w:id="780"/>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w:t>
      </w:r>
      <w:bookmarkStart w:id="781" w:name="xdx_90F_eus-gaap--DebtInstrumentFaceAmou"/>
      <w:bookmarkEnd w:id="781"/>
      <w:r>
        <w:rPr>
          <w:rFonts w:ascii="Times New Roman;Times;Serif" w:hAnsi="Times New Roman;Times;Serif"/>
          <w:b w:val="false"/>
          <w:i w:val="false"/>
          <w:caps w:val="false"/>
          <w:smallCaps w:val="false"/>
          <w:sz w:val="20"/>
        </w:rPr>
        <w:t>321,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w:t>
      </w:r>
      <w:bookmarkStart w:id="782" w:name="xdx_900_eus-gaap--DebtInstrumentInterest"/>
      <w:bookmarkEnd w:id="782"/>
      <w:r>
        <w:rPr>
          <w:rFonts w:ascii="Times New Roman;Times;Serif" w:hAnsi="Times New Roman;Times;Serif"/>
          <w:b w:val="false"/>
          <w:i w:val="false"/>
          <w:caps w:val="false"/>
          <w:smallCaps w:val="false"/>
          <w:sz w:val="20"/>
        </w:rPr>
        <w:t>16% and interest expense totaled $</w:t>
      </w:r>
      <w:bookmarkStart w:id="783" w:name="xdx_900_eus-gaap--InterestExpense_pn3n3_"/>
      <w:bookmarkEnd w:id="783"/>
      <w:r>
        <w:rPr>
          <w:rFonts w:ascii="Times New Roman;Times;Serif" w:hAnsi="Times New Roman;Times;Serif"/>
          <w:b w:val="false"/>
          <w:i w:val="false"/>
          <w:caps w:val="false"/>
          <w:smallCaps w:val="false"/>
          <w:sz w:val="20"/>
        </w:rPr>
        <w:t>851 for the year ended December 31, 2024, comprised of $</w:t>
      </w:r>
      <w:bookmarkStart w:id="784" w:name="xdx_907_eus-gaap--InterestExpenseDebt_pn"/>
      <w:bookmarkEnd w:id="784"/>
      <w:r>
        <w:rPr>
          <w:rFonts w:ascii="Times New Roman;Times;Serif" w:hAnsi="Times New Roman;Times;Serif"/>
          <w:b w:val="false"/>
          <w:i w:val="false"/>
          <w:caps w:val="false"/>
          <w:smallCaps w:val="false"/>
          <w:sz w:val="20"/>
        </w:rPr>
        <w:t>773 of contractual interest and $</w:t>
      </w:r>
      <w:bookmarkStart w:id="785" w:name="xdx_90D_eus-gaap--DebtRelatedCommitmentF"/>
      <w:bookmarkEnd w:id="785"/>
      <w:r>
        <w:rPr>
          <w:rFonts w:ascii="Times New Roman;Times;Serif" w:hAnsi="Times New Roman;Times;Serif"/>
          <w:b w:val="false"/>
          <w:i w:val="false"/>
          <w:caps w:val="false"/>
          <w:smallCaps w:val="false"/>
          <w:sz w:val="20"/>
        </w:rPr>
        <w:t xml:space="preserve">79 of amortization of the discount. </w:t>
      </w:r>
      <w:r>
        <w:rPr>
          <w:rFonts w:ascii="Times New Roman;Times;Serif" w:hAnsi="Times New Roman;Times;Serif"/>
          <w:b w:val="false"/>
          <w:i w:val="false"/>
          <w:caps w:val="false"/>
          <w:smallCaps w:val="false"/>
          <w:sz w:val="20"/>
          <w:shd w:fill="FFFFFF" w:val="clear"/>
        </w:rPr>
        <w:t xml:space="preserve">The effective interest rate for the CP BF Convertible Note and First Amendment Convertible Note was </w:t>
      </w:r>
      <w:bookmarkStart w:id="786" w:name="xdx_907_eus-gaap--DebtInstrumentInterest"/>
      <w:bookmarkEnd w:id="786"/>
      <w:r>
        <w:rPr>
          <w:rFonts w:ascii="Times New Roman;Times;Serif" w:hAnsi="Times New Roman;Times;Serif"/>
          <w:b w:val="false"/>
          <w:i w:val="false"/>
          <w:caps w:val="false"/>
          <w:smallCaps w:val="false"/>
          <w:sz w:val="20"/>
          <w:shd w:fill="FFFFFF" w:val="clear"/>
        </w:rPr>
        <w:t>16% for the year ended December 31, 2024. For the year ended December 31, 2024, interest expense on the Convertible Notes totaled $</w:t>
      </w:r>
      <w:bookmarkStart w:id="787" w:name="xdx_900_eus-gaap--InterestExpense_pn3n3_"/>
      <w:bookmarkEnd w:id="787"/>
      <w:r>
        <w:rPr>
          <w:rFonts w:ascii="Times New Roman;Times;Serif" w:hAnsi="Times New Roman;Times;Serif"/>
          <w:b w:val="false"/>
          <w:i w:val="false"/>
          <w:caps w:val="false"/>
          <w:smallCaps w:val="false"/>
          <w:sz w:val="20"/>
          <w:shd w:fill="FFFFFF" w:val="clear"/>
        </w:rPr>
        <w:t>350 comprised of $</w:t>
      </w:r>
      <w:bookmarkStart w:id="788" w:name="xdx_903_eus-gaap--InterestExpenseDebt_pn"/>
      <w:bookmarkEnd w:id="788"/>
      <w:r>
        <w:rPr>
          <w:rFonts w:ascii="Times New Roman;Times;Serif" w:hAnsi="Times New Roman;Times;Serif"/>
          <w:b w:val="false"/>
          <w:i w:val="false"/>
          <w:caps w:val="false"/>
          <w:smallCaps w:val="false"/>
          <w:sz w:val="20"/>
          <w:shd w:fill="FFFFFF" w:val="clear"/>
        </w:rPr>
        <w:t>326 of contractual interest and $</w:t>
      </w:r>
      <w:bookmarkStart w:id="789" w:name="xdx_901_eus-gaap--DebtRelatedCommitmentF"/>
      <w:bookmarkEnd w:id="789"/>
      <w:r>
        <w:rPr>
          <w:rFonts w:ascii="Times New Roman;Times;Serif" w:hAnsi="Times New Roman;Times;Serif"/>
          <w:b w:val="false"/>
          <w:i w:val="false"/>
          <w:caps w:val="false"/>
          <w:smallCaps w:val="false"/>
          <w:sz w:val="20"/>
          <w:shd w:fill="FFFFFF" w:val="clear"/>
        </w:rPr>
        <w:t>25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0" w:name="xdx_904_eus-gaap--DebtInstrumentConverti"/>
      <w:bookmarkEnd w:id="790"/>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w:t>
      </w:r>
      <w:bookmarkStart w:id="791" w:name="xdx_90B_eus-gaap--GainsLossesOnExtinguis"/>
      <w:bookmarkEnd w:id="791"/>
      <w:r>
        <w:rPr>
          <w:rFonts w:ascii="Times New Roman;Times;Serif" w:hAnsi="Times New Roman;Times;Serif"/>
          <w:b w:val="false"/>
          <w:i w:val="false"/>
          <w:caps w:val="false"/>
          <w:smallCaps w:val="false"/>
          <w:sz w:val="20"/>
        </w:rPr>
        <w:t xml:space="preserve">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w:t>
      </w:r>
      <w:bookmarkStart w:id="792" w:name="xdx_90E_ecustom--PercentageOfCommonStock"/>
      <w:bookmarkEnd w:id="792"/>
      <w:r>
        <w:rPr>
          <w:rFonts w:ascii="Times New Roman;Times;Serif" w:hAnsi="Times New Roman;Times;Serif"/>
          <w:b w:val="false"/>
          <w:i w:val="false"/>
          <w:caps w:val="false"/>
          <w:smallCaps w:val="false"/>
          <w:sz w:val="20"/>
        </w:rPr>
        <w:t>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side letter, the Company agreed to issue to CP BF, </w:t>
      </w:r>
      <w:bookmarkStart w:id="793" w:name="xdx_906_eus-gaap--StockIssuedDuringPerio"/>
      <w:bookmarkEnd w:id="793"/>
      <w:r>
        <w:rPr>
          <w:rFonts w:ascii="Times New Roman;Times;Serif" w:hAnsi="Times New Roman;Times;Serif"/>
          <w:b w:val="false"/>
          <w:i w:val="false"/>
          <w:caps w:val="false"/>
          <w:smallCaps w:val="false"/>
          <w:sz w:val="20"/>
        </w:rPr>
        <w:t>350 shares of the Company’s Class A Common Stock. On September 23, 2024 the transaction was finalized and the Company issued the 2024 CP BF Convertible Note with a principal amount of $</w:t>
      </w:r>
      <w:bookmarkStart w:id="794" w:name="xdx_90F_eus-gaap--DebtInstrumentFaceAmou"/>
      <w:bookmarkEnd w:id="794"/>
      <w:r>
        <w:rPr>
          <w:rFonts w:ascii="Times New Roman;Times;Serif" w:hAnsi="Times New Roman;Times;Serif"/>
          <w:b w:val="false"/>
          <w:i w:val="false"/>
          <w:caps w:val="false"/>
          <w:smallCaps w:val="false"/>
          <w:sz w:val="20"/>
        </w:rPr>
        <w:t xml:space="preserve">10.8 million. The outstanding principal balance of the 2024 CP BF Convertible Note together with accrued interest thereon, unpaid fees and expenses and any other Obligations then due, shall be paid on </w:t>
      </w:r>
      <w:bookmarkStart w:id="795" w:name="xdx_902_eus-gaap--DebtInstrumentMaturity"/>
      <w:bookmarkEnd w:id="795"/>
      <w:r>
        <w:rPr>
          <w:rFonts w:ascii="Times New Roman;Times;Serif" w:hAnsi="Times New Roman;Times;Serif"/>
          <w:b w:val="false"/>
          <w:i w:val="false"/>
          <w:caps w:val="false"/>
          <w:smallCaps w:val="false"/>
          <w:sz w:val="20"/>
        </w:rPr>
        <w:t xml:space="preserve">February 19, 2027 (“2024 Loan Maturity Date”). The 2024 CP BF Convertible Note accrues interest at a rate of </w:t>
      </w:r>
      <w:bookmarkStart w:id="796" w:name="xdx_900_eus-gaap--DebtInstrumentInterest"/>
      <w:bookmarkEnd w:id="796"/>
      <w:r>
        <w:rPr>
          <w:rFonts w:ascii="Times New Roman;Times;Serif" w:hAnsi="Times New Roman;Times;Serif"/>
          <w:b w:val="false"/>
          <w:i w:val="false"/>
          <w:caps w:val="false"/>
          <w:smallCaps w:val="false"/>
          <w:sz w:val="20"/>
        </w:rPr>
        <w:t>15.5% which interest shall be paid in kind monthly and is convertible at the holder’s option at any time on or following the effectiveness of the first resale registration statement covering the applicable conversion shares at a fixed conversion price per share of $</w:t>
      </w:r>
      <w:bookmarkStart w:id="797" w:name="xdx_909_eus-gaap--DebtInstrumentConverti"/>
      <w:bookmarkEnd w:id="797"/>
      <w:r>
        <w:rPr>
          <w:rFonts w:ascii="Times New Roman;Times;Serif" w:hAnsi="Times New Roman;Times;Serif"/>
          <w:b w:val="false"/>
          <w:i w:val="false"/>
          <w:caps w:val="false"/>
          <w:smallCaps w:val="false"/>
          <w:sz w:val="20"/>
        </w:rPr>
        <w:t xml:space="preserve">778.00. Upon the occurrence, and during the continuance, of an Event of Default (as defined in the agreement), interest on the 2024 CP BF Convertible Note will bear PIK interest at a per annum rate of </w:t>
      </w:r>
      <w:bookmarkStart w:id="798" w:name="xdx_90F_ecustom--DebtInstrumentInterestR"/>
      <w:bookmarkEnd w:id="798"/>
      <w:r>
        <w:rPr>
          <w:rFonts w:ascii="Times New Roman;Times;Serif" w:hAnsi="Times New Roman;Times;Serif"/>
          <w:b w:val="false"/>
          <w:i w:val="false"/>
          <w:caps w:val="false"/>
          <w:smallCaps w:val="false"/>
          <w:sz w:val="20"/>
        </w:rPr>
        <w:t>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w:t>
      </w:r>
      <w:bookmarkStart w:id="799" w:name="xdx_908_ecustom--DebtInstrumentExitFeePe"/>
      <w:bookmarkEnd w:id="799"/>
      <w:r>
        <w:rPr>
          <w:rFonts w:ascii="Times New Roman;Times;Serif" w:hAnsi="Times New Roman;Times;Serif"/>
          <w:b w:val="false"/>
          <w:i w:val="false"/>
          <w:caps w:val="false"/>
          <w:smallCaps w:val="false"/>
          <w:sz w:val="20"/>
        </w:rPr>
        <w:t>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w:t>
      </w:r>
      <w:bookmarkStart w:id="800" w:name="xdx_90C_eus-gaap--StockIssuedDuringPerio"/>
      <w:bookmarkEnd w:id="800"/>
      <w:r>
        <w:rPr>
          <w:rFonts w:ascii="Times New Roman;Times;Serif" w:hAnsi="Times New Roman;Times;Serif"/>
          <w:b w:val="false"/>
          <w:i w:val="false"/>
          <w:caps w:val="false"/>
          <w:smallCaps w:val="false"/>
          <w:sz w:val="20"/>
        </w:rPr>
        <w:t xml:space="preserve"> 278 Class A Common Stock at the fixed conversion price per share of $</w:t>
      </w:r>
      <w:bookmarkStart w:id="801" w:name="xdx_90E_eus-gaap--SharesIssuedPricePerSh"/>
      <w:bookmarkEnd w:id="801"/>
      <w:r>
        <w:rPr>
          <w:rFonts w:ascii="Times New Roman;Times;Serif" w:hAnsi="Times New Roman;Times;Serif"/>
          <w:b w:val="false"/>
          <w:i w:val="false"/>
          <w:caps w:val="false"/>
          <w:smallCaps w:val="false"/>
          <w:sz w:val="20"/>
        </w:rPr>
        <w:t>778.00 in satisfaction of $</w:t>
      </w:r>
      <w:bookmarkStart w:id="802" w:name="xdx_907_eus-gaap--ConversionOfStockAmoun"/>
      <w:bookmarkEnd w:id="802"/>
      <w:r>
        <w:rPr>
          <w:rFonts w:ascii="Times New Roman;Times;Serif" w:hAnsi="Times New Roman;Times;Serif"/>
          <w:b w:val="false"/>
          <w:i w:val="false"/>
          <w:caps w:val="false"/>
          <w:smallCaps w:val="false"/>
          <w:sz w:val="20"/>
        </w:rPr>
        <w:t>216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w:t>
      </w:r>
      <w:bookmarkStart w:id="803" w:name="xdx_90B_eus-gaap--DebtInstrumentCarrying"/>
      <w:bookmarkEnd w:id="803"/>
      <w:r>
        <w:rPr>
          <w:rFonts w:ascii="Times New Roman;Times;Serif" w:hAnsi="Times New Roman;Times;Serif"/>
          <w:b w:val="false"/>
          <w:i w:val="false"/>
          <w:caps w:val="false"/>
          <w:smallCaps w:val="false"/>
          <w:sz w:val="20"/>
        </w:rPr>
        <w:t xml:space="preserve">2.0 million in debt into </w:t>
      </w:r>
      <w:bookmarkStart w:id="804" w:name="xdx_901_eus-gaap--StockIssuedDuringPerio"/>
      <w:bookmarkEnd w:id="804"/>
      <w:r>
        <w:rPr>
          <w:rFonts w:ascii="Times New Roman;Times;Serif" w:hAnsi="Times New Roman;Times;Serif"/>
          <w:b w:val="false"/>
          <w:i w:val="false"/>
          <w:caps w:val="false"/>
          <w:smallCaps w:val="false"/>
          <w:sz w:val="20"/>
        </w:rPr>
        <w:t xml:space="preserve">1,305 shares of Class A Common Stock, CP BF Warrants to purchase up to </w:t>
      </w:r>
      <w:bookmarkStart w:id="805" w:name="xdx_906_ecustom--WarrantsIssued_pid_c202"/>
      <w:bookmarkEnd w:id="805"/>
      <w:r>
        <w:rPr>
          <w:rFonts w:ascii="Times New Roman;Times;Serif" w:hAnsi="Times New Roman;Times;Serif"/>
          <w:b w:val="false"/>
          <w:i w:val="false"/>
          <w:caps w:val="false"/>
          <w:smallCaps w:val="false"/>
          <w:sz w:val="20"/>
        </w:rPr>
        <w:t xml:space="preserve">2,828 shares of Class A Common Stock and CP BF Pre-Funded Warrants to purchase up to </w:t>
      </w:r>
      <w:bookmarkStart w:id="806" w:name="xdx_90B_ecustom--WarrantsIssued_pid_c202"/>
      <w:bookmarkEnd w:id="806"/>
      <w:r>
        <w:rPr>
          <w:rFonts w:ascii="Times New Roman;Times;Serif" w:hAnsi="Times New Roman;Times;Serif"/>
          <w:b w:val="false"/>
          <w:i w:val="false"/>
          <w:caps w:val="false"/>
          <w:smallCaps w:val="false"/>
          <w:sz w:val="20"/>
        </w:rPr>
        <w:t>1,524 shares of Class A Common Stock (all such securities and shares collectively referred to as the “CP BF Registrable Securities”). The CP BF Warrant can be exercised at an initial exercise price of $</w:t>
      </w:r>
      <w:bookmarkStart w:id="807" w:name="xdx_902_ecustom--ClassOfWarrantOrRightIn"/>
      <w:bookmarkEnd w:id="807"/>
      <w:r>
        <w:rPr>
          <w:rFonts w:ascii="Times New Roman;Times;Serif" w:hAnsi="Times New Roman;Times;Serif"/>
          <w:b w:val="false"/>
          <w:i w:val="false"/>
          <w:caps w:val="false"/>
          <w:smallCaps w:val="false"/>
          <w:sz w:val="20"/>
        </w:rPr>
        <w:t>778.00 per share, subject to adjustment for a term of five years. The CP BF Pre-Funded Warrant will be exercisable at any time after the date of issuance at an exercise price of $</w:t>
      </w:r>
      <w:bookmarkStart w:id="808" w:name="xdx_90E_eus-gaap--ClassOfWarrantOrRightE"/>
      <w:bookmarkEnd w:id="808"/>
      <w:r>
        <w:rPr>
          <w:rFonts w:ascii="Times New Roman;Times;Serif" w:hAnsi="Times New Roman;Times;Serif"/>
          <w:b w:val="false"/>
          <w:i w:val="false"/>
          <w:caps w:val="false"/>
          <w:smallCaps w:val="false"/>
          <w:sz w:val="20"/>
        </w:rPr>
        <w:t xml:space="preserve">0.0001. Neither warrant may be exercised if the holder, together with its affiliates, would beneficially own more than </w:t>
      </w:r>
      <w:bookmarkStart w:id="809" w:name="xdx_90A_ecustom--ClassOfWarrantOrRightEx"/>
      <w:bookmarkEnd w:id="809"/>
      <w:r>
        <w:rPr>
          <w:rFonts w:ascii="Times New Roman;Times;Serif" w:hAnsi="Times New Roman;Times;Serif"/>
          <w:b w:val="false"/>
          <w:i w:val="false"/>
          <w:caps w:val="false"/>
          <w:smallCaps w:val="false"/>
          <w:sz w:val="20"/>
        </w:rPr>
        <w:t xml:space="preserve">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w:t>
      </w:r>
      <w:bookmarkStart w:id="810" w:name="xdx_909_eus-gaap--CommonStockSharesOutst"/>
      <w:bookmarkEnd w:id="810"/>
      <w:r>
        <w:rPr>
          <w:rFonts w:ascii="Times New Roman;Times;Serif" w:hAnsi="Times New Roman;Times;Serif"/>
          <w:b w:val="false"/>
          <w:i w:val="false"/>
          <w:caps w:val="false"/>
          <w:smallCaps w:val="false"/>
          <w:sz w:val="20"/>
        </w:rPr>
        <w:t>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w:t>
      </w:r>
      <w:bookmarkStart w:id="811" w:name="xdx_90B_eus-gaap--ProceedsFromIssuanceOf"/>
      <w:bookmarkEnd w:id="811"/>
      <w:r>
        <w:rPr>
          <w:rFonts w:ascii="Times New Roman;Times;Serif" w:hAnsi="Times New Roman;Times;Serif"/>
          <w:b w:val="false"/>
          <w:i w:val="false"/>
          <w:caps w:val="false"/>
          <w:smallCaps w:val="false"/>
          <w:sz w:val="20"/>
        </w:rPr>
        <w:t xml:space="preserve">4.6 million. One of the contingent redemption features in the 2024 CP BF Convertible Note relates to the Company prepaying, either partially or in whole, the obligations upon the sale of the Company’s capital stock equal to </w:t>
      </w:r>
      <w:bookmarkStart w:id="812" w:name="xdx_904_ecustom--PercentageOfCapitalStoc"/>
      <w:bookmarkEnd w:id="812"/>
      <w:r>
        <w:rPr>
          <w:rFonts w:ascii="Times New Roman;Times;Serif" w:hAnsi="Times New Roman;Times;Serif"/>
          <w:b w:val="false"/>
          <w:i w:val="false"/>
          <w:caps w:val="false"/>
          <w:smallCaps w:val="false"/>
          <w:sz w:val="20"/>
        </w:rPr>
        <w:t>20% of the cash proceeds in excess of $</w:t>
      </w:r>
      <w:bookmarkStart w:id="813" w:name="xdx_900_eus-gaap--ProceedsFromIssuanceOf"/>
      <w:bookmarkEnd w:id="813"/>
      <w:r>
        <w:rPr>
          <w:rFonts w:ascii="Times New Roman;Times;Serif" w:hAnsi="Times New Roman;Times;Serif"/>
          <w:b w:val="false"/>
          <w:i w:val="false"/>
          <w:caps w:val="false"/>
          <w:smallCaps w:val="false"/>
          <w:sz w:val="20"/>
        </w:rPr>
        <w:t>3.0 million. For the year ended December 31, 2025, the Company paid a total of $</w:t>
      </w:r>
      <w:bookmarkStart w:id="814" w:name="xdx_90D_eus-gaap--DebtInstrumentFaceAmou"/>
      <w:bookmarkEnd w:id="814"/>
      <w:r>
        <w:rPr>
          <w:rFonts w:ascii="Times New Roman;Times;Serif" w:hAnsi="Times New Roman;Times;Serif"/>
          <w:b w:val="false"/>
          <w:i w:val="false"/>
          <w:caps w:val="false"/>
          <w:smallCaps w:val="false"/>
          <w:sz w:val="20"/>
        </w:rPr>
        <w:t>2,840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2024 CP BF Convertible Note was approximately </w:t>
      </w:r>
      <w:bookmarkStart w:id="815" w:name="xdx_90B_eus-gaap--DebtInstrumentInterest"/>
      <w:bookmarkEnd w:id="815"/>
      <w:r>
        <w:rPr>
          <w:rFonts w:ascii="Times New Roman;Times;Serif" w:hAnsi="Times New Roman;Times;Serif"/>
          <w:b w:val="false"/>
          <w:i w:val="false"/>
          <w:caps w:val="false"/>
          <w:smallCaps w:val="false"/>
          <w:sz w:val="20"/>
        </w:rPr>
        <w:t>15.4% as of March 31, 2026. For the three months ended March 31, 2026 and 2025, interest expense on the 2024 CP BF Convertible Note totaled $</w:t>
      </w:r>
      <w:bookmarkStart w:id="816" w:name="xdx_901_eus-gaap--InterestExpense_c20260"/>
      <w:bookmarkEnd w:id="816"/>
      <w:r>
        <w:rPr>
          <w:rFonts w:ascii="Times New Roman;Times;Serif" w:hAnsi="Times New Roman;Times;Serif"/>
          <w:b w:val="false"/>
          <w:i w:val="false"/>
          <w:caps w:val="false"/>
          <w:smallCaps w:val="false"/>
          <w:sz w:val="20"/>
        </w:rPr>
        <w:t>194 and $</w:t>
      </w:r>
      <w:bookmarkStart w:id="817" w:name="xdx_908_eus-gaap--InterestExpense_c20250"/>
      <w:bookmarkEnd w:id="817"/>
      <w:r>
        <w:rPr>
          <w:rFonts w:ascii="Times New Roman;Times;Serif" w:hAnsi="Times New Roman;Times;Serif"/>
          <w:b w:val="false"/>
          <w:i w:val="false"/>
          <w:caps w:val="false"/>
          <w:smallCaps w:val="false"/>
          <w:sz w:val="20"/>
        </w:rPr>
        <w:t>335,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8" w:name="xdx_89E_eus-gaap--ConvertibleDebtTableTe"/>
      <w:bookmarkEnd w:id="818"/>
      <w:r>
        <w:rPr>
          <w:rFonts w:ascii="Times New Roman;Times;Serif" w:hAnsi="Times New Roman;Times;Serif"/>
          <w:b w:val="false"/>
          <w:i w:val="false"/>
          <w:caps w:val="false"/>
          <w:smallCaps w:val="false"/>
          <w:sz w:val="20"/>
        </w:rPr>
        <w:t>The following table presents the 2024 CP BF Convertible Note as of March 31, 2026 and December 31, 2025:</w:t>
      </w:r>
    </w:p>
    <w:p>
      <w:pPr>
        <w:pStyle w:val="TextBody"/>
        <w:bidi w:val="0"/>
        <w:spacing w:before="0" w:after="0"/>
        <w:ind w:left="0" w:right="0" w:hanging="0"/>
        <w:jc w:val="both"/>
        <w:rPr>
          <w:caps w:val="false"/>
          <w:smallCaps w:val="false"/>
        </w:rPr>
      </w:pPr>
      <w:r>
        <w:rPr>
          <w:caps w:val="false"/>
          <w:smallCaps w:val="false"/>
        </w:rPr>
        <w:t> </w:t>
      </w:r>
      <w:bookmarkStart w:id="819" w:name="xdx_8BF_zuTIU84DOrlb"/>
      <w:bookmarkEnd w:id="819"/>
      <w:r>
        <w:rPr>
          <w:rFonts w:ascii="Times New Roman;Times;Serif" w:hAnsi="Times New Roman;Times;Serif"/>
          <w:b w:val="false"/>
          <w:i w:val="false"/>
          <w:caps w:val="false"/>
          <w:smallCaps w:val="false"/>
          <w:sz w:val="20"/>
        </w:rPr>
        <w:t>Summary of Convertible Notes</w:t>
      </w:r>
    </w:p>
    <w:tbl>
      <w:tblPr>
        <w:tblW w:w="8738" w:type="dxa"/>
        <w:jc w:val="left"/>
        <w:tblInd w:w="0" w:type="dxa"/>
        <w:tblLayout w:type="fixed"/>
        <w:tblCellMar>
          <w:top w:w="0" w:type="dxa"/>
          <w:left w:w="0" w:type="dxa"/>
          <w:bottom w:w="0" w:type="dxa"/>
          <w:right w:w="0" w:type="dxa"/>
        </w:tblCellMar>
      </w:tblPr>
      <w:tblGrid>
        <w:gridCol w:w="4850"/>
        <w:gridCol w:w="60"/>
        <w:gridCol w:w="290"/>
        <w:gridCol w:w="1319"/>
        <w:gridCol w:w="95"/>
        <w:gridCol w:w="60"/>
        <w:gridCol w:w="352"/>
        <w:gridCol w:w="1602"/>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0" w:name="xdx_49C_20260331_zBeTwa4yYQNb"/>
            <w:bookmarkEnd w:id="820"/>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1" w:name="xdx_49E_20251231_zbebqIx7kt57"/>
            <w:bookmarkEnd w:id="82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822" w:name="xdx_407_eus-gaap--ConvertibleDebtFairVal"/>
            <w:bookmarkEnd w:id="822"/>
          </w:p>
        </w:tc>
      </w:tr>
      <w:tr>
        <w:trPr/>
        <w:tc>
          <w:tcPr>
            <w:tcW w:w="4850" w:type="dxa"/>
            <w:tcBorders/>
            <w:shd w:fill="CCEEFF" w:val="clear"/>
            <w:vAlign w:val="center"/>
          </w:tcPr>
          <w:p>
            <w:pPr>
              <w:pStyle w:val="TableContents"/>
              <w:bidi w:val="0"/>
              <w:spacing w:before="0" w:after="283"/>
              <w:jc w:val="left"/>
              <w:rPr/>
            </w:pPr>
            <w:r>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bookmarkStart w:id="823" w:name="xdx_40F_ecustom--UnamortizedDebtPremiumO"/>
            <w:bookmarkEnd w:id="823"/>
          </w:p>
        </w:tc>
      </w:tr>
      <w:tr>
        <w:trPr/>
        <w:tc>
          <w:tcPr>
            <w:tcW w:w="4850" w:type="dxa"/>
            <w:tcBorders/>
            <w:shd w:fill="FFFFFF" w:val="clear"/>
            <w:vAlign w:val="center"/>
          </w:tcPr>
          <w:p>
            <w:pPr>
              <w:pStyle w:val="TableContents"/>
              <w:bidi w:val="0"/>
              <w:spacing w:before="0" w:after="283"/>
              <w:jc w:val="left"/>
              <w:rPr/>
            </w:pPr>
            <w:r>
              <w:rPr/>
              <w:t>Debt premium, net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24" w:name="xdx_408_eus-gaap--ConvertibleNotesPayabl"/>
            <w:bookmarkEnd w:id="824"/>
          </w:p>
        </w:tc>
      </w:tr>
      <w:tr>
        <w:trPr/>
        <w:tc>
          <w:tcPr>
            <w:tcW w:w="4850" w:type="dxa"/>
            <w:tcBorders/>
            <w:shd w:fill="CCEEFF" w:val="clear"/>
            <w:vAlign w:val="center"/>
          </w:tcPr>
          <w:p>
            <w:pPr>
              <w:pStyle w:val="TableContents"/>
              <w:bidi w:val="0"/>
              <w:spacing w:before="0" w:after="283"/>
              <w:jc w:val="left"/>
              <w:rPr/>
            </w:pPr>
            <w:r>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bookmarkStart w:id="825" w:name="xdx_40C_ecustom--InterestPayableOnConver"/>
            <w:bookmarkEnd w:id="825"/>
          </w:p>
        </w:tc>
      </w:tr>
      <w:tr>
        <w:trPr/>
        <w:tc>
          <w:tcPr>
            <w:tcW w:w="485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1,558</w:t>
            </w:r>
          </w:p>
        </w:tc>
        <w:tc>
          <w:tcPr>
            <w:tcW w:w="110" w:type="dxa"/>
            <w:tcBorders/>
            <w:shd w:fill="FFFFFF" w:val="clear"/>
            <w:vAlign w:val="center"/>
          </w:tcPr>
          <w:p>
            <w:pPr>
              <w:pStyle w:val="TableContents"/>
              <w:bidi w:val="0"/>
              <w:spacing w:before="0" w:after="283"/>
              <w:jc w:val="left"/>
              <w:rPr/>
            </w:pPr>
            <w:r>
              <w:rPr/>
              <w:t> </w:t>
            </w:r>
            <w:bookmarkStart w:id="826" w:name="xdx_40C_ecustom--PrepaymentsMadeOnConver"/>
            <w:bookmarkEnd w:id="826"/>
          </w:p>
        </w:tc>
      </w:tr>
      <w:tr>
        <w:trPr/>
        <w:tc>
          <w:tcPr>
            <w:tcW w:w="4850" w:type="dxa"/>
            <w:tcBorders/>
            <w:shd w:fill="CCEEFF" w:val="clear"/>
            <w:vAlign w:val="center"/>
          </w:tcPr>
          <w:p>
            <w:pPr>
              <w:pStyle w:val="TableContents"/>
              <w:bidi w:val="0"/>
              <w:spacing w:before="0" w:after="283"/>
              <w:jc w:val="left"/>
              <w:rPr/>
            </w:pPr>
            <w:r>
              <w:rPr/>
              <w:t>Prepayments made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(5,012</w:t>
            </w:r>
          </w:p>
        </w:tc>
        <w:tc>
          <w:tcPr>
            <w:tcW w:w="110" w:type="dxa"/>
            <w:tcBorders/>
            <w:shd w:fill="CCEEFF" w:val="clear"/>
            <w:vAlign w:val="center"/>
          </w:tcPr>
          <w:p>
            <w:pPr>
              <w:pStyle w:val="TableContents"/>
              <w:bidi w:val="0"/>
              <w:spacing w:before="0" w:after="283"/>
              <w:jc w:val="left"/>
              <w:rPr/>
            </w:pPr>
            <w:r>
              <w:rPr/>
              <w:t>)</w:t>
            </w:r>
            <w:bookmarkStart w:id="827" w:name="xdx_406_ecustom--ConversionsOnConvertibl"/>
            <w:bookmarkEnd w:id="827"/>
          </w:p>
        </w:tc>
      </w:tr>
      <w:tr>
        <w:trPr/>
        <w:tc>
          <w:tcPr>
            <w:tcW w:w="485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110" w:type="dxa"/>
            <w:tcBorders/>
            <w:shd w:fill="FFFFFF" w:val="clear"/>
            <w:vAlign w:val="center"/>
          </w:tcPr>
          <w:p>
            <w:pPr>
              <w:pStyle w:val="TableContents"/>
              <w:bidi w:val="0"/>
              <w:spacing w:before="0" w:after="283"/>
              <w:jc w:val="left"/>
              <w:rPr/>
            </w:pPr>
            <w:r>
              <w:rPr/>
              <w:t>)</w:t>
            </w:r>
            <w:bookmarkStart w:id="828" w:name="xdx_403_ecustom--ConvertibleDebtIncludin"/>
            <w:bookmarkEnd w:id="828"/>
          </w:p>
        </w:tc>
      </w:tr>
      <w:tr>
        <w:trPr/>
        <w:tc>
          <w:tcPr>
            <w:tcW w:w="4850" w:type="dxa"/>
            <w:tcBorders/>
            <w:shd w:fill="CCEEFF" w:val="clear"/>
            <w:vAlign w:val="center"/>
          </w:tcPr>
          <w:p>
            <w:pPr>
              <w:pStyle w:val="TableContents"/>
              <w:bidi w:val="0"/>
              <w:spacing w:before="0" w:after="283"/>
              <w:jc w:val="left"/>
              <w:rPr/>
            </w:pPr>
            <w:r>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4,923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9" w:name="xdx_8AB_zvUknVdtSW65"/>
      <w:bookmarkEnd w:id="82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and CP BF executed a letter agreement dated October 10, 2025, pursuant to which they amended certain terms of the Loan Agreement and Note (as amended on October 15, 2025, the “CP BF Letter Agreement”). </w:t>
      </w:r>
      <w:bookmarkStart w:id="830" w:name="xdx_907_eus-gaap--DebtInstrumentConverti"/>
      <w:bookmarkEnd w:id="830"/>
      <w:r>
        <w:rPr>
          <w:rFonts w:ascii="Times New Roman;Times;Serif" w:hAnsi="Times New Roman;Times;Serif"/>
          <w:b w:val="false"/>
          <w:i w:val="false"/>
          <w:caps w:val="false"/>
          <w:smallCaps w:val="false"/>
          <w:sz w:val="20"/>
        </w:rPr>
        <w:t>The CP BF Letter Agreement amended the Conversion Price, as defined, to ninety-five percent (95%) of the price of the Class A Common Stock on the trading day immediately preceding delivery of any Conversion Notice, subject to a floor price of $5</w:t>
      </w:r>
      <w:bookmarkStart w:id="831" w:name="xdx_906_ecustom--FloorPrice_iI_pid_c2025"/>
      <w:bookmarkEnd w:id="831"/>
      <w:r>
        <w:rPr>
          <w:rFonts w:ascii="Times New Roman;Times;Serif" w:hAnsi="Times New Roman;Times;Serif"/>
          <w:b w:val="false"/>
          <w:i w:val="false"/>
          <w:caps w:val="false"/>
          <w:smallCaps w:val="false"/>
          <w:sz w:val="20"/>
        </w:rPr>
        <w:t>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w:t>
      </w:r>
      <w:bookmarkStart w:id="832" w:name="xdx_909_ecustom--PercentageOfAggregateDa"/>
      <w:bookmarkEnd w:id="832"/>
      <w:r>
        <w:rPr>
          <w:rFonts w:ascii="Times New Roman;Times;Serif" w:hAnsi="Times New Roman;Times;Serif"/>
          <w:b w:val="false"/>
          <w:i w:val="false"/>
          <w:caps w:val="false"/>
          <w:smallCaps w:val="false"/>
          <w:sz w:val="20"/>
        </w:rPr>
        <w:t>5%) of the aggregate daily trading volume however the Company has the right waive or increase such limitation at its discretion. The CP BF Letter Agreement also stipulates that between the time that the Company pays down at least $</w:t>
      </w:r>
      <w:bookmarkStart w:id="833" w:name="xdx_905_eus-gaap--DebtInstrumentPeriodic"/>
      <w:bookmarkEnd w:id="833"/>
      <w:r>
        <w:rPr>
          <w:rFonts w:ascii="Times New Roman;Times;Serif" w:hAnsi="Times New Roman;Times;Serif"/>
          <w:b w:val="false"/>
          <w:i w:val="false"/>
          <w:caps w:val="false"/>
          <w:smallCaps w:val="false"/>
          <w:sz w:val="20"/>
        </w:rPr>
        <w:t xml:space="preserve">2.0 million against the Balance until the earlier of (a) </w:t>
      </w:r>
      <w:bookmarkStart w:id="834" w:name="xdx_90D_ecustom--MinimumRedemptionNotice"/>
      <w:bookmarkEnd w:id="834"/>
      <w:r>
        <w:rPr>
          <w:rFonts w:ascii="Times New Roman;Times;Serif" w:hAnsi="Times New Roman;Times;Serif"/>
          <w:b w:val="false"/>
          <w:i w:val="false"/>
          <w:caps w:val="false"/>
          <w:smallCaps w:val="false"/>
          <w:sz w:val="20"/>
        </w:rPr>
        <w:t>60 days following the date of the CP BF Letter Agreement and (b) receipt of $</w:t>
      </w:r>
      <w:bookmarkStart w:id="835" w:name="xdx_903_eus-gaap--ProceedsFromIssuanceOf"/>
      <w:bookmarkEnd w:id="835"/>
      <w:r>
        <w:rPr>
          <w:rFonts w:ascii="Times New Roman;Times;Serif" w:hAnsi="Times New Roman;Times;Serif"/>
          <w:b w:val="false"/>
          <w:i w:val="false"/>
          <w:caps w:val="false"/>
          <w:smallCaps w:val="false"/>
          <w:sz w:val="20"/>
        </w:rPr>
        <w:t>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w:t>
      </w:r>
      <w:bookmarkStart w:id="836" w:name="xdx_90F_eus-gaap--DebtInstrumentConverti"/>
      <w:bookmarkEnd w:id="836"/>
      <w:r>
        <w:rPr>
          <w:rFonts w:ascii="Times New Roman;Times;Serif" w:hAnsi="Times New Roman;Times;Serif"/>
          <w:b w:val="false"/>
          <w:i w:val="false"/>
          <w:caps w:val="false"/>
          <w:smallCaps w:val="false"/>
          <w:sz w:val="20"/>
        </w:rPr>
        <w:t xml:space="preserve">120% of the number of shares of Class A Common Stock issuable upon full conversion of the Balance at the new conversion price and to register </w:t>
      </w:r>
      <w:bookmarkStart w:id="837" w:name="xdx_905_ecustom--PercentageOfConvertedSh"/>
      <w:bookmarkEnd w:id="837"/>
      <w:r>
        <w:rPr>
          <w:rFonts w:ascii="Times New Roman;Times;Serif" w:hAnsi="Times New Roman;Times;Serif"/>
          <w:b w:val="false"/>
          <w:i w:val="false"/>
          <w:caps w:val="false"/>
          <w:smallCaps w:val="false"/>
          <w:sz w:val="20"/>
        </w:rPr>
        <w:t xml:space="preserve">100% of all such shares with the SEC within </w:t>
      </w:r>
      <w:bookmarkStart w:id="838" w:name="xdx_904_ecustom--MinimumRedemptionNotice"/>
      <w:bookmarkEnd w:id="838"/>
      <w:r>
        <w:rPr>
          <w:rFonts w:ascii="Times New Roman;Times;Serif" w:hAnsi="Times New Roman;Times;Serif"/>
          <w:b w:val="false"/>
          <w:i w:val="false"/>
          <w:caps w:val="false"/>
          <w:smallCaps w:val="false"/>
          <w:sz w:val="20"/>
        </w:rPr>
        <w:t>60 days of the CP BF Letter Agreement. As per the CP BF Letter Agreement, subject to the receipt by CP BF of $</w:t>
      </w:r>
      <w:bookmarkStart w:id="839" w:name="xdx_906_eus-gaap--DebtInstrumentPeriodic"/>
      <w:bookmarkEnd w:id="839"/>
      <w:r>
        <w:rPr>
          <w:rFonts w:ascii="Times New Roman;Times;Serif" w:hAnsi="Times New Roman;Times;Serif"/>
          <w:b w:val="false"/>
          <w:i w:val="false"/>
          <w:caps w:val="false"/>
          <w:smallCaps w:val="false"/>
          <w:sz w:val="20"/>
        </w:rPr>
        <w:t>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17, 2025 and December 31, 2025, CP BF exercised its optional conversion option multiple times and received an aggregate of </w:t>
      </w:r>
      <w:bookmarkStart w:id="840" w:name="xdx_903_eus-gaap--StockIssuedDuringPerio"/>
      <w:bookmarkEnd w:id="840"/>
      <w:r>
        <w:rPr>
          <w:rFonts w:ascii="Times New Roman;Times;Serif" w:hAnsi="Times New Roman;Times;Serif"/>
          <w:b w:val="false"/>
          <w:i w:val="false"/>
          <w:caps w:val="false"/>
          <w:smallCaps w:val="false"/>
          <w:sz w:val="20"/>
        </w:rPr>
        <w:t>3,135 shares of Class A Common Stock at conversion prices per share ranging from $</w:t>
      </w:r>
      <w:bookmarkStart w:id="841" w:name="xdx_909_eus-gaap--SharesIssuedPricePerSh"/>
      <w:bookmarkEnd w:id="841"/>
      <w:r>
        <w:rPr>
          <w:rFonts w:ascii="Times New Roman;Times;Serif" w:hAnsi="Times New Roman;Times;Serif"/>
          <w:b w:val="false"/>
          <w:i w:val="false"/>
          <w:caps w:val="false"/>
          <w:smallCaps w:val="false"/>
          <w:sz w:val="20"/>
        </w:rPr>
        <w:t>54.20 to $</w:t>
      </w:r>
      <w:bookmarkStart w:id="842" w:name="xdx_90E_eus-gaap--SharesIssuedPricePerSh"/>
      <w:bookmarkEnd w:id="842"/>
      <w:r>
        <w:rPr>
          <w:rFonts w:ascii="Times New Roman;Times;Serif" w:hAnsi="Times New Roman;Times;Serif"/>
          <w:b w:val="false"/>
          <w:i w:val="false"/>
          <w:caps w:val="false"/>
          <w:smallCaps w:val="false"/>
          <w:sz w:val="20"/>
        </w:rPr>
        <w:t>55.00 in satisfaction of $</w:t>
      </w:r>
      <w:bookmarkStart w:id="843" w:name="xdx_909_eus-gaap--ConversionOfStockAmoun"/>
      <w:bookmarkEnd w:id="843"/>
      <w:r>
        <w:rPr>
          <w:rFonts w:ascii="Times New Roman;Times;Serif" w:hAnsi="Times New Roman;Times;Serif"/>
          <w:b w:val="false"/>
          <w:i w:val="false"/>
          <w:caps w:val="false"/>
          <w:smallCaps w:val="false"/>
          <w:sz w:val="20"/>
        </w:rPr>
        <w:t>165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w:t>
      </w:r>
      <w:bookmarkStart w:id="844" w:name="xdx_909_eus-gaap--DebtInstrumentFaceAmou"/>
      <w:bookmarkEnd w:id="844"/>
      <w:r>
        <w:rPr>
          <w:rFonts w:ascii="Times New Roman;Times;Serif" w:hAnsi="Times New Roman;Times;Serif"/>
          <w:b w:val="false"/>
          <w:i w:val="false"/>
          <w:caps w:val="false"/>
          <w:smallCaps w:val="false"/>
          <w:sz w:val="20"/>
        </w:rPr>
        <w:t>788 and received net proceeds of $</w:t>
      </w:r>
      <w:bookmarkStart w:id="845" w:name="xdx_909_eus-gaap--ProceedsFromShortTermD"/>
      <w:bookmarkEnd w:id="845"/>
      <w:r>
        <w:rPr>
          <w:rFonts w:ascii="Times New Roman;Times;Serif" w:hAnsi="Times New Roman;Times;Serif"/>
          <w:b w:val="false"/>
          <w:i w:val="false"/>
          <w:caps w:val="false"/>
          <w:smallCaps w:val="false"/>
          <w:sz w:val="20"/>
        </w:rPr>
        <w:t>750, after administrative agent fees of $</w:t>
      </w:r>
      <w:bookmarkStart w:id="846" w:name="xdx_90E_eus-gaap--DebtInstrumentFeeAmoun"/>
      <w:bookmarkEnd w:id="846"/>
      <w:r>
        <w:rPr>
          <w:rFonts w:ascii="Times New Roman;Times;Serif" w:hAnsi="Times New Roman;Times;Serif"/>
          <w:b w:val="false"/>
          <w:i w:val="false"/>
          <w:caps w:val="false"/>
          <w:smallCaps w:val="false"/>
          <w:sz w:val="20"/>
        </w:rPr>
        <w:t xml:space="preserve">38 paid to Agile Funding, with a maturity date of </w:t>
      </w:r>
      <w:bookmarkStart w:id="847" w:name="xdx_90D_eus-gaap--DebtInstrumentMaturity"/>
      <w:bookmarkEnd w:id="847"/>
      <w:r>
        <w:rPr>
          <w:rFonts w:ascii="Times New Roman;Times;Serif" w:hAnsi="Times New Roman;Times;Serif"/>
          <w:b w:val="false"/>
          <w:i w:val="false"/>
          <w:caps w:val="false"/>
          <w:smallCaps w:val="false"/>
          <w:sz w:val="20"/>
        </w:rPr>
        <w:t xml:space="preserve">February 5, 2025. The July Agile Note bears interest at a rate of </w:t>
      </w:r>
      <w:bookmarkStart w:id="848" w:name="xdx_90F_eus-gaap--DebtInstrumentInterest"/>
      <w:bookmarkEnd w:id="848"/>
      <w:r>
        <w:rPr>
          <w:rFonts w:ascii="Times New Roman;Times;Serif" w:hAnsi="Times New Roman;Times;Serif"/>
          <w:b w:val="false"/>
          <w:i w:val="false"/>
          <w:caps w:val="false"/>
          <w:smallCaps w:val="false"/>
          <w:sz w:val="2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w:t>
      </w:r>
      <w:bookmarkStart w:id="849" w:name="xdx_90F_eus-gaap--DebtInstrumentFaceAmou"/>
      <w:bookmarkEnd w:id="849"/>
      <w:r>
        <w:rPr>
          <w:rFonts w:ascii="Times New Roman;Times;Serif" w:hAnsi="Times New Roman;Times;Serif"/>
          <w:b w:val="false"/>
          <w:i w:val="false"/>
          <w:caps w:val="false"/>
          <w:smallCaps w:val="false"/>
          <w:sz w:val="20"/>
        </w:rPr>
        <w:t>263 and received net proceeds of $</w:t>
      </w:r>
      <w:bookmarkStart w:id="850" w:name="xdx_90C_eus-gaap--ProceedsFromShortTermD"/>
      <w:bookmarkEnd w:id="850"/>
      <w:r>
        <w:rPr>
          <w:rFonts w:ascii="Times New Roman;Times;Serif" w:hAnsi="Times New Roman;Times;Serif"/>
          <w:b w:val="false"/>
          <w:i w:val="false"/>
          <w:caps w:val="false"/>
          <w:smallCaps w:val="false"/>
          <w:sz w:val="20"/>
        </w:rPr>
        <w:t>250, after administrative agent fees of $</w:t>
      </w:r>
      <w:bookmarkStart w:id="851" w:name="xdx_905_eus-gaap--DebtInstrumentFeeAmoun"/>
      <w:bookmarkEnd w:id="851"/>
      <w:r>
        <w:rPr>
          <w:rFonts w:ascii="Times New Roman;Times;Serif" w:hAnsi="Times New Roman;Times;Serif"/>
          <w:b w:val="false"/>
          <w:i w:val="false"/>
          <w:caps w:val="false"/>
          <w:smallCaps w:val="false"/>
          <w:sz w:val="20"/>
        </w:rPr>
        <w:t xml:space="preserve">13 paid to Agile Funding, with a maturity date of </w:t>
      </w:r>
      <w:bookmarkStart w:id="852" w:name="xdx_905_eus-gaap--DebtInstrumentMaturity"/>
      <w:bookmarkEnd w:id="852"/>
      <w:r>
        <w:rPr>
          <w:rFonts w:ascii="Times New Roman;Times;Serif" w:hAnsi="Times New Roman;Times;Serif"/>
          <w:b w:val="false"/>
          <w:i w:val="false"/>
          <w:caps w:val="false"/>
          <w:smallCaps w:val="false"/>
          <w:sz w:val="20"/>
        </w:rPr>
        <w:t xml:space="preserve">March 3, 2025. The September Agile Note bears interest at a rate of </w:t>
      </w:r>
      <w:bookmarkStart w:id="853" w:name="xdx_90C_eus-gaap--DebtInstrumentInterest"/>
      <w:bookmarkEnd w:id="853"/>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w:t>
      </w:r>
      <w:bookmarkStart w:id="854" w:name="xdx_900_eus-gaap--DebtInstrumentFaceAmou"/>
      <w:bookmarkEnd w:id="854"/>
      <w:r>
        <w:rPr>
          <w:rFonts w:ascii="Times New Roman;Times;Serif" w:hAnsi="Times New Roman;Times;Serif"/>
          <w:b w:val="false"/>
          <w:i w:val="false"/>
          <w:caps w:val="false"/>
          <w:smallCaps w:val="false"/>
          <w:sz w:val="20"/>
        </w:rPr>
        <w:t>2,400 and received net proceeds of $</w:t>
      </w:r>
      <w:bookmarkStart w:id="855" w:name="xdx_904_eus-gaap--ProceedsFromShortTermD"/>
      <w:bookmarkEnd w:id="855"/>
      <w:r>
        <w:rPr>
          <w:rFonts w:ascii="Times New Roman;Times;Serif" w:hAnsi="Times New Roman;Times;Serif"/>
          <w:b w:val="false"/>
          <w:i w:val="false"/>
          <w:caps w:val="false"/>
          <w:smallCaps w:val="false"/>
          <w:sz w:val="20"/>
        </w:rPr>
        <w:t>1,782, after administrative agent fees of $</w:t>
      </w:r>
      <w:bookmarkStart w:id="856" w:name="xdx_905_eus-gaap--DebtInstrumentFeeAmoun"/>
      <w:bookmarkEnd w:id="856"/>
      <w:r>
        <w:rPr>
          <w:rFonts w:ascii="Times New Roman;Times;Serif" w:hAnsi="Times New Roman;Times;Serif"/>
          <w:b w:val="false"/>
          <w:i w:val="false"/>
          <w:caps w:val="false"/>
          <w:smallCaps w:val="false"/>
          <w:sz w:val="20"/>
        </w:rPr>
        <w:t>120 paid to Agile Funding, and net of payments to Agile of $</w:t>
      </w:r>
      <w:bookmarkStart w:id="857" w:name="xdx_900_eus-gaap--EarlyRepaymentOfSubord"/>
      <w:bookmarkEnd w:id="857"/>
      <w:r>
        <w:rPr>
          <w:rFonts w:ascii="Times New Roman;Times;Serif" w:hAnsi="Times New Roman;Times;Serif"/>
          <w:b w:val="false"/>
          <w:i w:val="false"/>
          <w:caps w:val="false"/>
          <w:smallCaps w:val="false"/>
          <w:sz w:val="20"/>
        </w:rPr>
        <w:t>320 and $</w:t>
      </w:r>
      <w:bookmarkStart w:id="858" w:name="xdx_90C_eus-gaap--EarlyRepaymentOfSubord"/>
      <w:bookmarkEnd w:id="858"/>
      <w:r>
        <w:rPr>
          <w:rFonts w:ascii="Times New Roman;Times;Serif" w:hAnsi="Times New Roman;Times;Serif"/>
          <w:b w:val="false"/>
          <w:i w:val="false"/>
          <w:caps w:val="false"/>
          <w:smallCaps w:val="false"/>
          <w:sz w:val="20"/>
        </w:rPr>
        <w:t xml:space="preserve">178 in respect to early prepayment of the remaining outstanding balances of the July Agile Note and September Agile Note. The December Agile Note has a maturity date of </w:t>
      </w:r>
      <w:bookmarkStart w:id="859" w:name="xdx_90B_eus-gaap--DebtInstrumentMaturity"/>
      <w:bookmarkEnd w:id="859"/>
      <w:r>
        <w:rPr>
          <w:rFonts w:ascii="Times New Roman;Times;Serif" w:hAnsi="Times New Roman;Times;Serif"/>
          <w:b w:val="false"/>
          <w:i w:val="false"/>
          <w:caps w:val="false"/>
          <w:smallCaps w:val="false"/>
          <w:sz w:val="20"/>
        </w:rPr>
        <w:t xml:space="preserve">July 10, 2025 and bears interest at a rate of </w:t>
      </w:r>
      <w:bookmarkStart w:id="860" w:name="xdx_905_eus-gaap--DebtInstrumentInterest"/>
      <w:bookmarkEnd w:id="860"/>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w:t>
      </w:r>
      <w:bookmarkStart w:id="861" w:name="xdx_900_eus-gaap--GainsLossesOnExtinguis"/>
      <w:bookmarkEnd w:id="861"/>
      <w:r>
        <w:rPr>
          <w:rFonts w:ascii="Times New Roman;Times;Serif" w:hAnsi="Times New Roman;Times;Serif"/>
          <w:b w:val="false"/>
          <w:i w:val="false"/>
          <w:caps w:val="false"/>
          <w:smallCaps w:val="false"/>
          <w:sz w:val="20"/>
        </w:rPr>
        <w:t>1,072.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w:t>
      </w:r>
      <w:bookmarkStart w:id="862" w:name="xdx_908_eus-gaap--DebtInstrumentFaceAmou"/>
      <w:bookmarkEnd w:id="862"/>
      <w:r>
        <w:rPr>
          <w:rFonts w:ascii="Times New Roman;Times;Serif" w:hAnsi="Times New Roman;Times;Serif"/>
          <w:b w:val="false"/>
          <w:i w:val="false"/>
          <w:caps w:val="false"/>
          <w:smallCaps w:val="false"/>
          <w:sz w:val="20"/>
        </w:rPr>
        <w:t>4,000 and received net proceeds of $</w:t>
      </w:r>
      <w:bookmarkStart w:id="863" w:name="xdx_908_eus-gaap--ProceedsFromShortTermD"/>
      <w:bookmarkEnd w:id="863"/>
      <w:r>
        <w:rPr>
          <w:rFonts w:ascii="Times New Roman;Times;Serif" w:hAnsi="Times New Roman;Times;Serif"/>
          <w:b w:val="false"/>
          <w:i w:val="false"/>
          <w:caps w:val="false"/>
          <w:smallCaps w:val="false"/>
          <w:sz w:val="20"/>
        </w:rPr>
        <w:t>2,044, after administrative agent fees of $</w:t>
      </w:r>
      <w:bookmarkStart w:id="864" w:name="xdx_90C_eus-gaap--DebtInstrumentFeeAmoun"/>
      <w:bookmarkEnd w:id="864"/>
      <w:r>
        <w:rPr>
          <w:rFonts w:ascii="Times New Roman;Times;Serif" w:hAnsi="Times New Roman;Times;Serif"/>
          <w:b w:val="false"/>
          <w:i w:val="false"/>
          <w:caps w:val="false"/>
          <w:smallCaps w:val="false"/>
          <w:sz w:val="20"/>
        </w:rPr>
        <w:t>200 paid to Agile Funding, and net of payments to Agile of $</w:t>
      </w:r>
      <w:bookmarkStart w:id="865" w:name="xdx_906_eus-gaap--RepaymentsOfDebt_pn3n3"/>
      <w:bookmarkEnd w:id="865"/>
      <w:r>
        <w:rPr>
          <w:rFonts w:ascii="Times New Roman;Times;Serif" w:hAnsi="Times New Roman;Times;Serif"/>
          <w:b w:val="false"/>
          <w:i w:val="false"/>
          <w:caps w:val="false"/>
          <w:smallCaps w:val="false"/>
          <w:sz w:val="20"/>
        </w:rPr>
        <w:t xml:space="preserve">1,756 in respect to early prepayment of the remaining outstanding balances of the December Agile Note. The March Agile Note has a maturity date of </w:t>
      </w:r>
      <w:bookmarkStart w:id="866" w:name="xdx_90C_eus-gaap--DebtInstrumentMaturity"/>
      <w:bookmarkEnd w:id="866"/>
      <w:r>
        <w:rPr>
          <w:rFonts w:ascii="Times New Roman;Times;Serif" w:hAnsi="Times New Roman;Times;Serif"/>
          <w:b w:val="false"/>
          <w:i w:val="false"/>
          <w:caps w:val="false"/>
          <w:smallCaps w:val="false"/>
          <w:sz w:val="20"/>
        </w:rPr>
        <w:t xml:space="preserve">November 12, 2025 and bears interest at a rate of </w:t>
      </w:r>
      <w:bookmarkStart w:id="867" w:name="xdx_908_eus-gaap--DebtInstrumentInterest"/>
      <w:bookmarkEnd w:id="867"/>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w:t>
      </w:r>
      <w:bookmarkStart w:id="868" w:name="xdx_907_eus-gaap--GainsLossesOnExtinguis"/>
      <w:bookmarkEnd w:id="868"/>
      <w:r>
        <w:rPr>
          <w:rFonts w:ascii="Times New Roman;Times;Serif" w:hAnsi="Times New Roman;Times;Serif"/>
          <w:b w:val="false"/>
          <w:i w:val="false"/>
          <w:caps w:val="false"/>
          <w:smallCaps w:val="false"/>
          <w:sz w:val="20"/>
        </w:rPr>
        <w:t>1,770.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w:t>
      </w:r>
      <w:bookmarkStart w:id="869" w:name="xdx_90E_eus-gaap--DebtInstrumentFaceAmou"/>
      <w:bookmarkEnd w:id="869"/>
      <w:r>
        <w:rPr>
          <w:rFonts w:ascii="Times New Roman;Times;Serif" w:hAnsi="Times New Roman;Times;Serif"/>
          <w:b w:val="false"/>
          <w:i w:val="false"/>
          <w:caps w:val="false"/>
          <w:smallCaps w:val="false"/>
          <w:sz w:val="20"/>
        </w:rPr>
        <w:t>263 and received net proceeds of $</w:t>
      </w:r>
      <w:bookmarkStart w:id="870" w:name="xdx_90A_eus-gaap--ProceedsFromShortTermD"/>
      <w:bookmarkEnd w:id="870"/>
      <w:r>
        <w:rPr>
          <w:rFonts w:ascii="Times New Roman;Times;Serif" w:hAnsi="Times New Roman;Times;Serif"/>
          <w:b w:val="false"/>
          <w:i w:val="false"/>
          <w:caps w:val="false"/>
          <w:smallCaps w:val="false"/>
          <w:sz w:val="20"/>
        </w:rPr>
        <w:t>250, after administrative agent fees $</w:t>
      </w:r>
      <w:bookmarkStart w:id="871" w:name="xdx_90F_eus-gaap--DebtInstrumentFeeAmoun"/>
      <w:bookmarkEnd w:id="871"/>
      <w:r>
        <w:rPr>
          <w:rFonts w:ascii="Times New Roman;Times;Serif" w:hAnsi="Times New Roman;Times;Serif"/>
          <w:b w:val="false"/>
          <w:i w:val="false"/>
          <w:caps w:val="false"/>
          <w:smallCaps w:val="false"/>
          <w:sz w:val="20"/>
        </w:rPr>
        <w:t xml:space="preserve">13 paid to Agile Funding. The June Agile note has a maturity date of </w:t>
      </w:r>
      <w:bookmarkStart w:id="872" w:name="xdx_905_eus-gaap--DebtInstrumentMaturity"/>
      <w:bookmarkEnd w:id="872"/>
      <w:r>
        <w:rPr>
          <w:rFonts w:ascii="Times New Roman;Times;Serif" w:hAnsi="Times New Roman;Times;Serif"/>
          <w:b w:val="false"/>
          <w:i w:val="false"/>
          <w:caps w:val="false"/>
          <w:smallCaps w:val="false"/>
          <w:sz w:val="20"/>
        </w:rPr>
        <w:t xml:space="preserve">December 15, 2025 and bears interest at a rate of </w:t>
      </w:r>
      <w:bookmarkStart w:id="873" w:name="xdx_909_eus-gaap--DebtInstrumentInterest"/>
      <w:bookmarkEnd w:id="873"/>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issued a subordinated secured promissory note (the “March 2026 Agile Note”) for an aggregate principal amount of $</w:t>
      </w:r>
      <w:bookmarkStart w:id="874" w:name="xdx_90B_eus-gaap--DebtInstrumentFaceAmou"/>
      <w:bookmarkEnd w:id="874"/>
      <w:r>
        <w:rPr>
          <w:rFonts w:ascii="Times New Roman;Times;Serif" w:hAnsi="Times New Roman;Times;Serif"/>
          <w:b w:val="false"/>
          <w:i w:val="false"/>
          <w:caps w:val="false"/>
          <w:smallCaps w:val="false"/>
          <w:sz w:val="20"/>
        </w:rPr>
        <w:t>90 and received net proceeds of $</w:t>
      </w:r>
      <w:bookmarkStart w:id="875" w:name="xdx_903_eus-gaap--ProceedsFromShortTermD"/>
      <w:bookmarkEnd w:id="875"/>
      <w:r>
        <w:rPr>
          <w:rFonts w:ascii="Times New Roman;Times;Serif" w:hAnsi="Times New Roman;Times;Serif"/>
          <w:b w:val="false"/>
          <w:i w:val="false"/>
          <w:caps w:val="false"/>
          <w:smallCaps w:val="false"/>
          <w:sz w:val="20"/>
        </w:rPr>
        <w:t>85, after administrative agent fees $</w:t>
      </w:r>
      <w:bookmarkStart w:id="876" w:name="xdx_901_eus-gaap--DebtInstrumentFeeAmoun"/>
      <w:bookmarkEnd w:id="876"/>
      <w:r>
        <w:rPr>
          <w:rFonts w:ascii="Times New Roman;Times;Serif" w:hAnsi="Times New Roman;Times;Serif"/>
          <w:b w:val="false"/>
          <w:i w:val="false"/>
          <w:caps w:val="false"/>
          <w:smallCaps w:val="false"/>
          <w:sz w:val="20"/>
        </w:rPr>
        <w:t xml:space="preserve">5 paid to Agile Funding. The March 2026 Agile note has a maturity date of </w:t>
      </w:r>
      <w:bookmarkStart w:id="877" w:name="xdx_900_eus-gaap--DebtInstrumentMaturity"/>
      <w:bookmarkEnd w:id="877"/>
      <w:r>
        <w:rPr>
          <w:rFonts w:ascii="Times New Roman;Times;Serif" w:hAnsi="Times New Roman;Times;Serif"/>
          <w:b w:val="false"/>
          <w:i w:val="false"/>
          <w:caps w:val="false"/>
          <w:smallCaps w:val="false"/>
          <w:sz w:val="20"/>
        </w:rPr>
        <w:t xml:space="preserve">October 27, 2026 and bears interest at a rate of </w:t>
      </w:r>
      <w:bookmarkStart w:id="878" w:name="xdx_90B_eus-gaap--DebtInstrumentInterest"/>
      <w:bookmarkEnd w:id="878"/>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w:t>
      </w:r>
      <w:bookmarkStart w:id="879" w:name="xdx_907_eus-gaap--DebtInstrumentInterest"/>
      <w:bookmarkEnd w:id="879"/>
      <w:r>
        <w:rPr>
          <w:rFonts w:ascii="Times New Roman;Times;Serif" w:hAnsi="Times New Roman;Times;Serif"/>
          <w:b w:val="false"/>
          <w:i w:val="false"/>
          <w:caps w:val="false"/>
          <w:smallCaps w:val="false"/>
          <w:sz w:val="20"/>
        </w:rPr>
        <w:t>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w:t>
      </w:r>
      <w:bookmarkStart w:id="880" w:name="xdx_900_eus-gaap--NotesPayableCurrent_iI"/>
      <w:bookmarkEnd w:id="880"/>
      <w:r>
        <w:rPr>
          <w:rFonts w:ascii="Times New Roman;Times;Serif" w:hAnsi="Times New Roman;Times;Serif"/>
          <w:b w:val="false"/>
          <w:i w:val="false"/>
          <w:caps w:val="false"/>
          <w:smallCaps w:val="false"/>
          <w:sz w:val="20"/>
        </w:rPr>
        <w:t>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w:t>
      </w:r>
      <w:bookmarkStart w:id="881" w:name="xdx_90F_eus-gaap--LongTermNotesPayable_i"/>
      <w:bookmarkEnd w:id="881"/>
      <w:r>
        <w:rPr>
          <w:rFonts w:ascii="Times New Roman;Times;Serif" w:hAnsi="Times New Roman;Times;Serif"/>
          <w:b w:val="false"/>
          <w:i w:val="false"/>
          <w:caps w:val="false"/>
          <w:smallCaps w:val="false"/>
          <w:sz w:val="20"/>
        </w:rPr>
        <w:t>2,123.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w:t>
      </w:r>
      <w:bookmarkStart w:id="882" w:name="xdx_907_eus-gaap--GainsLossesOnExtinguis"/>
      <w:bookmarkEnd w:id="882"/>
      <w:r>
        <w:rPr>
          <w:rFonts w:ascii="Times New Roman;Times;Serif" w:hAnsi="Times New Roman;Times;Serif"/>
          <w:b w:val="false"/>
          <w:i w:val="false"/>
          <w:caps w:val="false"/>
          <w:smallCaps w:val="false"/>
          <w:sz w:val="20"/>
        </w:rPr>
        <w:t>633.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 entered into an exchange agreement with Agile (“Agile Exchange Agreement”) pursuant to which the Company issued </w:t>
      </w:r>
      <w:bookmarkStart w:id="883" w:name="xdx_900_ecustom--SharesIssuedUnderPromis"/>
      <w:bookmarkEnd w:id="883"/>
      <w:r>
        <w:rPr>
          <w:rFonts w:ascii="Times New Roman;Times;Serif" w:hAnsi="Times New Roman;Times;Serif"/>
          <w:b w:val="false"/>
          <w:i w:val="false"/>
          <w:caps w:val="false"/>
          <w:smallCaps w:val="false"/>
          <w:sz w:val="20"/>
        </w:rPr>
        <w:t>11,640 shares of its Class A common stock in exchange for a reduction of $</w:t>
      </w:r>
      <w:bookmarkStart w:id="884" w:name="xdx_90B_ecustom--AggregateReductionsOfIn"/>
      <w:bookmarkEnd w:id="884"/>
      <w:r>
        <w:rPr>
          <w:rFonts w:ascii="Times New Roman;Times;Serif" w:hAnsi="Times New Roman;Times;Serif"/>
          <w:b w:val="false"/>
          <w:i w:val="false"/>
          <w:caps w:val="false"/>
          <w:smallCaps w:val="false"/>
          <w:sz w:val="20"/>
        </w:rPr>
        <w:t>284 in the outstanding balance of the March Agile Note. Following this exchange, the outstanding balance of the March Agile Note was reduced to approximately $</w:t>
      </w:r>
      <w:bookmarkStart w:id="885" w:name="xdx_909_eus-gaap--LongTermNotesPayable_i"/>
      <w:bookmarkEnd w:id="885"/>
      <w:r>
        <w:rPr>
          <w:rFonts w:ascii="Times New Roman;Times;Serif" w:hAnsi="Times New Roman;Times;Serif"/>
          <w:b w:val="false"/>
          <w:i w:val="false"/>
          <w:caps w:val="false"/>
          <w:smallCaps w:val="false"/>
          <w:sz w:val="20"/>
        </w:rPr>
        <w:t>1,839.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27, 2026 and March 27, 2026, the Company entered into multiple exchange agreements with Agile on substantially similar terms as the Agile Exchange Agreement pursuant to which the Company issued an aggregate of </w:t>
      </w:r>
      <w:bookmarkStart w:id="886" w:name="xdx_908_ecustom--SharesIssuedUnderPromis"/>
      <w:bookmarkEnd w:id="886"/>
      <w:r>
        <w:rPr>
          <w:rFonts w:ascii="Times New Roman;Times;Serif" w:hAnsi="Times New Roman;Times;Serif"/>
          <w:b w:val="false"/>
          <w:i w:val="false"/>
          <w:caps w:val="false"/>
          <w:smallCaps w:val="false"/>
          <w:sz w:val="20"/>
        </w:rPr>
        <w:t>29,306 shares of its Class A common stock at conversion prices per share ranging from $</w:t>
      </w:r>
      <w:bookmarkStart w:id="887" w:name="xdx_909_eus-gaap--DebtInstrumentConverti"/>
      <w:bookmarkEnd w:id="887"/>
      <w:r>
        <w:rPr>
          <w:rFonts w:ascii="Times New Roman;Times;Serif" w:hAnsi="Times New Roman;Times;Serif"/>
          <w:b w:val="false"/>
          <w:i w:val="false"/>
          <w:caps w:val="false"/>
          <w:smallCaps w:val="false"/>
          <w:sz w:val="20"/>
        </w:rPr>
        <w:t>21.40 to $</w:t>
      </w:r>
      <w:bookmarkStart w:id="888" w:name="xdx_90A_eus-gaap--DebtInstrumentConverti"/>
      <w:bookmarkEnd w:id="888"/>
      <w:r>
        <w:rPr>
          <w:rFonts w:ascii="Times New Roman;Times;Serif" w:hAnsi="Times New Roman;Times;Serif"/>
          <w:b w:val="false"/>
          <w:i w:val="false"/>
          <w:caps w:val="false"/>
          <w:smallCaps w:val="false"/>
          <w:sz w:val="20"/>
        </w:rPr>
        <w:t>23.04 in exchange for a reduction of $</w:t>
      </w:r>
      <w:bookmarkStart w:id="889" w:name="xdx_906_ecustom--AggregateReductionsOfIn"/>
      <w:bookmarkEnd w:id="889"/>
      <w:r>
        <w:rPr>
          <w:rFonts w:ascii="Times New Roman;Times;Serif" w:hAnsi="Times New Roman;Times;Serif"/>
          <w:b w:val="false"/>
          <w:i w:val="false"/>
          <w:caps w:val="false"/>
          <w:smallCaps w:val="false"/>
          <w:sz w:val="20"/>
        </w:rPr>
        <w:t>660 in the outstanding balance of the March Agile Note. Following these exchanges, the outstanding balance of the March Agile Note was reduced to approximately $</w:t>
      </w:r>
      <w:bookmarkStart w:id="890" w:name="xdx_90C_eus-gaap--LongTermNotesPayable_i"/>
      <w:bookmarkEnd w:id="890"/>
      <w:r>
        <w:rPr>
          <w:rFonts w:ascii="Times New Roman;Times;Serif" w:hAnsi="Times New Roman;Times;Serif"/>
          <w:b w:val="false"/>
          <w:i w:val="false"/>
          <w:caps w:val="false"/>
          <w:smallCaps w:val="false"/>
          <w:sz w:val="20"/>
        </w:rPr>
        <w:t>1,179.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w:t>
      </w:r>
      <w:bookmarkStart w:id="891" w:name="xdx_905_eus-gaap--InterestExpense_pn3n3_"/>
      <w:bookmarkEnd w:id="891"/>
      <w:r>
        <w:rPr>
          <w:rFonts w:ascii="Times New Roman;Times;Serif" w:hAnsi="Times New Roman;Times;Serif"/>
          <w:b w:val="false"/>
          <w:i w:val="false"/>
          <w:caps w:val="false"/>
          <w:smallCaps w:val="false"/>
          <w:sz w:val="20"/>
        </w:rPr>
        <w:t>0 and $</w:t>
      </w:r>
      <w:bookmarkStart w:id="892" w:name="xdx_902_eus-gaap--InterestExpense_pn3n3_"/>
      <w:bookmarkEnd w:id="892"/>
      <w:r>
        <w:rPr>
          <w:rFonts w:ascii="Times New Roman;Times;Serif" w:hAnsi="Times New Roman;Times;Serif"/>
          <w:b w:val="false"/>
          <w:i w:val="false"/>
          <w:caps w:val="false"/>
          <w:smallCaps w:val="false"/>
          <w:sz w:val="20"/>
        </w:rPr>
        <w:t>450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93" w:name="xdx_89E_eus-gaap--ScheduleOfDebtInstrume"/>
      <w:bookmarkEnd w:id="893"/>
      <w:r>
        <w:rPr>
          <w:rFonts w:ascii="Times New Roman;Times;Serif" w:hAnsi="Times New Roman;Times;Serif"/>
          <w:b w:val="false"/>
          <w:i w:val="false"/>
          <w:caps w:val="false"/>
          <w:smallCaps w:val="false"/>
          <w:sz w:val="20"/>
        </w:rPr>
        <w:t>The following presents the Agile Notes for the three months ended March 31, 2026:</w:t>
      </w:r>
    </w:p>
    <w:p>
      <w:pPr>
        <w:pStyle w:val="TextBody"/>
        <w:bidi w:val="0"/>
        <w:spacing w:before="0" w:after="0"/>
        <w:ind w:left="0" w:right="0" w:hanging="0"/>
        <w:jc w:val="left"/>
        <w:rPr>
          <w:caps w:val="false"/>
          <w:smallCaps w:val="false"/>
        </w:rPr>
      </w:pPr>
      <w:r>
        <w:rPr>
          <w:caps w:val="false"/>
          <w:smallCaps w:val="false"/>
        </w:rPr>
        <w:t> </w:t>
      </w:r>
      <w:bookmarkStart w:id="894" w:name="xdx_8BA_zYfPC5DfdbV"/>
      <w:bookmarkEnd w:id="894"/>
      <w:r>
        <w:rPr>
          <w:rFonts w:ascii="Times New Roman;Times;Serif" w:hAnsi="Times New Roman;Times;Serif"/>
          <w:b w:val="false"/>
          <w:i w:val="false"/>
          <w:caps w:val="false"/>
          <w:smallCaps w:val="false"/>
          <w:sz w:val="20"/>
        </w:rPr>
        <w:t>Summary of Notes</w:t>
      </w:r>
    </w:p>
    <w:tbl>
      <w:tblPr>
        <w:tblW w:w="6915" w:type="dxa"/>
        <w:jc w:val="left"/>
        <w:tblInd w:w="0" w:type="dxa"/>
        <w:tblLayout w:type="fixed"/>
        <w:tblCellMar>
          <w:top w:w="0" w:type="dxa"/>
          <w:left w:w="0" w:type="dxa"/>
          <w:bottom w:w="0" w:type="dxa"/>
          <w:right w:w="0" w:type="dxa"/>
        </w:tblCellMar>
      </w:tblPr>
      <w:tblGrid>
        <w:gridCol w:w="4940"/>
        <w:gridCol w:w="60"/>
        <w:gridCol w:w="361"/>
        <w:gridCol w:w="1444"/>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5" w:name="xdx_49E_20260101__20260331__us-gaap--Lon"/>
            <w:bookmarkEnd w:id="895"/>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Agile Term Notes</w:t>
            </w:r>
          </w:p>
        </w:tc>
        <w:tc>
          <w:tcPr>
            <w:tcW w:w="110" w:type="dxa"/>
            <w:tcBorders/>
            <w:vAlign w:val="center"/>
          </w:tcPr>
          <w:p>
            <w:pPr>
              <w:pStyle w:val="TableContents"/>
              <w:bidi w:val="0"/>
              <w:spacing w:before="0" w:after="283"/>
              <w:jc w:val="left"/>
              <w:rPr/>
            </w:pPr>
            <w:r>
              <w:rPr/>
              <w:t> </w:t>
            </w:r>
            <w:bookmarkStart w:id="896" w:name="xdx_408_eus-gaap--NotesPayable_iS_pn3n3_"/>
            <w:bookmarkEnd w:id="896"/>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1,728</w:t>
            </w:r>
          </w:p>
        </w:tc>
        <w:tc>
          <w:tcPr>
            <w:tcW w:w="110" w:type="dxa"/>
            <w:tcBorders/>
            <w:shd w:fill="CCEEFF" w:val="clear"/>
            <w:vAlign w:val="center"/>
          </w:tcPr>
          <w:p>
            <w:pPr>
              <w:pStyle w:val="TableContents"/>
              <w:bidi w:val="0"/>
              <w:spacing w:before="0" w:after="283"/>
              <w:jc w:val="left"/>
              <w:rPr/>
            </w:pPr>
            <w:r>
              <w:rPr/>
              <w:t> </w:t>
            </w:r>
            <w:bookmarkStart w:id="897" w:name="xdx_402_ecustom--IssuanceOfLongTermDebt_"/>
            <w:bookmarkEnd w:id="897"/>
          </w:p>
        </w:tc>
      </w:tr>
      <w:tr>
        <w:trPr/>
        <w:tc>
          <w:tcPr>
            <w:tcW w:w="4940" w:type="dxa"/>
            <w:tcBorders/>
            <w:shd w:fill="FFFFFF" w:val="clear"/>
            <w:vAlign w:val="center"/>
          </w:tcPr>
          <w:p>
            <w:pPr>
              <w:pStyle w:val="TableContents"/>
              <w:bidi w:val="0"/>
              <w:spacing w:before="0" w:after="283"/>
              <w:jc w:val="left"/>
              <w:rPr/>
            </w:pPr>
            <w:r>
              <w:rPr/>
              <w:t>Issuance of Agile term notes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bookmarkStart w:id="898" w:name="xdx_404_ecustom--GainsLossesOnDebtIssuan"/>
            <w:bookmarkEnd w:id="898"/>
          </w:p>
        </w:tc>
      </w:tr>
      <w:tr>
        <w:trPr/>
        <w:tc>
          <w:tcPr>
            <w:tcW w:w="4940" w:type="dxa"/>
            <w:tcBorders/>
            <w:shd w:fill="CCEEFF" w:val="clear"/>
            <w:vAlign w:val="center"/>
          </w:tcPr>
          <w:p>
            <w:pPr>
              <w:pStyle w:val="TableContents"/>
              <w:bidi w:val="0"/>
              <w:spacing w:before="0" w:after="283"/>
              <w:jc w:val="left"/>
              <w:rPr/>
            </w:pPr>
            <w:r>
              <w:rPr/>
              <w:t>Loss on issuance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bookmarkStart w:id="899" w:name="xdx_402_ecustom--ConversionsOfLongTermDe"/>
            <w:bookmarkEnd w:id="899"/>
          </w:p>
        </w:tc>
      </w:tr>
      <w:tr>
        <w:trPr/>
        <w:tc>
          <w:tcPr>
            <w:tcW w:w="494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(660</w:t>
            </w:r>
          </w:p>
        </w:tc>
        <w:tc>
          <w:tcPr>
            <w:tcW w:w="110" w:type="dxa"/>
            <w:tcBorders/>
            <w:shd w:fill="FFFFFF" w:val="clear"/>
            <w:vAlign w:val="center"/>
          </w:tcPr>
          <w:p>
            <w:pPr>
              <w:pStyle w:val="TableContents"/>
              <w:bidi w:val="0"/>
              <w:spacing w:before="0" w:after="283"/>
              <w:jc w:val="left"/>
              <w:rPr/>
            </w:pPr>
            <w:r>
              <w:rPr/>
              <w:t>)</w:t>
            </w:r>
            <w:bookmarkStart w:id="900" w:name="xdx_408_eus-gaap--RepaymentsOfLongTermDe"/>
            <w:bookmarkEnd w:id="900"/>
          </w:p>
        </w:tc>
      </w:tr>
      <w:tr>
        <w:trPr/>
        <w:tc>
          <w:tcPr>
            <w:tcW w:w="4940" w:type="dxa"/>
            <w:tcBorders/>
            <w:shd w:fill="CCEEFF" w:val="clear"/>
            <w:vAlign w:val="center"/>
          </w:tcPr>
          <w:p>
            <w:pPr>
              <w:pStyle w:val="TableContents"/>
              <w:bidi w:val="0"/>
              <w:spacing w:before="0" w:after="283"/>
              <w:jc w:val="left"/>
              <w:rPr/>
            </w:pPr>
            <w:r>
              <w:rPr/>
              <w:t>Repayments in cash</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01" w:name="xdx_407_ecustom--ChangeInFairValueOfLong"/>
            <w:bookmarkEnd w:id="901"/>
          </w:p>
        </w:tc>
      </w:tr>
      <w:tr>
        <w:trPr/>
        <w:tc>
          <w:tcPr>
            <w:tcW w:w="494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bookmarkStart w:id="902" w:name="xdx_40A_eus-gaap--NotesPayable_iE_pn3n3_"/>
            <w:bookmarkEnd w:id="902"/>
          </w:p>
        </w:tc>
      </w:tr>
      <w:tr>
        <w:trPr/>
        <w:tc>
          <w:tcPr>
            <w:tcW w:w="494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4" w:type="dxa"/>
            <w:tcBorders>
              <w:bottom w:val="double" w:sz="6" w:space="0" w:color="000000"/>
            </w:tcBorders>
            <w:shd w:fill="FFFFFF" w:val="clear"/>
            <w:tcMar>
              <w:bottom w:w="28" w:type="dxa"/>
            </w:tcMar>
            <w:vAlign w:val="center"/>
          </w:tcPr>
          <w:p>
            <w:pPr>
              <w:pStyle w:val="TableContents"/>
              <w:bidi w:val="0"/>
              <w:spacing w:before="0" w:after="283"/>
              <w:jc w:val="right"/>
              <w:rPr/>
            </w:pPr>
            <w:r>
              <w:rPr/>
              <w:t>1,299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03" w:name="xdx_40D_eus-gaap--LongTermNotesPayable_i"/>
            <w:bookmarkEnd w:id="903"/>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444" w:type="dxa"/>
            <w:tcBorders/>
            <w:shd w:fill="FFFFFF" w:val="clear"/>
            <w:vAlign w:val="center"/>
          </w:tcPr>
          <w:p>
            <w:pPr>
              <w:pStyle w:val="TableContents"/>
              <w:bidi w:val="0"/>
              <w:spacing w:before="0" w:after="283"/>
              <w:jc w:val="right"/>
              <w:rPr/>
            </w:pPr>
            <w:r>
              <w:rPr/>
              <w:t>1,269</w:t>
            </w:r>
          </w:p>
        </w:tc>
        <w:tc>
          <w:tcPr>
            <w:tcW w:w="110" w:type="dxa"/>
            <w:tcBorders/>
            <w:shd w:fill="FFFFFF" w:val="clear"/>
            <w:vAlign w:val="center"/>
          </w:tcPr>
          <w:p>
            <w:pPr>
              <w:pStyle w:val="TableContents"/>
              <w:bidi w:val="0"/>
              <w:spacing w:before="0" w:after="283"/>
              <w:jc w:val="left"/>
              <w:rPr/>
            </w:pPr>
            <w:r>
              <w:rPr/>
              <w:t> </w:t>
            </w:r>
            <w:bookmarkStart w:id="904" w:name="xdx_408_ecustom--InterestPayableOnLongTe"/>
            <w:bookmarkEnd w:id="904"/>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5" w:name="xdx_8A5_zpVJJMedKjCl"/>
      <w:bookmarkEnd w:id="90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w:t>
      </w:r>
      <w:bookmarkStart w:id="906" w:name="xdx_909_eus-gaap--DebtInstrumentFaceAmou"/>
      <w:bookmarkEnd w:id="906"/>
      <w:r>
        <w:rPr>
          <w:rFonts w:ascii="Times New Roman;Times;Serif" w:hAnsi="Times New Roman;Times;Serif"/>
          <w:b w:val="false"/>
          <w:i w:val="false"/>
          <w:caps w:val="false"/>
          <w:smallCaps w:val="false"/>
          <w:sz w:val="20"/>
        </w:rPr>
        <w:t>184 and received net proceeds of $</w:t>
      </w:r>
      <w:bookmarkStart w:id="907" w:name="xdx_903_eus-gaap--ProceedsFromIssuanceOf"/>
      <w:bookmarkEnd w:id="907"/>
      <w:r>
        <w:rPr>
          <w:rFonts w:ascii="Times New Roman;Times;Serif" w:hAnsi="Times New Roman;Times;Serif"/>
          <w:b w:val="false"/>
          <w:i w:val="false"/>
          <w:caps w:val="false"/>
          <w:smallCaps w:val="false"/>
          <w:sz w:val="20"/>
        </w:rPr>
        <w:t>152, after an original issue discount of $</w:t>
      </w:r>
      <w:bookmarkStart w:id="908" w:name="xdx_909_eus-gaap--DebtInstrumentUnamorti"/>
      <w:bookmarkEnd w:id="908"/>
      <w:r>
        <w:rPr>
          <w:rFonts w:ascii="Times New Roman;Times;Serif" w:hAnsi="Times New Roman;Times;Serif"/>
          <w:b w:val="false"/>
          <w:i w:val="false"/>
          <w:caps w:val="false"/>
          <w:smallCaps w:val="false"/>
          <w:sz w:val="20"/>
        </w:rPr>
        <w:t>24 and issuance costs of $</w:t>
      </w:r>
      <w:bookmarkStart w:id="909" w:name="xdx_90D_ecustom--DebtInstrumentUnamortiz"/>
      <w:bookmarkEnd w:id="909"/>
      <w:r>
        <w:rPr>
          <w:rFonts w:ascii="Times New Roman;Times;Serif" w:hAnsi="Times New Roman;Times;Serif"/>
          <w:b w:val="false"/>
          <w:i w:val="false"/>
          <w:caps w:val="false"/>
          <w:smallCaps w:val="false"/>
          <w:sz w:val="20"/>
        </w:rPr>
        <w:t xml:space="preserve">8 for due diligence and legal fees. The August 1800 Diagonal Note has a maturity date of </w:t>
      </w:r>
      <w:bookmarkStart w:id="910" w:name="xdx_90E_eus-gaap--DebtInstrumentMaturity"/>
      <w:bookmarkEnd w:id="910"/>
      <w:r>
        <w:rPr>
          <w:rFonts w:ascii="Times New Roman;Times;Serif" w:hAnsi="Times New Roman;Times;Serif"/>
          <w:b w:val="false"/>
          <w:i w:val="false"/>
          <w:caps w:val="false"/>
          <w:smallCaps w:val="false"/>
          <w:sz w:val="20"/>
        </w:rPr>
        <w:t xml:space="preserve">June 15, 2025 and bears interest at </w:t>
      </w:r>
      <w:bookmarkStart w:id="911" w:name="xdx_901_eus-gaap--DebtInstrumentInterest"/>
      <w:bookmarkEnd w:id="911"/>
      <w:r>
        <w:rPr>
          <w:rFonts w:ascii="Times New Roman;Times;Serif" w:hAnsi="Times New Roman;Times;Serif"/>
          <w:b w:val="false"/>
          <w:i w:val="false"/>
          <w:caps w:val="false"/>
          <w:smallCaps w:val="false"/>
          <w:sz w:val="20"/>
        </w:rPr>
        <w:t>12% per annum. The August Securities Purchase Agreement stipulates that the Company and Lender may mutually agree to enter into additional tranches of promissory notes over the 12 month period commencing on August 16, 2024, up to an aggregate total of $</w:t>
      </w:r>
      <w:bookmarkStart w:id="912" w:name="xdx_909_eus-gaap--DebtInstrumentFaceAmou"/>
      <w:bookmarkEnd w:id="912"/>
      <w:r>
        <w:rPr>
          <w:rFonts w:ascii="Times New Roman;Times;Serif" w:hAnsi="Times New Roman;Times;Serif"/>
          <w:b w:val="false"/>
          <w:i w:val="false"/>
          <w:caps w:val="false"/>
          <w:smallCaps w:val="false"/>
          <w:sz w:val="20"/>
        </w:rPr>
        <w:t>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w:t>
      </w:r>
      <w:bookmarkStart w:id="913" w:name="xdx_905_eus-gaap--DebtInstrumentFaceAmou"/>
      <w:bookmarkEnd w:id="913"/>
      <w:r>
        <w:rPr>
          <w:rFonts w:ascii="Times New Roman;Times;Serif" w:hAnsi="Times New Roman;Times;Serif"/>
          <w:b w:val="false"/>
          <w:i w:val="false"/>
          <w:caps w:val="false"/>
          <w:smallCaps w:val="false"/>
          <w:sz w:val="20"/>
        </w:rPr>
        <w:t>124,200 and received net proceeds of $</w:t>
      </w:r>
      <w:bookmarkStart w:id="914" w:name="xdx_900_eus-gaap--ProceedsFromIssuanceOf"/>
      <w:bookmarkEnd w:id="914"/>
      <w:r>
        <w:rPr>
          <w:rFonts w:ascii="Times New Roman;Times;Serif" w:hAnsi="Times New Roman;Times;Serif"/>
          <w:b w:val="false"/>
          <w:i w:val="false"/>
          <w:caps w:val="false"/>
          <w:smallCaps w:val="false"/>
          <w:sz w:val="20"/>
        </w:rPr>
        <w:t>100, after an original discount of $</w:t>
      </w:r>
      <w:bookmarkStart w:id="915" w:name="xdx_90C_eus-gaap--DebtInstrumentUnamorti"/>
      <w:bookmarkEnd w:id="915"/>
      <w:r>
        <w:rPr>
          <w:rFonts w:ascii="Times New Roman;Times;Serif" w:hAnsi="Times New Roman;Times;Serif"/>
          <w:b w:val="false"/>
          <w:i w:val="false"/>
          <w:caps w:val="false"/>
          <w:smallCaps w:val="false"/>
          <w:sz w:val="20"/>
        </w:rPr>
        <w:t>16 and issuance costs of $</w:t>
      </w:r>
      <w:bookmarkStart w:id="916" w:name="xdx_90B_ecustom--DebtInstrumentUnamortiz"/>
      <w:bookmarkEnd w:id="916"/>
      <w:r>
        <w:rPr>
          <w:rFonts w:ascii="Times New Roman;Times;Serif" w:hAnsi="Times New Roman;Times;Serif"/>
          <w:b w:val="false"/>
          <w:i w:val="false"/>
          <w:caps w:val="false"/>
          <w:smallCaps w:val="false"/>
          <w:sz w:val="20"/>
        </w:rPr>
        <w:t xml:space="preserve">8 for due diligence and legal fees. The September 1800 Diagonal Note has a maturity date of </w:t>
      </w:r>
      <w:bookmarkStart w:id="917" w:name="xdx_90C_eus-gaap--DebtInstrumentMaturity"/>
      <w:bookmarkEnd w:id="917"/>
      <w:r>
        <w:rPr>
          <w:rFonts w:ascii="Times New Roman;Times;Serif" w:hAnsi="Times New Roman;Times;Serif"/>
          <w:b w:val="false"/>
          <w:i w:val="false"/>
          <w:caps w:val="false"/>
          <w:smallCaps w:val="false"/>
          <w:sz w:val="20"/>
        </w:rPr>
        <w:t xml:space="preserve">July 30, 2025 and bears interest at </w:t>
      </w:r>
      <w:bookmarkStart w:id="918" w:name="xdx_900_eus-gaap--DebtInstrumentInterest"/>
      <w:bookmarkEnd w:id="918"/>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exercised its conversion option under the September 1800 Diagonal Note. On the conversion date, the September 1800 Diagonal Note had a fair value of $</w:t>
      </w:r>
      <w:bookmarkStart w:id="919" w:name="xdx_909_eus-gaap--DebtInstrumentFairValu"/>
      <w:bookmarkEnd w:id="919"/>
      <w:r>
        <w:rPr>
          <w:rFonts w:ascii="Times New Roman;Times;Serif" w:hAnsi="Times New Roman;Times;Serif"/>
          <w:b w:val="false"/>
          <w:i w:val="false"/>
          <w:caps w:val="false"/>
          <w:smallCaps w:val="false"/>
          <w:sz w:val="20"/>
        </w:rPr>
        <w:t xml:space="preserve">17 and converted into </w:t>
      </w:r>
      <w:bookmarkStart w:id="920" w:name="xdx_905_eus-gaap--ConversionOfStockShare"/>
      <w:bookmarkEnd w:id="920"/>
      <w:r>
        <w:rPr>
          <w:rFonts w:ascii="Times New Roman;Times;Serif" w:hAnsi="Times New Roman;Times;Serif"/>
          <w:b w:val="false"/>
          <w:i w:val="false"/>
          <w:caps w:val="false"/>
          <w:smallCaps w:val="false"/>
          <w:sz w:val="20"/>
        </w:rPr>
        <w:t>352 shares of the Company’s Class A Common Stock in satisfaction of $</w:t>
      </w:r>
      <w:bookmarkStart w:id="921" w:name="xdx_90E_eus-gaap--ConversionOfStockAmoun"/>
      <w:bookmarkEnd w:id="921"/>
      <w:r>
        <w:rPr>
          <w:rFonts w:ascii="Times New Roman;Times;Serif" w:hAnsi="Times New Roman;Times;Serif"/>
          <w:b w:val="false"/>
          <w:i w:val="false"/>
          <w:caps w:val="false"/>
          <w:smallCaps w:val="false"/>
          <w:sz w:val="20"/>
        </w:rPr>
        <w:t>17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w:t>
      </w:r>
      <w:bookmarkStart w:id="922" w:name="xdx_907_eus-gaap--DebtInstrumentFaceAmou"/>
      <w:bookmarkEnd w:id="922"/>
      <w:r>
        <w:rPr>
          <w:rFonts w:ascii="Times New Roman;Times;Serif" w:hAnsi="Times New Roman;Times;Serif"/>
          <w:b w:val="false"/>
          <w:i w:val="false"/>
          <w:caps w:val="false"/>
          <w:smallCaps w:val="false"/>
          <w:sz w:val="20"/>
        </w:rPr>
        <w:t>124 and received net proceeds of $</w:t>
      </w:r>
      <w:bookmarkStart w:id="923" w:name="xdx_901_eus-gaap--ProceedsFromIssuanceOf"/>
      <w:bookmarkEnd w:id="923"/>
      <w:r>
        <w:rPr>
          <w:rFonts w:ascii="Times New Roman;Times;Serif" w:hAnsi="Times New Roman;Times;Serif"/>
          <w:b w:val="false"/>
          <w:i w:val="false"/>
          <w:caps w:val="false"/>
          <w:smallCaps w:val="false"/>
          <w:sz w:val="20"/>
        </w:rPr>
        <w:t>100, after an original discount of $</w:t>
      </w:r>
      <w:bookmarkStart w:id="924" w:name="xdx_908_eus-gaap--DebtInstrumentUnamorti"/>
      <w:bookmarkEnd w:id="924"/>
      <w:r>
        <w:rPr>
          <w:rFonts w:ascii="Times New Roman;Times;Serif" w:hAnsi="Times New Roman;Times;Serif"/>
          <w:b w:val="false"/>
          <w:i w:val="false"/>
          <w:caps w:val="false"/>
          <w:smallCaps w:val="false"/>
          <w:sz w:val="20"/>
        </w:rPr>
        <w:t>16 and issuance costs of $</w:t>
      </w:r>
      <w:bookmarkStart w:id="925" w:name="xdx_909_ecustom--DebtInstrumentUnamortiz"/>
      <w:bookmarkEnd w:id="925"/>
      <w:r>
        <w:rPr>
          <w:rFonts w:ascii="Times New Roman;Times;Serif" w:hAnsi="Times New Roman;Times;Serif"/>
          <w:b w:val="false"/>
          <w:i w:val="false"/>
          <w:caps w:val="false"/>
          <w:smallCaps w:val="false"/>
          <w:sz w:val="20"/>
        </w:rPr>
        <w:t xml:space="preserve">8 for due diligence and legal fees. The December 1800 Diagonal Note has a maturity date of </w:t>
      </w:r>
      <w:bookmarkStart w:id="926" w:name="xdx_905_eus-gaap--DebtInstrumentMaturity"/>
      <w:bookmarkEnd w:id="926"/>
      <w:r>
        <w:rPr>
          <w:rFonts w:ascii="Times New Roman;Times;Serif" w:hAnsi="Times New Roman;Times;Serif"/>
          <w:b w:val="false"/>
          <w:i w:val="false"/>
          <w:caps w:val="false"/>
          <w:smallCaps w:val="false"/>
          <w:sz w:val="20"/>
        </w:rPr>
        <w:t xml:space="preserve">October 15, 2025 and bears interest at </w:t>
      </w:r>
      <w:bookmarkStart w:id="927" w:name="xdx_901_eus-gaap--DebtInstrumentInterest"/>
      <w:bookmarkEnd w:id="927"/>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exercised its conversion option under the December 1800 Diagonal Note. On the conversion date, the December 1800 Diagonal Note had a fair value of $</w:t>
      </w:r>
      <w:bookmarkStart w:id="928" w:name="xdx_909_eus-gaap--DebtInstrumentFairValu"/>
      <w:bookmarkEnd w:id="928"/>
      <w:r>
        <w:rPr>
          <w:rFonts w:ascii="Times New Roman;Times;Serif" w:hAnsi="Times New Roman;Times;Serif"/>
          <w:b w:val="false"/>
          <w:i w:val="false"/>
          <w:caps w:val="false"/>
          <w:smallCaps w:val="false"/>
          <w:sz w:val="20"/>
        </w:rPr>
        <w:t xml:space="preserve">58 and converted into </w:t>
      </w:r>
      <w:bookmarkStart w:id="929" w:name="xdx_906_eus-gaap--ConversionOfStockShare"/>
      <w:bookmarkEnd w:id="929"/>
      <w:r>
        <w:rPr>
          <w:rFonts w:ascii="Times New Roman;Times;Serif" w:hAnsi="Times New Roman;Times;Serif"/>
          <w:b w:val="false"/>
          <w:i w:val="false"/>
          <w:caps w:val="false"/>
          <w:smallCaps w:val="false"/>
          <w:sz w:val="20"/>
        </w:rPr>
        <w:t>999 shares of the Company’s Class A Common Stock in satisfaction of $</w:t>
      </w:r>
      <w:bookmarkStart w:id="930" w:name="xdx_907_eus-gaap--ConversionOfStockAmoun"/>
      <w:bookmarkEnd w:id="930"/>
      <w:r>
        <w:rPr>
          <w:rFonts w:ascii="Times New Roman;Times;Serif" w:hAnsi="Times New Roman;Times;Serif"/>
          <w:b w:val="false"/>
          <w:i w:val="false"/>
          <w:caps w:val="false"/>
          <w:smallCaps w:val="false"/>
          <w:sz w:val="20"/>
        </w:rPr>
        <w:t>52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w:t>
      </w:r>
      <w:bookmarkStart w:id="931" w:name="xdx_902_eus-gaap--DebtInstrumentFaceAmou"/>
      <w:bookmarkEnd w:id="931"/>
      <w:r>
        <w:rPr>
          <w:rFonts w:ascii="Times New Roman;Times;Serif" w:hAnsi="Times New Roman;Times;Serif"/>
          <w:b w:val="false"/>
          <w:i w:val="false"/>
          <w:caps w:val="false"/>
          <w:smallCaps w:val="false"/>
          <w:sz w:val="20"/>
        </w:rPr>
        <w:t>124 and received net proceeds of $</w:t>
      </w:r>
      <w:bookmarkStart w:id="932" w:name="xdx_909_eus-gaap--ProceedsFromIssuanceOf"/>
      <w:bookmarkEnd w:id="932"/>
      <w:r>
        <w:rPr>
          <w:rFonts w:ascii="Times New Roman;Times;Serif" w:hAnsi="Times New Roman;Times;Serif"/>
          <w:b w:val="false"/>
          <w:i w:val="false"/>
          <w:caps w:val="false"/>
          <w:smallCaps w:val="false"/>
          <w:sz w:val="20"/>
        </w:rPr>
        <w:t>100, after an original discount of $</w:t>
      </w:r>
      <w:bookmarkStart w:id="933" w:name="xdx_909_eus-gaap--DebtInstrumentUnamorti"/>
      <w:bookmarkEnd w:id="933"/>
      <w:r>
        <w:rPr>
          <w:rFonts w:ascii="Times New Roman;Times;Serif" w:hAnsi="Times New Roman;Times;Serif"/>
          <w:b w:val="false"/>
          <w:i w:val="false"/>
          <w:caps w:val="false"/>
          <w:smallCaps w:val="false"/>
          <w:sz w:val="20"/>
        </w:rPr>
        <w:t>16 and issuance costs of $</w:t>
      </w:r>
      <w:bookmarkStart w:id="934" w:name="xdx_903_ecustom--DebtInstrumentUnamortiz"/>
      <w:bookmarkEnd w:id="934"/>
      <w:r>
        <w:rPr>
          <w:rFonts w:ascii="Times New Roman;Times;Serif" w:hAnsi="Times New Roman;Times;Serif"/>
          <w:b w:val="false"/>
          <w:i w:val="false"/>
          <w:caps w:val="false"/>
          <w:smallCaps w:val="false"/>
          <w:sz w:val="20"/>
        </w:rPr>
        <w:t xml:space="preserve">8 for due diligence and legal fees. The February 1800 Diagonal Note has a maturity date of </w:t>
      </w:r>
      <w:bookmarkStart w:id="935" w:name="xdx_906_eus-gaap--DebtInstrumentMaturity"/>
      <w:bookmarkEnd w:id="935"/>
      <w:r>
        <w:rPr>
          <w:rFonts w:ascii="Times New Roman;Times;Serif" w:hAnsi="Times New Roman;Times;Serif"/>
          <w:b w:val="false"/>
          <w:i w:val="false"/>
          <w:caps w:val="false"/>
          <w:smallCaps w:val="false"/>
          <w:sz w:val="20"/>
        </w:rPr>
        <w:t xml:space="preserve">December 15, 2025 and bears interest at </w:t>
      </w:r>
      <w:bookmarkStart w:id="936" w:name="xdx_90C_eus-gaap--DebtInstrumentInterest"/>
      <w:bookmarkEnd w:id="936"/>
      <w:r>
        <w:rPr>
          <w:rFonts w:ascii="Times New Roman;Times;Serif" w:hAnsi="Times New Roman;Times;Serif"/>
          <w:b w:val="false"/>
          <w:i w:val="false"/>
          <w:caps w:val="false"/>
          <w:smallCaps w:val="false"/>
          <w:sz w:val="20"/>
        </w:rPr>
        <w:t>12% per annum. On August 11, 2025, the Company exercised its conversion option under the February 1800 Diagonal Note. On the conversion date, the February 1800 Diagonal Note had a fair value of $</w:t>
      </w:r>
      <w:bookmarkStart w:id="937" w:name="xdx_90A_eus-gaap--DebtInstrumentFairValu"/>
      <w:bookmarkEnd w:id="937"/>
      <w:r>
        <w:rPr>
          <w:rFonts w:ascii="Times New Roman;Times;Serif" w:hAnsi="Times New Roman;Times;Serif"/>
          <w:b w:val="false"/>
          <w:i w:val="false"/>
          <w:caps w:val="false"/>
          <w:smallCaps w:val="false"/>
          <w:sz w:val="20"/>
        </w:rPr>
        <w:t xml:space="preserve">81 and converted into </w:t>
      </w:r>
      <w:bookmarkStart w:id="938" w:name="xdx_901_eus-gaap--ConversionOfStockShare"/>
      <w:bookmarkEnd w:id="938"/>
      <w:r>
        <w:rPr>
          <w:rFonts w:ascii="Times New Roman;Times;Serif" w:hAnsi="Times New Roman;Times;Serif"/>
          <w:b w:val="false"/>
          <w:i w:val="false"/>
          <w:caps w:val="false"/>
          <w:smallCaps w:val="false"/>
          <w:sz w:val="20"/>
        </w:rPr>
        <w:t>1,639 shares of the Company’s Class A Common Stock in satisfaction of $</w:t>
      </w:r>
      <w:bookmarkStart w:id="939" w:name="xdx_90B_eus-gaap--ConversionOfStockAmoun"/>
      <w:bookmarkEnd w:id="939"/>
      <w:r>
        <w:rPr>
          <w:rFonts w:ascii="Times New Roman;Times;Serif" w:hAnsi="Times New Roman;Times;Serif"/>
          <w:b w:val="false"/>
          <w:i w:val="false"/>
          <w:caps w:val="false"/>
          <w:smallCaps w:val="false"/>
          <w:sz w:val="20"/>
        </w:rPr>
        <w:t>70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w:t>
      </w:r>
      <w:bookmarkStart w:id="940" w:name="xdx_901_eus-gaap--DebtInstrumentFaceAmou"/>
      <w:bookmarkEnd w:id="940"/>
      <w:r>
        <w:rPr>
          <w:rFonts w:ascii="Times New Roman;Times;Serif" w:hAnsi="Times New Roman;Times;Serif"/>
          <w:b w:val="false"/>
          <w:i w:val="false"/>
          <w:caps w:val="false"/>
          <w:smallCaps w:val="false"/>
          <w:sz w:val="20"/>
        </w:rPr>
        <w:t>230 and received net proceeds of $</w:t>
      </w:r>
      <w:bookmarkStart w:id="941" w:name="xdx_905_eus-gaap--ProceedsFromIssuanceOf"/>
      <w:bookmarkEnd w:id="941"/>
      <w:r>
        <w:rPr>
          <w:rFonts w:ascii="Times New Roman;Times;Serif" w:hAnsi="Times New Roman;Times;Serif"/>
          <w:b w:val="false"/>
          <w:i w:val="false"/>
          <w:caps w:val="false"/>
          <w:smallCaps w:val="false"/>
          <w:sz w:val="20"/>
        </w:rPr>
        <w:t>192, after an original discount of $</w:t>
      </w:r>
      <w:bookmarkStart w:id="942" w:name="xdx_90A_eus-gaap--DebtInstrumentUnamorti"/>
      <w:bookmarkEnd w:id="942"/>
      <w:r>
        <w:rPr>
          <w:rFonts w:ascii="Times New Roman;Times;Serif" w:hAnsi="Times New Roman;Times;Serif"/>
          <w:b w:val="false"/>
          <w:i w:val="false"/>
          <w:caps w:val="false"/>
          <w:smallCaps w:val="false"/>
          <w:sz w:val="20"/>
        </w:rPr>
        <w:t>30 and issuance costs of $</w:t>
      </w:r>
      <w:bookmarkStart w:id="943" w:name="xdx_903_ecustom--DebtInstrumentUnamortiz"/>
      <w:bookmarkEnd w:id="943"/>
      <w:r>
        <w:rPr>
          <w:rFonts w:ascii="Times New Roman;Times;Serif" w:hAnsi="Times New Roman;Times;Serif"/>
          <w:b w:val="false"/>
          <w:i w:val="false"/>
          <w:caps w:val="false"/>
          <w:smallCaps w:val="false"/>
          <w:sz w:val="20"/>
        </w:rPr>
        <w:t xml:space="preserve">8 for due diligence and legal fees. The April 1800 Diagonal Note has a maturity date of </w:t>
      </w:r>
      <w:bookmarkStart w:id="944" w:name="xdx_906_eus-gaap--DebtInstrumentMaturity"/>
      <w:bookmarkEnd w:id="944"/>
      <w:r>
        <w:rPr>
          <w:rFonts w:ascii="Times New Roman;Times;Serif" w:hAnsi="Times New Roman;Times;Serif"/>
          <w:b w:val="false"/>
          <w:i w:val="false"/>
          <w:caps w:val="false"/>
          <w:smallCaps w:val="false"/>
          <w:sz w:val="20"/>
        </w:rPr>
        <w:t xml:space="preserve">February 15, 2026 and bears interest at </w:t>
      </w:r>
      <w:bookmarkStart w:id="945" w:name="xdx_90A_eus-gaap--DebtInstrumentInterest"/>
      <w:bookmarkEnd w:id="945"/>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21, 2025 and October 27, 2025, the Lender exercised its conversion option multiple times under the April 1800 Diagonal Note and received an aggregate of </w:t>
      </w:r>
      <w:bookmarkStart w:id="946" w:name="xdx_90D_eus-gaap--StockIssuedDuringPerio"/>
      <w:bookmarkEnd w:id="946"/>
      <w:r>
        <w:rPr>
          <w:rFonts w:ascii="Times New Roman;Times;Serif" w:hAnsi="Times New Roman;Times;Serif"/>
          <w:b w:val="false"/>
          <w:i w:val="false"/>
          <w:caps w:val="false"/>
          <w:smallCaps w:val="false"/>
          <w:sz w:val="20"/>
        </w:rPr>
        <w:t>7,015 shares of Class A Common Stock at conversion prices per share ranging from $</w:t>
      </w:r>
      <w:bookmarkStart w:id="947" w:name="xdx_902_eus-gaap--SharesIssuedPricePerSh"/>
      <w:bookmarkEnd w:id="947"/>
      <w:r>
        <w:rPr>
          <w:rFonts w:ascii="Times New Roman;Times;Serif" w:hAnsi="Times New Roman;Times;Serif"/>
          <w:b w:val="false"/>
          <w:i w:val="false"/>
          <w:caps w:val="false"/>
          <w:smallCaps w:val="false"/>
          <w:sz w:val="20"/>
        </w:rPr>
        <w:t>33.80 to $</w:t>
      </w:r>
      <w:bookmarkStart w:id="948" w:name="xdx_90D_eus-gaap--SharesIssuedPricePerSh"/>
      <w:bookmarkEnd w:id="948"/>
      <w:r>
        <w:rPr>
          <w:rFonts w:ascii="Times New Roman;Times;Serif" w:hAnsi="Times New Roman;Times;Serif"/>
          <w:b w:val="false"/>
          <w:i w:val="false"/>
          <w:caps w:val="false"/>
          <w:smallCaps w:val="false"/>
          <w:sz w:val="20"/>
        </w:rPr>
        <w:t>41.20 in full satisfaction of the Company’s remaining obligations under the April 1800 Diagonal Note totaling $</w:t>
      </w:r>
      <w:bookmarkStart w:id="949" w:name="xdx_905_eus-gaap--ConversionOfStockAmoun"/>
      <w:bookmarkEnd w:id="949"/>
      <w:r>
        <w:rPr>
          <w:rFonts w:ascii="Times New Roman;Times;Serif" w:hAnsi="Times New Roman;Times;Serif"/>
          <w:b w:val="false"/>
          <w:i w:val="false"/>
          <w:caps w:val="false"/>
          <w:smallCaps w:val="false"/>
          <w:sz w:val="20"/>
        </w:rPr>
        <w:t>265.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w:t>
      </w:r>
      <w:bookmarkStart w:id="950" w:name="xdx_90E_eus-gaap--DebtInstrumentFaceAmou"/>
      <w:bookmarkEnd w:id="950"/>
      <w:r>
        <w:rPr>
          <w:rFonts w:ascii="Times New Roman;Times;Serif" w:hAnsi="Times New Roman;Times;Serif"/>
          <w:b w:val="false"/>
          <w:i w:val="false"/>
          <w:caps w:val="false"/>
          <w:smallCaps w:val="false"/>
          <w:sz w:val="20"/>
        </w:rPr>
        <w:t>163 and received net proceeds of $</w:t>
      </w:r>
      <w:bookmarkStart w:id="951" w:name="xdx_900_eus-gaap--ProceedsFromIssuanceOf"/>
      <w:bookmarkEnd w:id="951"/>
      <w:r>
        <w:rPr>
          <w:rFonts w:ascii="Times New Roman;Times;Serif" w:hAnsi="Times New Roman;Times;Serif"/>
          <w:b w:val="false"/>
          <w:i w:val="false"/>
          <w:caps w:val="false"/>
          <w:smallCaps w:val="false"/>
          <w:sz w:val="20"/>
        </w:rPr>
        <w:t>135, after an original discount of $</w:t>
      </w:r>
      <w:bookmarkStart w:id="952" w:name="xdx_90C_eus-gaap--DebtInstrumentUnamorti"/>
      <w:bookmarkEnd w:id="952"/>
      <w:r>
        <w:rPr>
          <w:rFonts w:ascii="Times New Roman;Times;Serif" w:hAnsi="Times New Roman;Times;Serif"/>
          <w:b w:val="false"/>
          <w:i w:val="false"/>
          <w:caps w:val="false"/>
          <w:smallCaps w:val="false"/>
          <w:sz w:val="20"/>
        </w:rPr>
        <w:t>21 and issuance costs of $</w:t>
      </w:r>
      <w:bookmarkStart w:id="953" w:name="xdx_902_ecustom--DebtInstrumentUnamortiz"/>
      <w:bookmarkEnd w:id="953"/>
      <w:r>
        <w:rPr>
          <w:rFonts w:ascii="Times New Roman;Times;Serif" w:hAnsi="Times New Roman;Times;Serif"/>
          <w:b w:val="false"/>
          <w:i w:val="false"/>
          <w:caps w:val="false"/>
          <w:smallCaps w:val="false"/>
          <w:sz w:val="20"/>
        </w:rPr>
        <w:t xml:space="preserve">7 for due diligence and legal fees. The May 1800 Diagonal Note has a maturity date of </w:t>
      </w:r>
      <w:bookmarkStart w:id="954" w:name="xdx_900_eus-gaap--DebtInstrumentMaturity"/>
      <w:bookmarkEnd w:id="954"/>
      <w:r>
        <w:rPr>
          <w:rFonts w:ascii="Times New Roman;Times;Serif" w:hAnsi="Times New Roman;Times;Serif"/>
          <w:b w:val="false"/>
          <w:i w:val="false"/>
          <w:caps w:val="false"/>
          <w:smallCaps w:val="false"/>
          <w:sz w:val="20"/>
        </w:rPr>
        <w:t xml:space="preserve">February 15, 2026 and bears interest at </w:t>
      </w:r>
      <w:bookmarkStart w:id="955" w:name="xdx_90C_eus-gaap--DebtInstrumentInterest"/>
      <w:bookmarkEnd w:id="955"/>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w:t>
      </w:r>
      <w:bookmarkStart w:id="956" w:name="xdx_90B_eus-gaap--DebtInstrumentFaceAmou"/>
      <w:bookmarkEnd w:id="956"/>
      <w:r>
        <w:rPr>
          <w:rFonts w:ascii="Times New Roman;Times;Serif" w:hAnsi="Times New Roman;Times;Serif"/>
          <w:b w:val="false"/>
          <w:i w:val="false"/>
          <w:caps w:val="false"/>
          <w:smallCaps w:val="false"/>
          <w:sz w:val="20"/>
        </w:rPr>
        <w:t>296 and received net proceeds of $</w:t>
      </w:r>
      <w:bookmarkStart w:id="957" w:name="xdx_90D_eus-gaap--ProceedsFromIssuanceOf"/>
      <w:bookmarkEnd w:id="957"/>
      <w:r>
        <w:rPr>
          <w:rFonts w:ascii="Times New Roman;Times;Serif" w:hAnsi="Times New Roman;Times;Serif"/>
          <w:b w:val="false"/>
          <w:i w:val="false"/>
          <w:caps w:val="false"/>
          <w:smallCaps w:val="false"/>
          <w:sz w:val="20"/>
        </w:rPr>
        <w:t>250, after an original discount of $</w:t>
      </w:r>
      <w:bookmarkStart w:id="958" w:name="xdx_906_eus-gaap--DebtInstrumentUnamorti"/>
      <w:bookmarkEnd w:id="958"/>
      <w:r>
        <w:rPr>
          <w:rFonts w:ascii="Times New Roman;Times;Serif" w:hAnsi="Times New Roman;Times;Serif"/>
          <w:b w:val="false"/>
          <w:i w:val="false"/>
          <w:caps w:val="false"/>
          <w:smallCaps w:val="false"/>
          <w:sz w:val="20"/>
        </w:rPr>
        <w:t>39 and issuance costs of $</w:t>
      </w:r>
      <w:bookmarkStart w:id="959" w:name="xdx_901_ecustom--DebtInstrumentUnamortiz"/>
      <w:bookmarkEnd w:id="959"/>
      <w:r>
        <w:rPr>
          <w:rFonts w:ascii="Times New Roman;Times;Serif" w:hAnsi="Times New Roman;Times;Serif"/>
          <w:b w:val="false"/>
          <w:i w:val="false"/>
          <w:caps w:val="false"/>
          <w:smallCaps w:val="false"/>
          <w:sz w:val="20"/>
        </w:rPr>
        <w:t xml:space="preserve">7 for due diligence and legal fees. The July 1800 Diagonal Note has a maturity date of </w:t>
      </w:r>
      <w:bookmarkStart w:id="960" w:name="xdx_904_eus-gaap--DebtInstrumentMaturity"/>
      <w:bookmarkEnd w:id="960"/>
      <w:r>
        <w:rPr>
          <w:rFonts w:ascii="Times New Roman;Times;Serif" w:hAnsi="Times New Roman;Times;Serif"/>
          <w:b w:val="false"/>
          <w:i w:val="false"/>
          <w:caps w:val="false"/>
          <w:smallCaps w:val="false"/>
          <w:sz w:val="20"/>
        </w:rPr>
        <w:t xml:space="preserve">May 30, 2026 and bears interest at </w:t>
      </w:r>
      <w:bookmarkStart w:id="961" w:name="xdx_902_eus-gaap--DebtInstrumentInterest"/>
      <w:bookmarkEnd w:id="961"/>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26, 2026 and January 27, 2026, the Lender exercised its conversion option multiple times under the July 1800 Diagonal Note and received an aggregate of </w:t>
      </w:r>
      <w:bookmarkStart w:id="962" w:name="xdx_905_eus-gaap--StockIssuedDuringPerio"/>
      <w:bookmarkEnd w:id="962"/>
      <w:r>
        <w:rPr>
          <w:rFonts w:ascii="Times New Roman;Times;Serif" w:hAnsi="Times New Roman;Times;Serif"/>
          <w:b w:val="false"/>
          <w:i w:val="false"/>
          <w:caps w:val="false"/>
          <w:smallCaps w:val="false"/>
          <w:sz w:val="20"/>
        </w:rPr>
        <w:t>20,047 shares of Class A Common Stock at conversion prices per share ranging from $</w:t>
      </w:r>
      <w:bookmarkStart w:id="963" w:name="xdx_908_eus-gaap--SharesIssuedPricePerSh"/>
      <w:bookmarkEnd w:id="963"/>
      <w:r>
        <w:rPr>
          <w:rFonts w:ascii="Times New Roman;Times;Serif" w:hAnsi="Times New Roman;Times;Serif"/>
          <w:b w:val="false"/>
          <w:i w:val="false"/>
          <w:caps w:val="false"/>
          <w:smallCaps w:val="false"/>
          <w:sz w:val="20"/>
        </w:rPr>
        <w:t>16.50 to $</w:t>
      </w:r>
      <w:bookmarkStart w:id="964" w:name="xdx_90D_eus-gaap--SharesIssuedPricePerSh"/>
      <w:bookmarkEnd w:id="964"/>
      <w:r>
        <w:rPr>
          <w:rFonts w:ascii="Times New Roman;Times;Serif" w:hAnsi="Times New Roman;Times;Serif"/>
          <w:b w:val="false"/>
          <w:i w:val="false"/>
          <w:caps w:val="false"/>
          <w:smallCaps w:val="false"/>
          <w:sz w:val="20"/>
        </w:rPr>
        <w:t>18.00 in full satisfaction of the Company’s remaining obligations under the July 1800 Diagonal Note totaling $</w:t>
      </w:r>
      <w:bookmarkStart w:id="965" w:name="xdx_907_eus-gaap--ConversionOfStockAmoun"/>
      <w:bookmarkEnd w:id="965"/>
      <w:r>
        <w:rPr>
          <w:rFonts w:ascii="Times New Roman;Times;Serif" w:hAnsi="Times New Roman;Times;Serif"/>
          <w:b w:val="false"/>
          <w:i w:val="false"/>
          <w:caps w:val="false"/>
          <w:smallCaps w:val="false"/>
          <w:sz w:val="20"/>
        </w:rPr>
        <w:t>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w:t>
      </w:r>
      <w:bookmarkStart w:id="966" w:name="xdx_906_eus-gaap--DebtInstrumentFaceAmou"/>
      <w:bookmarkEnd w:id="966"/>
      <w:r>
        <w:rPr>
          <w:rFonts w:ascii="Times New Roman;Times;Serif" w:hAnsi="Times New Roman;Times;Serif"/>
          <w:b w:val="false"/>
          <w:i w:val="false"/>
          <w:caps w:val="false"/>
          <w:smallCaps w:val="false"/>
          <w:sz w:val="20"/>
        </w:rPr>
        <w:t>152 and received net proceeds of $</w:t>
      </w:r>
      <w:bookmarkStart w:id="967" w:name="xdx_901_eus-gaap--ProceedsFromIssuanceOf"/>
      <w:bookmarkEnd w:id="967"/>
      <w:r>
        <w:rPr>
          <w:rFonts w:ascii="Times New Roman;Times;Serif" w:hAnsi="Times New Roman;Times;Serif"/>
          <w:b w:val="false"/>
          <w:i w:val="false"/>
          <w:caps w:val="false"/>
          <w:smallCaps w:val="false"/>
          <w:sz w:val="20"/>
        </w:rPr>
        <w:t>125, after an original discount of $</w:t>
      </w:r>
      <w:bookmarkStart w:id="968" w:name="xdx_901_eus-gaap--DebtInstrumentUnamorti"/>
      <w:bookmarkEnd w:id="968"/>
      <w:r>
        <w:rPr>
          <w:rFonts w:ascii="Times New Roman;Times;Serif" w:hAnsi="Times New Roman;Times;Serif"/>
          <w:b w:val="false"/>
          <w:i w:val="false"/>
          <w:caps w:val="false"/>
          <w:smallCaps w:val="false"/>
          <w:sz w:val="20"/>
        </w:rPr>
        <w:t>20 and issuance costs of $</w:t>
      </w:r>
      <w:bookmarkStart w:id="969" w:name="xdx_908_ecustom--DebtInstrumentUnamortiz"/>
      <w:bookmarkEnd w:id="969"/>
      <w:r>
        <w:rPr>
          <w:rFonts w:ascii="Times New Roman;Times;Serif" w:hAnsi="Times New Roman;Times;Serif"/>
          <w:b w:val="false"/>
          <w:i w:val="false"/>
          <w:caps w:val="false"/>
          <w:smallCaps w:val="false"/>
          <w:sz w:val="20"/>
        </w:rPr>
        <w:t xml:space="preserve">7 for due diligence and legal fees. The September 2025 1800 Diagonal Note has a maturity date of </w:t>
      </w:r>
      <w:bookmarkStart w:id="970" w:name="xdx_90E_eus-gaap--DebtInstrumentMaturity"/>
      <w:bookmarkEnd w:id="970"/>
      <w:r>
        <w:rPr>
          <w:rFonts w:ascii="Times New Roman;Times;Serif" w:hAnsi="Times New Roman;Times;Serif"/>
          <w:b w:val="false"/>
          <w:i w:val="false"/>
          <w:caps w:val="false"/>
          <w:smallCaps w:val="false"/>
          <w:sz w:val="20"/>
        </w:rPr>
        <w:t xml:space="preserve">June 15, 2026 and bears interest at </w:t>
      </w:r>
      <w:bookmarkStart w:id="971" w:name="xdx_90D_eus-gaap--DebtInstrumentInterest"/>
      <w:bookmarkEnd w:id="971"/>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2026, the Lender exercised its conversion option under the July 1800 Diagonal Note and received </w:t>
      </w:r>
      <w:bookmarkStart w:id="972" w:name="xdx_90E_eus-gaap--StockIssuedDuringPerio"/>
      <w:bookmarkEnd w:id="972"/>
      <w:r>
        <w:rPr>
          <w:rFonts w:ascii="Times New Roman;Times;Serif" w:hAnsi="Times New Roman;Times;Serif"/>
          <w:b w:val="false"/>
          <w:i w:val="false"/>
          <w:caps w:val="false"/>
          <w:smallCaps w:val="false"/>
          <w:sz w:val="20"/>
        </w:rPr>
        <w:t>3,766 shares of Class A Common Stock at a conversion price per share of $</w:t>
      </w:r>
      <w:bookmarkStart w:id="973" w:name="xdx_905_eus-gaap--SharesIssuedPricePerSh"/>
      <w:bookmarkEnd w:id="973"/>
      <w:r>
        <w:rPr>
          <w:rFonts w:ascii="Times New Roman;Times;Serif" w:hAnsi="Times New Roman;Times;Serif"/>
          <w:b w:val="false"/>
          <w:i w:val="false"/>
          <w:caps w:val="false"/>
          <w:smallCaps w:val="false"/>
          <w:sz w:val="20"/>
        </w:rPr>
        <w:t>14.745 in full satisfaction of the Company’s remaining obligations under the July 1800 Diagonal Note totaling $</w:t>
      </w:r>
      <w:bookmarkStart w:id="974" w:name="xdx_905_eus-gaap--ConversionOfStockAmoun"/>
      <w:bookmarkEnd w:id="974"/>
      <w:r>
        <w:rPr>
          <w:rFonts w:ascii="Times New Roman;Times;Serif" w:hAnsi="Times New Roman;Times;Serif"/>
          <w:b w:val="false"/>
          <w:i w:val="false"/>
          <w:caps w:val="false"/>
          <w:smallCaps w:val="false"/>
          <w:sz w:val="2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w:t>
      </w:r>
      <w:bookmarkStart w:id="975" w:name="xdx_90F_eus-gaap--DebtInstrumentFaceAmou"/>
      <w:bookmarkEnd w:id="975"/>
      <w:r>
        <w:rPr>
          <w:rFonts w:ascii="Times New Roman;Times;Serif" w:hAnsi="Times New Roman;Times;Serif"/>
          <w:b w:val="false"/>
          <w:i w:val="false"/>
          <w:caps w:val="false"/>
          <w:smallCaps w:val="false"/>
          <w:sz w:val="20"/>
        </w:rPr>
        <w:t>238 and received net proceeds of $</w:t>
      </w:r>
      <w:bookmarkStart w:id="976" w:name="xdx_90E_eus-gaap--ProceedsFromIssuanceOf"/>
      <w:bookmarkEnd w:id="976"/>
      <w:r>
        <w:rPr>
          <w:rFonts w:ascii="Times New Roman;Times;Serif" w:hAnsi="Times New Roman;Times;Serif"/>
          <w:b w:val="false"/>
          <w:i w:val="false"/>
          <w:caps w:val="false"/>
          <w:smallCaps w:val="false"/>
          <w:sz w:val="20"/>
        </w:rPr>
        <w:t>200, after an original discount of $</w:t>
      </w:r>
      <w:bookmarkStart w:id="977" w:name="xdx_90E_eus-gaap--DebtInstrumentUnamorti"/>
      <w:bookmarkEnd w:id="977"/>
      <w:r>
        <w:rPr>
          <w:rFonts w:ascii="Times New Roman;Times;Serif" w:hAnsi="Times New Roman;Times;Serif"/>
          <w:b w:val="false"/>
          <w:i w:val="false"/>
          <w:caps w:val="false"/>
          <w:smallCaps w:val="false"/>
          <w:sz w:val="20"/>
        </w:rPr>
        <w:t>31 and issuance costs of $</w:t>
      </w:r>
      <w:bookmarkStart w:id="978" w:name="xdx_901_ecustom--DebtInstrumentUnamortiz"/>
      <w:bookmarkEnd w:id="978"/>
      <w:r>
        <w:rPr>
          <w:rFonts w:ascii="Times New Roman;Times;Serif" w:hAnsi="Times New Roman;Times;Serif"/>
          <w:b w:val="false"/>
          <w:i w:val="false"/>
          <w:caps w:val="false"/>
          <w:smallCaps w:val="false"/>
          <w:sz w:val="20"/>
        </w:rPr>
        <w:t xml:space="preserve">7 for due diligence and legal fees. The November 1800 Diagonal Note has a maturity date of </w:t>
      </w:r>
      <w:bookmarkStart w:id="979" w:name="xdx_902_eus-gaap--DebtInstrumentMaturity"/>
      <w:bookmarkEnd w:id="979"/>
      <w:r>
        <w:rPr>
          <w:rFonts w:ascii="Times New Roman;Times;Serif" w:hAnsi="Times New Roman;Times;Serif"/>
          <w:b w:val="false"/>
          <w:i w:val="false"/>
          <w:caps w:val="false"/>
          <w:smallCaps w:val="false"/>
          <w:sz w:val="20"/>
        </w:rPr>
        <w:t xml:space="preserve">July 30, 2026 and bears interest at </w:t>
      </w:r>
      <w:bookmarkStart w:id="980" w:name="xdx_907_eus-gaap--DebtInstrumentInterest"/>
      <w:bookmarkEnd w:id="980"/>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tenth promissory note (the “December 2025 1800 Diagonal Note”) for an aggregate principal amount of $</w:t>
      </w:r>
      <w:bookmarkStart w:id="981" w:name="xdx_90A_eus-gaap--DebtInstrumentFaceAmou"/>
      <w:bookmarkEnd w:id="981"/>
      <w:r>
        <w:rPr>
          <w:rFonts w:ascii="Times New Roman;Times;Serif" w:hAnsi="Times New Roman;Times;Serif"/>
          <w:b w:val="false"/>
          <w:i w:val="false"/>
          <w:caps w:val="false"/>
          <w:smallCaps w:val="false"/>
          <w:sz w:val="20"/>
        </w:rPr>
        <w:t>94 and received net proceeds of $</w:t>
      </w:r>
      <w:bookmarkStart w:id="982" w:name="xdx_90B_eus-gaap--ProceedsFromIssuanceOf"/>
      <w:bookmarkEnd w:id="982"/>
      <w:r>
        <w:rPr>
          <w:rFonts w:ascii="Times New Roman;Times;Serif" w:hAnsi="Times New Roman;Times;Serif"/>
          <w:b w:val="false"/>
          <w:i w:val="false"/>
          <w:caps w:val="false"/>
          <w:smallCaps w:val="false"/>
          <w:sz w:val="20"/>
        </w:rPr>
        <w:t>75, after an original discount of $</w:t>
      </w:r>
      <w:bookmarkStart w:id="983" w:name="xdx_90D_eus-gaap--DebtInstrumentUnamorti"/>
      <w:bookmarkEnd w:id="983"/>
      <w:r>
        <w:rPr>
          <w:rFonts w:ascii="Times New Roman;Times;Serif" w:hAnsi="Times New Roman;Times;Serif"/>
          <w:b w:val="false"/>
          <w:i w:val="false"/>
          <w:caps w:val="false"/>
          <w:smallCaps w:val="false"/>
          <w:sz w:val="20"/>
        </w:rPr>
        <w:t>12 and issuance costs of $</w:t>
      </w:r>
      <w:bookmarkStart w:id="984" w:name="xdx_905_ecustom--DebtInstrumentUnamortiz"/>
      <w:bookmarkEnd w:id="984"/>
      <w:r>
        <w:rPr>
          <w:rFonts w:ascii="Times New Roman;Times;Serif" w:hAnsi="Times New Roman;Times;Serif"/>
          <w:b w:val="false"/>
          <w:i w:val="false"/>
          <w:caps w:val="false"/>
          <w:smallCaps w:val="false"/>
          <w:sz w:val="20"/>
        </w:rPr>
        <w:t xml:space="preserve">7 for due diligence and legal fees. The December 2025 1800 Diagonal Note has a maturity date of </w:t>
      </w:r>
      <w:bookmarkStart w:id="985" w:name="xdx_90A_eus-gaap--DebtInstrumentMaturity"/>
      <w:bookmarkEnd w:id="985"/>
      <w:r>
        <w:rPr>
          <w:rFonts w:ascii="Times New Roman;Times;Serif" w:hAnsi="Times New Roman;Times;Serif"/>
          <w:b w:val="false"/>
          <w:i w:val="false"/>
          <w:caps w:val="false"/>
          <w:smallCaps w:val="false"/>
          <w:sz w:val="20"/>
        </w:rPr>
        <w:t xml:space="preserve">August 30, 2026 and bears interest at </w:t>
      </w:r>
      <w:bookmarkStart w:id="986" w:name="xdx_906_eus-gaap--DebtInstrumentInterest"/>
      <w:bookmarkEnd w:id="986"/>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Company issued an eleventh promissory note (the “1800 Diagonal Note #11”) for an aggregate principal amount of $</w:t>
      </w:r>
      <w:bookmarkStart w:id="987" w:name="xdx_908_eus-gaap--DebtInstrumentFaceAmou"/>
      <w:bookmarkEnd w:id="987"/>
      <w:r>
        <w:rPr>
          <w:rFonts w:ascii="Times New Roman;Times;Serif" w:hAnsi="Times New Roman;Times;Serif"/>
          <w:b w:val="false"/>
          <w:i w:val="false"/>
          <w:caps w:val="false"/>
          <w:smallCaps w:val="false"/>
          <w:sz w:val="20"/>
        </w:rPr>
        <w:t>296 and received net proceeds of $</w:t>
      </w:r>
      <w:bookmarkStart w:id="988" w:name="xdx_90D_eus-gaap--ProceedsFromIssuanceOf"/>
      <w:bookmarkEnd w:id="988"/>
      <w:r>
        <w:rPr>
          <w:rFonts w:ascii="Times New Roman;Times;Serif" w:hAnsi="Times New Roman;Times;Serif"/>
          <w:b w:val="false"/>
          <w:i w:val="false"/>
          <w:caps w:val="false"/>
          <w:smallCaps w:val="false"/>
          <w:sz w:val="20"/>
        </w:rPr>
        <w:t>250, after an original discount of $</w:t>
      </w:r>
      <w:bookmarkStart w:id="989" w:name="xdx_90F_eus-gaap--DebtInstrumentUnamorti"/>
      <w:bookmarkEnd w:id="989"/>
      <w:r>
        <w:rPr>
          <w:rFonts w:ascii="Times New Roman;Times;Serif" w:hAnsi="Times New Roman;Times;Serif"/>
          <w:b w:val="false"/>
          <w:i w:val="false"/>
          <w:caps w:val="false"/>
          <w:smallCaps w:val="false"/>
          <w:sz w:val="20"/>
        </w:rPr>
        <w:t>39 and issuance costs of $</w:t>
      </w:r>
      <w:bookmarkStart w:id="990" w:name="xdx_90E_ecustom--DebtInstrumentUnamortiz"/>
      <w:bookmarkEnd w:id="990"/>
      <w:r>
        <w:rPr>
          <w:rFonts w:ascii="Times New Roman;Times;Serif" w:hAnsi="Times New Roman;Times;Serif"/>
          <w:b w:val="false"/>
          <w:i w:val="false"/>
          <w:caps w:val="false"/>
          <w:smallCaps w:val="false"/>
          <w:sz w:val="20"/>
        </w:rPr>
        <w:t xml:space="preserve">7 for due diligence and legal fees. The 1800 Diagonal Note #11 has a maturity date of </w:t>
      </w:r>
      <w:bookmarkStart w:id="991" w:name="xdx_905_eus-gaap--DebtInstrumentMaturity"/>
      <w:bookmarkEnd w:id="991"/>
      <w:r>
        <w:rPr>
          <w:rFonts w:ascii="Times New Roman;Times;Serif" w:hAnsi="Times New Roman;Times;Serif"/>
          <w:b w:val="false"/>
          <w:i w:val="false"/>
          <w:caps w:val="false"/>
          <w:smallCaps w:val="false"/>
          <w:sz w:val="20"/>
        </w:rPr>
        <w:t xml:space="preserve">October 15, 2026 and bears interest at </w:t>
      </w:r>
      <w:bookmarkStart w:id="992" w:name="xdx_90C_eus-gaap--DebtInstrumentInterest"/>
      <w:bookmarkEnd w:id="992"/>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issued a twelfth promissory note (the “1800 Diagonal Note #12”) for an aggregate principal amount of $</w:t>
      </w:r>
      <w:bookmarkStart w:id="993" w:name="xdx_900_eus-gaap--DebtInstrumentFaceAmou"/>
      <w:bookmarkEnd w:id="993"/>
      <w:r>
        <w:rPr>
          <w:rFonts w:ascii="Times New Roman;Times;Serif" w:hAnsi="Times New Roman;Times;Serif"/>
          <w:b w:val="false"/>
          <w:i w:val="false"/>
          <w:caps w:val="false"/>
          <w:smallCaps w:val="false"/>
          <w:sz w:val="20"/>
        </w:rPr>
        <w:t>181 and received net proceeds of $</w:t>
      </w:r>
      <w:bookmarkStart w:id="994" w:name="xdx_905_eus-gaap--ProceedsFromIssuanceOf"/>
      <w:bookmarkEnd w:id="994"/>
      <w:r>
        <w:rPr>
          <w:rFonts w:ascii="Times New Roman;Times;Serif" w:hAnsi="Times New Roman;Times;Serif"/>
          <w:b w:val="false"/>
          <w:i w:val="false"/>
          <w:caps w:val="false"/>
          <w:smallCaps w:val="false"/>
          <w:sz w:val="20"/>
        </w:rPr>
        <w:t>150, after an original discount of $</w:t>
      </w:r>
      <w:bookmarkStart w:id="995" w:name="xdx_90D_eus-gaap--DebtInstrumentUnamorti"/>
      <w:bookmarkEnd w:id="995"/>
      <w:r>
        <w:rPr>
          <w:rFonts w:ascii="Times New Roman;Times;Serif" w:hAnsi="Times New Roman;Times;Serif"/>
          <w:b w:val="false"/>
          <w:i w:val="false"/>
          <w:caps w:val="false"/>
          <w:smallCaps w:val="false"/>
          <w:sz w:val="20"/>
        </w:rPr>
        <w:t>24 and issuance costs of $</w:t>
      </w:r>
      <w:bookmarkStart w:id="996" w:name="xdx_900_ecustom--DebtInstrumentUnamortiz"/>
      <w:bookmarkEnd w:id="996"/>
      <w:r>
        <w:rPr>
          <w:rFonts w:ascii="Times New Roman;Times;Serif" w:hAnsi="Times New Roman;Times;Serif"/>
          <w:b w:val="false"/>
          <w:i w:val="false"/>
          <w:caps w:val="false"/>
          <w:smallCaps w:val="false"/>
          <w:sz w:val="20"/>
        </w:rPr>
        <w:t xml:space="preserve">7 for due diligence and legal fees. The 1800 Diagonal Note #12 has a maturity date of </w:t>
      </w:r>
      <w:bookmarkStart w:id="997" w:name="xdx_90E_eus-gaap--DebtInstrumentMaturity"/>
      <w:bookmarkEnd w:id="997"/>
      <w:r>
        <w:rPr>
          <w:rFonts w:ascii="Times New Roman;Times;Serif" w:hAnsi="Times New Roman;Times;Serif"/>
          <w:b w:val="false"/>
          <w:i w:val="false"/>
          <w:caps w:val="false"/>
          <w:smallCaps w:val="false"/>
          <w:sz w:val="20"/>
        </w:rPr>
        <w:t xml:space="preserve">December 15, 2026 and bears interest at </w:t>
      </w:r>
      <w:bookmarkStart w:id="998" w:name="xdx_903_eus-gaap--DebtInstrumentInterest"/>
      <w:bookmarkEnd w:id="998"/>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w:t>
      </w:r>
      <w:bookmarkStart w:id="999" w:name="xdx_908_ecustom--PercentageOfCommonStock"/>
      <w:bookmarkEnd w:id="999"/>
      <w:r>
        <w:rPr>
          <w:rFonts w:ascii="Times New Roman;Times;Serif" w:hAnsi="Times New Roman;Times;Serif"/>
          <w:b w:val="false"/>
          <w:i w:val="false"/>
          <w:caps w:val="false"/>
          <w:smallCaps w:val="false"/>
          <w:sz w:val="20"/>
        </w:rPr>
        <w:t xml:space="preserve">4.99% of the Company’s outstanding shares of Common Stock. </w:t>
      </w:r>
      <w:bookmarkStart w:id="1000" w:name="xdx_900_eus-gaap--DebtInstrumentConverti"/>
      <w:bookmarkEnd w:id="1000"/>
      <w:r>
        <w:rPr>
          <w:rFonts w:ascii="Times New Roman;Times;Serif" w:hAnsi="Times New Roman;Times;Serif"/>
          <w:b w:val="false"/>
          <w:i w:val="false"/>
          <w:caps w:val="false"/>
          <w:smallCaps w:val="false"/>
          <w:sz w:val="20"/>
        </w:rPr>
        <w:t xml:space="preserve">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w:t>
      </w:r>
      <w:bookmarkStart w:id="1001" w:name="xdx_90F_eus-gaap--DebtInstrumentConverti"/>
      <w:bookmarkEnd w:id="1001"/>
      <w:r>
        <w:rPr>
          <w:rFonts w:ascii="Times New Roman;Times;Serif" w:hAnsi="Times New Roman;Times;Serif"/>
          <w:b w:val="false"/>
          <w:i w:val="false"/>
          <w:caps w:val="false"/>
          <w:smallCaps w:val="false"/>
          <w:sz w:val="20"/>
        </w:rPr>
        <w:t>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w:t>
      </w:r>
      <w:bookmarkStart w:id="1002" w:name="xdx_907_eus-gaap--InterestExpense_pn3n3_"/>
      <w:bookmarkEnd w:id="1002"/>
      <w:r>
        <w:rPr>
          <w:rFonts w:ascii="Times New Roman;Times;Serif" w:hAnsi="Times New Roman;Times;Serif"/>
          <w:b w:val="false"/>
          <w:i w:val="false"/>
          <w:caps w:val="false"/>
          <w:smallCaps w:val="false"/>
          <w:sz w:val="20"/>
        </w:rPr>
        <w:t>115 and $</w:t>
      </w:r>
      <w:bookmarkStart w:id="1003" w:name="xdx_907_eus-gaap--InterestExpense_pn3n3_"/>
      <w:bookmarkEnd w:id="1003"/>
      <w:r>
        <w:rPr>
          <w:rFonts w:ascii="Times New Roman;Times;Serif" w:hAnsi="Times New Roman;Times;Serif"/>
          <w:b w:val="false"/>
          <w:i w:val="false"/>
          <w:caps w:val="false"/>
          <w:smallCaps w:val="false"/>
          <w:sz w:val="20"/>
        </w:rPr>
        <w:t>37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4" w:name="xdx_89E_eus-gaap--ScheduleOfDebtInstrume"/>
      <w:bookmarkEnd w:id="1004"/>
      <w:r>
        <w:rPr>
          <w:rFonts w:ascii="Times New Roman;Times;Serif" w:hAnsi="Times New Roman;Times;Serif"/>
          <w:b w:val="false"/>
          <w:i w:val="false"/>
          <w:caps w:val="false"/>
          <w:smallCaps w:val="false"/>
          <w:sz w:val="20"/>
        </w:rPr>
        <w:t>The following table presents the 1800 Diagonal Notes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005" w:name="xdx_8BF_zEajLi0VxpAe"/>
      <w:bookmarkEnd w:id="1005"/>
      <w:r>
        <w:rPr>
          <w:rFonts w:ascii="Times New Roman;Times;Serif" w:hAnsi="Times New Roman;Times;Serif"/>
          <w:b w:val="false"/>
          <w:i w:val="false"/>
          <w:caps w:val="false"/>
          <w:smallCaps w:val="false"/>
          <w:sz w:val="20"/>
        </w:rPr>
        <w:t>Summary of Notes</w:t>
      </w:r>
    </w:p>
    <w:tbl>
      <w:tblPr>
        <w:tblW w:w="5669" w:type="dxa"/>
        <w:jc w:val="left"/>
        <w:tblInd w:w="0" w:type="dxa"/>
        <w:tblLayout w:type="fixed"/>
        <w:tblCellMar>
          <w:top w:w="0" w:type="dxa"/>
          <w:left w:w="0" w:type="dxa"/>
          <w:bottom w:w="0" w:type="dxa"/>
          <w:right w:w="0" w:type="dxa"/>
        </w:tblCellMar>
      </w:tblPr>
      <w:tblGrid>
        <w:gridCol w:w="4250"/>
        <w:gridCol w:w="60"/>
        <w:gridCol w:w="303"/>
        <w:gridCol w:w="961"/>
        <w:gridCol w:w="95"/>
      </w:tblGrid>
      <w:tr>
        <w:trPr/>
        <w:tc>
          <w:tcPr>
            <w:tcW w:w="42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06" w:name="xdx_49E_20260101__20260331__us-gaap--Lon"/>
            <w:bookmarkEnd w:id="1006"/>
          </w:p>
        </w:tc>
        <w:tc>
          <w:tcPr>
            <w:tcW w:w="126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bookmarkStart w:id="1007" w:name="xdx_40B_eus-gaap--NotesPayable_iS_z2d50a"/>
            <w:bookmarkEnd w:id="1007"/>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top w:val="single" w:sz="8" w:space="0" w:color="000000"/>
            </w:tcBorders>
            <w:shd w:fill="CFF0FC"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08" w:name="xdx_405_ecustom--IssuanceOfLongTermDebt_"/>
            <w:bookmarkEnd w:id="1008"/>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09" w:name="xdx_404_ecustom--GainsLossesOnDebtIssuan"/>
            <w:bookmarkEnd w:id="1009"/>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issuance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10" w:name="xdx_40D_eus-gaap--RepaymentsOfLongTermDe"/>
            <w:bookmarkEnd w:id="1010"/>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11" w:name="xdx_400_ecustom--ChangeInFairValueOfLong"/>
            <w:bookmarkEnd w:id="1011"/>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bookmarkStart w:id="1012" w:name="xdx_404_ecustom--ConversionsOfLongTermDe"/>
            <w:bookmarkEnd w:id="1012"/>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13" w:name="xdx_40E_eus-gaap--NotesPayable_iE_zIg18n"/>
            <w:bookmarkEnd w:id="1013"/>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95" w:type="dxa"/>
            <w:tcBorders>
              <w:bottom w:val="double" w:sz="6"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14" w:name="xdx_401_eus-gaap--LongTermNotesPayable_i"/>
            <w:bookmarkEnd w:id="1014"/>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principal 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15" w:name="xdx_40D_ecustom--InterestPayableOnLongTe"/>
            <w:bookmarkEnd w:id="1015"/>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as of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016" w:name="xdx_8A5_zgvXLvEaXu7f"/>
      <w:bookmarkEnd w:id="101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w:t>
      </w:r>
      <w:bookmarkStart w:id="1017" w:name="xdx_90D_eus-gaap--DebtInstrumentFaceAmou"/>
      <w:bookmarkEnd w:id="1017"/>
      <w:r>
        <w:rPr>
          <w:rFonts w:ascii="Times New Roman;Times;Serif" w:hAnsi="Times New Roman;Times;Serif"/>
          <w:b w:val="false"/>
          <w:i w:val="false"/>
          <w:caps w:val="false"/>
          <w:smallCaps w:val="false"/>
          <w:sz w:val="20"/>
        </w:rPr>
        <w:t>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w:t>
      </w:r>
      <w:bookmarkStart w:id="1018" w:name="xdx_902_ecustom--WarrantsPurchased_iI_pi"/>
      <w:bookmarkEnd w:id="1018"/>
      <w:r>
        <w:rPr>
          <w:rFonts w:ascii="Times New Roman;Times;Serif" w:hAnsi="Times New Roman;Times;Serif"/>
          <w:b w:val="false"/>
          <w:i w:val="false"/>
          <w:caps w:val="false"/>
          <w:smallCaps w:val="false"/>
          <w:sz w:val="20"/>
        </w:rPr>
        <w:t xml:space="preserve">21,212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bookmarkStart w:id="1019" w:name="xdx_893_ecustom--ScheduleOfPrivatePlacem"/>
      <w:bookmarkEnd w:id="1019"/>
      <w:r>
        <w:rPr>
          <w:caps w:val="false"/>
          <w:smallCaps w:val="false"/>
        </w:rPr>
        <w:t> </w:t>
      </w:r>
      <w:bookmarkStart w:id="1020" w:name="xdx_8B4_znfeGcr9lBib"/>
      <w:bookmarkEnd w:id="1020"/>
      <w:r>
        <w:rPr>
          <w:rFonts w:ascii="Times New Roman;Times;Serif" w:hAnsi="Times New Roman;Times;Serif"/>
          <w:b w:val="false"/>
          <w:i w:val="false"/>
          <w:caps w:val="false"/>
          <w:smallCaps w:val="false"/>
          <w:sz w:val="20"/>
        </w:rPr>
        <w:t>Schedule of Private Placement Offerings</w:t>
      </w:r>
    </w:p>
    <w:tbl>
      <w:tblPr>
        <w:tblW w:w="11180" w:type="dxa"/>
        <w:jc w:val="left"/>
        <w:tblInd w:w="0" w:type="dxa"/>
        <w:tblLayout w:type="fixed"/>
        <w:tblCellMar>
          <w:top w:w="0" w:type="dxa"/>
          <w:left w:w="0" w:type="dxa"/>
          <w:bottom w:w="0" w:type="dxa"/>
          <w:right w:w="0" w:type="dxa"/>
        </w:tblCellMar>
      </w:tblPr>
      <w:tblGrid>
        <w:gridCol w:w="890"/>
        <w:gridCol w:w="60"/>
        <w:gridCol w:w="1025"/>
        <w:gridCol w:w="60"/>
        <w:gridCol w:w="1025"/>
        <w:gridCol w:w="60"/>
        <w:gridCol w:w="190"/>
        <w:gridCol w:w="760"/>
        <w:gridCol w:w="60"/>
        <w:gridCol w:w="60"/>
        <w:gridCol w:w="205"/>
        <w:gridCol w:w="820"/>
        <w:gridCol w:w="60"/>
        <w:gridCol w:w="60"/>
        <w:gridCol w:w="238"/>
        <w:gridCol w:w="952"/>
        <w:gridCol w:w="60"/>
        <w:gridCol w:w="60"/>
        <w:gridCol w:w="238"/>
        <w:gridCol w:w="952"/>
        <w:gridCol w:w="60"/>
        <w:gridCol w:w="60"/>
        <w:gridCol w:w="1025"/>
        <w:gridCol w:w="60"/>
        <w:gridCol w:w="83"/>
        <w:gridCol w:w="942"/>
        <w:gridCol w:w="60"/>
        <w:gridCol w:w="60"/>
        <w:gridCol w:w="184"/>
        <w:gridCol w:w="736"/>
        <w:gridCol w:w="7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5"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Maturity Date of the Note</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bookmarkStart w:id="1021" w:name="xdx_905_eus-gaap--DebtInstrumentMaturity"/>
            <w:bookmarkEnd w:id="1021"/>
            <w:r>
              <w:rPr/>
              <w:t>June 30,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bookmarkStart w:id="1022" w:name="xdx_905_eus-gaap--DebtInstrumentFaceAmou"/>
            <w:bookmarkEnd w:id="1022"/>
            <w:r>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bookmarkStart w:id="1023" w:name="xdx_90B_eus-gaap--ProceedsFromIssuanceOf"/>
            <w:bookmarkEnd w:id="1023"/>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24" w:name="xdx_902_eus-gaap--DebtInstrumentConverti"/>
            <w:bookmarkEnd w:id="1024"/>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25" w:name="xdx_90E_ecustom--DebtInstrumentConversio"/>
            <w:bookmarkEnd w:id="1025"/>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bookmarkStart w:id="1026" w:name="xdx_90B_ecustom--WarrantsIssued_pid_c202"/>
            <w:bookmarkEnd w:id="1026"/>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bookmarkStart w:id="1027" w:name="xdx_906_eus-gaap--ClassOfWarrantOrRightE"/>
            <w:bookmarkEnd w:id="1027"/>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bookmarkStart w:id="1028" w:name="xdx_901_eus-gaap--DebtInstrumentMaturity"/>
            <w:bookmarkEnd w:id="1028"/>
            <w:r>
              <w:rPr/>
              <w:t>September 19, 2026</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bookmarkStart w:id="1029" w:name="xdx_908_eus-gaap--DebtInstrumentFaceAmou"/>
            <w:bookmarkEnd w:id="1029"/>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bookmarkStart w:id="1030" w:name="xdx_906_eus-gaap--ProceedsFromIssuanceOf"/>
            <w:bookmarkEnd w:id="1030"/>
            <w:r>
              <w:rPr/>
              <w:t>1,762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31" w:name="xdx_903_eus-gaap--DebtInstrumentConverti"/>
            <w:bookmarkEnd w:id="1031"/>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32" w:name="xdx_908_ecustom--DebtInstrumentConversio"/>
            <w:bookmarkEnd w:id="1032"/>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Warrant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bookmarkStart w:id="1033" w:name="xdx_906_ecustom--WarrantsIssued_pid_c202"/>
            <w:bookmarkEnd w:id="1033"/>
            <w:r>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bookmarkStart w:id="1034" w:name="xdx_90E_eus-gaap--ClassOfWarrantOrRightE"/>
            <w:bookmarkEnd w:id="1034"/>
            <w:r>
              <w:rPr/>
              <w:t>50.00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bookmarkStart w:id="1035" w:name="xdx_903_eus-gaap--DebtInstrumentMaturity"/>
            <w:bookmarkEnd w:id="1035"/>
            <w:r>
              <w:rPr/>
              <w:t>October 8,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bookmarkStart w:id="1036" w:name="xdx_902_eus-gaap--DebtInstrumentFaceAmou"/>
            <w:bookmarkEnd w:id="1036"/>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bookmarkStart w:id="1037" w:name="xdx_908_eus-gaap--ProceedsFromIssuanceOf"/>
            <w:bookmarkEnd w:id="1037"/>
            <w:r>
              <w:rPr/>
              <w:t>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38" w:name="xdx_905_eus-gaap--DebtInstrumentConverti"/>
            <w:bookmarkEnd w:id="1038"/>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bookmarkStart w:id="1039" w:name="xdx_901_ecustom--DebtInstrumentConversio"/>
            <w:bookmarkEnd w:id="1039"/>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bookmarkStart w:id="1040" w:name="xdx_903_ecustom--WarrantsIssued_pid_c202"/>
            <w:bookmarkEnd w:id="1040"/>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bookmarkStart w:id="1041" w:name="xdx_90D_eus-gaap--ClassOfWarrantOrRightE"/>
            <w:bookmarkEnd w:id="1041"/>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February 13, 2026</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bookmarkStart w:id="1042" w:name="xdx_90A_eus-gaap--DebtInstrumentMaturity"/>
            <w:bookmarkEnd w:id="1042"/>
            <w:r>
              <w:rPr/>
              <w:t>February 13, 2027</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43" w:name="xdx_907_eus-gaap--DebtInstrumentFaceAmou"/>
            <w:bookmarkEnd w:id="1043"/>
            <w:r>
              <w:rPr/>
              <w:t>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44" w:name="xdx_90B_eus-gaap--ProceedsFromIssuanceOf"/>
            <w:bookmarkEnd w:id="1044"/>
            <w:r>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45" w:name="xdx_90D_eus-gaap--DebtInstrumentConverti"/>
            <w:bookmarkEnd w:id="1045"/>
            <w:r>
              <w:rPr/>
              <w:t>22.20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bookmarkStart w:id="1046" w:name="xdx_90D_ecustom--DebtInstrumentConversio"/>
            <w:bookmarkEnd w:id="1046"/>
            <w:r>
              <w:rPr/>
              <w:t>5.080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Warrant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47" w:name="xdx_900_ecustom--WarrantsIssued_pid_c202"/>
            <w:bookmarkEnd w:id="1047"/>
            <w:r>
              <w:rPr/>
              <w:t>21,021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bookmarkStart w:id="1048" w:name="xdx_90C_eus-gaap--ClassOfWarrantOrRightE"/>
            <w:bookmarkEnd w:id="1048"/>
            <w:r>
              <w:rPr/>
              <w:t>22.20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49" w:name="xdx_90F_eus-gaap--DebtInstrumentFaceAmou"/>
            <w:bookmarkEnd w:id="1049"/>
            <w:r>
              <w:rPr>
                <w:b/>
              </w:rPr>
              <w:t>9,233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50" w:name="xdx_90B_eus-gaap--ProceedsFromIssuanceOf"/>
            <w:bookmarkEnd w:id="1050"/>
            <w:r>
              <w:rPr>
                <w:b/>
              </w:rPr>
              <w:t>7,377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051" w:name="xdx_907_ecustom--WarrantsIssued_pid_c202"/>
            <w:bookmarkEnd w:id="1051"/>
            <w:r>
              <w:rPr>
                <w:b/>
              </w:rPr>
              <w:t>50,684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52" w:name="xdx_8A4_zO0jEWcYRnK4"/>
      <w:bookmarkEnd w:id="10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Notes were issued with an original issue discount of </w:t>
      </w:r>
      <w:bookmarkStart w:id="1053" w:name="xdx_900_ecustom--DebtInstrumentInterestR"/>
      <w:bookmarkEnd w:id="1053"/>
      <w:r>
        <w:rPr>
          <w:rFonts w:ascii="Times New Roman;Times;Serif" w:hAnsi="Times New Roman;Times;Serif"/>
          <w:b w:val="false"/>
          <w:i w:val="false"/>
          <w:caps w:val="false"/>
          <w:smallCaps w:val="false"/>
          <w:sz w:val="20"/>
        </w:rPr>
        <w:t xml:space="preserve">10.0% and accrue interest at a rate of </w:t>
      </w:r>
      <w:bookmarkStart w:id="1054" w:name="xdx_905_eus-gaap--DebtInstrumentInterest"/>
      <w:bookmarkEnd w:id="1054"/>
      <w:r>
        <w:rPr>
          <w:rFonts w:ascii="Times New Roman;Times;Serif" w:hAnsi="Times New Roman;Times;Serif"/>
          <w:b w:val="false"/>
          <w:i w:val="false"/>
          <w:caps w:val="false"/>
          <w:smallCaps w:val="false"/>
          <w:sz w:val="20"/>
        </w:rPr>
        <w:t>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w:t>
      </w:r>
      <w:bookmarkStart w:id="1055" w:name="xdx_900_ecustom--DebtInstrumentMaturityF"/>
      <w:bookmarkEnd w:id="1055"/>
      <w:r>
        <w:rPr>
          <w:rFonts w:ascii="Times New Roman;Times;Serif" w:hAnsi="Times New Roman;Times;Serif"/>
          <w:b w:val="false"/>
          <w:i w:val="false"/>
          <w:caps w:val="false"/>
          <w:smallCaps w:val="false"/>
          <w:sz w:val="20"/>
        </w:rPr>
        <w:t xml:space="preserve">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1056" w:name="xdx_901_ecustom--MinimumPercentageOfOuts"/>
      <w:bookmarkEnd w:id="1056"/>
      <w:r>
        <w:rPr>
          <w:rFonts w:ascii="Times New Roman;Times;Serif" w:hAnsi="Times New Roman;Times;Serif"/>
          <w:b w:val="false"/>
          <w:i w:val="false"/>
          <w:caps w:val="false"/>
          <w:smallCaps w:val="false"/>
          <w:sz w:val="20"/>
        </w:rPr>
        <w:t xml:space="preserve">4.99% (or up to </w:t>
      </w:r>
      <w:bookmarkStart w:id="1057" w:name="xdx_906_ecustom--MaximumPercentageOfOuts"/>
      <w:bookmarkEnd w:id="1057"/>
      <w:r>
        <w:rPr>
          <w:rFonts w:ascii="Times New Roman;Times;Serif" w:hAnsi="Times New Roman;Times;Serif"/>
          <w:b w:val="false"/>
          <w:i w:val="false"/>
          <w:caps w:val="false"/>
          <w:smallCaps w:val="false"/>
          <w:sz w:val="20"/>
        </w:rPr>
        <w:t>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as per the terms of the Notes and Warrants, the conversion price and exercise price was adjusted to $</w:t>
      </w:r>
      <w:bookmarkStart w:id="1058" w:name="xdx_90B_ecustom--AdjustedconversionPrice"/>
      <w:bookmarkEnd w:id="1058"/>
      <w:r>
        <w:rPr>
          <w:rFonts w:ascii="Times New Roman;Times;Serif" w:hAnsi="Times New Roman;Times;Serif"/>
          <w:b w:val="false"/>
          <w:i w:val="false"/>
          <w:caps w:val="false"/>
          <w:smallCaps w:val="false"/>
          <w:sz w:val="20"/>
        </w:rPr>
        <w:t xml:space="preserve">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11 – Debt </w:t>
      </w:r>
      <w:r>
        <w:rPr>
          <w:rFonts w:ascii="Times New Roman;Times;Serif" w:hAnsi="Times New Roman;Times;Serif"/>
          <w:b w:val="false"/>
          <w:i w:val="false"/>
          <w:caps w:val="false"/>
          <w:smallCaps w:val="false"/>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w:t>
      </w:r>
      <w:bookmarkStart w:id="1059" w:name="xdx_909_ecustom--PercentageOfPremiumBuye"/>
      <w:bookmarkEnd w:id="1059"/>
      <w:r>
        <w:rPr>
          <w:rFonts w:ascii="Times New Roman;Times;Serif" w:hAnsi="Times New Roman;Times;Serif"/>
          <w:b w:val="false"/>
          <w:i w:val="false"/>
          <w:caps w:val="false"/>
          <w:smallCaps w:val="false"/>
          <w:sz w:val="20"/>
        </w:rPr>
        <w:t>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w:t>
      </w:r>
      <w:bookmarkStart w:id="1060" w:name="xdx_90B_eus-gaap--RepaymentsOfConvertibl"/>
      <w:bookmarkEnd w:id="1060"/>
      <w:r>
        <w:rPr>
          <w:rFonts w:ascii="Times New Roman;Times;Serif" w:hAnsi="Times New Roman;Times;Serif"/>
          <w:b w:val="false"/>
          <w:i w:val="false"/>
          <w:caps w:val="false"/>
          <w:smallCaps w:val="false"/>
          <w:sz w:val="20"/>
        </w:rPr>
        <w:t>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August 12, 2025 and October 22, 2025, the Buyer exercised its contractual conversion options multiple times under the June 3i Note and received an aggregate of </w:t>
      </w:r>
      <w:bookmarkStart w:id="1061" w:name="xdx_90F_eus-gaap--DebtConversionConverte"/>
      <w:bookmarkEnd w:id="1061"/>
      <w:r>
        <w:rPr>
          <w:rFonts w:ascii="Times New Roman;Times;Serif" w:hAnsi="Times New Roman;Times;Serif"/>
          <w:b w:val="false"/>
          <w:i w:val="false"/>
          <w:caps w:val="false"/>
          <w:smallCaps w:val="false"/>
          <w:sz w:val="20"/>
        </w:rPr>
        <w:t>30,823 shares of Class A Common Stock at conversion prices per share ranging from $</w:t>
      </w:r>
      <w:bookmarkStart w:id="1062" w:name="xdx_90A_eus-gaap--DebtInstrumentConverti"/>
      <w:bookmarkEnd w:id="1062"/>
      <w:r>
        <w:rPr>
          <w:rFonts w:ascii="Times New Roman;Times;Serif" w:hAnsi="Times New Roman;Times;Serif"/>
          <w:b w:val="false"/>
          <w:i w:val="false"/>
          <w:caps w:val="false"/>
          <w:smallCaps w:val="false"/>
          <w:sz w:val="20"/>
        </w:rPr>
        <w:t>38.20 to $</w:t>
      </w:r>
      <w:bookmarkStart w:id="1063" w:name="xdx_902_eus-gaap--DebtInstrumentConverti"/>
      <w:bookmarkEnd w:id="1063"/>
      <w:r>
        <w:rPr>
          <w:rFonts w:ascii="Times New Roman;Times;Serif" w:hAnsi="Times New Roman;Times;Serif"/>
          <w:b w:val="false"/>
          <w:i w:val="false"/>
          <w:caps w:val="false"/>
          <w:smallCaps w:val="false"/>
          <w:sz w:val="20"/>
        </w:rPr>
        <w:t>51.60 in full satisfaction of the Company’s remaining obligations under the June 3i Note totaling $</w:t>
      </w:r>
      <w:bookmarkStart w:id="1064" w:name="xdx_907_eus-gaap--DebtInstrumentCarrying"/>
      <w:bookmarkEnd w:id="1064"/>
      <w:r>
        <w:rPr>
          <w:rFonts w:ascii="Times New Roman;Times;Serif" w:hAnsi="Times New Roman;Times;Serif"/>
          <w:b w:val="false"/>
          <w:i w:val="false"/>
          <w:caps w:val="false"/>
          <w:smallCaps w:val="false"/>
          <w:sz w:val="20"/>
        </w:rPr>
        <w:t>1,420.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September 10, 2025 and October 14, 2025, the Buyer exercised its contractual conversion option multiple times under the August 3i Note and received an aggregate of </w:t>
      </w:r>
      <w:bookmarkStart w:id="1065" w:name="xdx_906_eus-gaap--DebtConversionConverte"/>
      <w:bookmarkEnd w:id="1065"/>
      <w:r>
        <w:rPr>
          <w:rFonts w:ascii="Times New Roman;Times;Serif" w:hAnsi="Times New Roman;Times;Serif"/>
          <w:b w:val="false"/>
          <w:i w:val="false"/>
          <w:caps w:val="false"/>
          <w:smallCaps w:val="false"/>
          <w:sz w:val="20"/>
        </w:rPr>
        <w:t>30,883 shares of Class A Common Stock at conversion prices per share ranging from $</w:t>
      </w:r>
      <w:bookmarkStart w:id="1066" w:name="xdx_908_eus-gaap--DebtInstrumentConverti"/>
      <w:bookmarkEnd w:id="1066"/>
      <w:r>
        <w:rPr>
          <w:rFonts w:ascii="Times New Roman;Times;Serif" w:hAnsi="Times New Roman;Times;Serif"/>
          <w:b w:val="false"/>
          <w:i w:val="false"/>
          <w:caps w:val="false"/>
          <w:smallCaps w:val="false"/>
          <w:sz w:val="20"/>
        </w:rPr>
        <w:t>38.20 to $</w:t>
      </w:r>
      <w:bookmarkStart w:id="1067" w:name="xdx_90F_eus-gaap--DebtInstrumentConverti"/>
      <w:bookmarkEnd w:id="1067"/>
      <w:r>
        <w:rPr>
          <w:rFonts w:ascii="Times New Roman;Times;Serif" w:hAnsi="Times New Roman;Times;Serif"/>
          <w:b w:val="false"/>
          <w:i w:val="false"/>
          <w:caps w:val="false"/>
          <w:smallCaps w:val="false"/>
          <w:sz w:val="20"/>
        </w:rPr>
        <w:t>48.40 in satisfaction of $</w:t>
      </w:r>
      <w:bookmarkStart w:id="1068" w:name="xdx_904_eus-gaap--DebtInstrumentCarrying"/>
      <w:bookmarkEnd w:id="1068"/>
      <w:r>
        <w:rPr>
          <w:rFonts w:ascii="Times New Roman;Times;Serif" w:hAnsi="Times New Roman;Times;Serif"/>
          <w:b w:val="false"/>
          <w:i w:val="false"/>
          <w:caps w:val="false"/>
          <w:smallCaps w:val="false"/>
          <w:sz w:val="20"/>
        </w:rPr>
        <w:t>1,412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16, 2025 and December 11, 2025, the Buyer exercised its contractual conversion option multiple times under the October 3i Note and received an aggregate of </w:t>
      </w:r>
      <w:bookmarkStart w:id="1069" w:name="xdx_908_eus-gaap--DebtConversionConverte"/>
      <w:bookmarkEnd w:id="1069"/>
      <w:r>
        <w:rPr>
          <w:rFonts w:ascii="Times New Roman;Times;Serif" w:hAnsi="Times New Roman;Times;Serif"/>
          <w:b w:val="false"/>
          <w:i w:val="false"/>
          <w:caps w:val="false"/>
          <w:smallCaps w:val="false"/>
          <w:sz w:val="20"/>
        </w:rPr>
        <w:t>66,584 shares of Class A Common Stock at conversion prices per share ranging from $</w:t>
      </w:r>
      <w:bookmarkStart w:id="1070" w:name="xdx_90D_eus-gaap--DebtInstrumentConverti"/>
      <w:bookmarkEnd w:id="1070"/>
      <w:r>
        <w:rPr>
          <w:rFonts w:ascii="Times New Roman;Times;Serif" w:hAnsi="Times New Roman;Times;Serif"/>
          <w:b w:val="false"/>
          <w:i w:val="false"/>
          <w:caps w:val="false"/>
          <w:smallCaps w:val="false"/>
          <w:sz w:val="20"/>
        </w:rPr>
        <w:t>20.60 to $</w:t>
      </w:r>
      <w:bookmarkStart w:id="1071" w:name="xdx_90D_eus-gaap--DebtInstrumentConverti"/>
      <w:bookmarkEnd w:id="1071"/>
      <w:r>
        <w:rPr>
          <w:rFonts w:ascii="Times New Roman;Times;Serif" w:hAnsi="Times New Roman;Times;Serif"/>
          <w:b w:val="false"/>
          <w:i w:val="false"/>
          <w:caps w:val="false"/>
          <w:smallCaps w:val="false"/>
          <w:sz w:val="20"/>
        </w:rPr>
        <w:t>50.00 in satisfaction of $</w:t>
      </w:r>
      <w:bookmarkStart w:id="1072" w:name="xdx_903_eus-gaap--DebtInstrumentCarrying"/>
      <w:bookmarkEnd w:id="1072"/>
      <w:r>
        <w:rPr>
          <w:rFonts w:ascii="Times New Roman;Times;Serif" w:hAnsi="Times New Roman;Times;Serif"/>
          <w:b w:val="false"/>
          <w:i w:val="false"/>
          <w:caps w:val="false"/>
          <w:smallCaps w:val="false"/>
          <w:sz w:val="20"/>
        </w:rPr>
        <w:t>1,677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7, 2026 and February 10, 2026, the Buyer exercised its contractual conversion option multiple times under the August 3i Note and received an aggregate of </w:t>
      </w:r>
      <w:bookmarkStart w:id="1073" w:name="xdx_90A_eus-gaap--DebtConversionConverte"/>
      <w:bookmarkEnd w:id="1073"/>
      <w:r>
        <w:rPr>
          <w:rFonts w:ascii="Times New Roman;Times;Serif" w:hAnsi="Times New Roman;Times;Serif"/>
          <w:b w:val="false"/>
          <w:i w:val="false"/>
          <w:caps w:val="false"/>
          <w:smallCaps w:val="false"/>
          <w:sz w:val="20"/>
        </w:rPr>
        <w:t>36,667 shares of Class A Common Stock at a conversion price per share of $</w:t>
      </w:r>
      <w:bookmarkStart w:id="1074" w:name="xdx_900_eus-gaap--DebtInstrumentConverti"/>
      <w:bookmarkEnd w:id="1074"/>
      <w:r>
        <w:rPr>
          <w:rFonts w:ascii="Times New Roman;Times;Serif" w:hAnsi="Times New Roman;Times;Serif"/>
          <w:b w:val="false"/>
          <w:i w:val="false"/>
          <w:caps w:val="false"/>
          <w:smallCaps w:val="false"/>
          <w:sz w:val="20"/>
        </w:rPr>
        <w:t>22.20 in satisfaction of $</w:t>
      </w:r>
      <w:bookmarkStart w:id="1075" w:name="xdx_907_eus-gaap--DebtInstrumentCarrying"/>
      <w:bookmarkEnd w:id="1075"/>
      <w:r>
        <w:rPr>
          <w:rFonts w:ascii="Times New Roman;Times;Serif" w:hAnsi="Times New Roman;Times;Serif"/>
          <w:b w:val="false"/>
          <w:i w:val="false"/>
          <w:caps w:val="false"/>
          <w:smallCaps w:val="false"/>
          <w:sz w:val="20"/>
        </w:rPr>
        <w:t>807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8, 2026 and February 19, 2026, the Buyer exercised its contractual conversion option multiple times under the October 3i Note and received an aggregate of </w:t>
      </w:r>
      <w:bookmarkStart w:id="1076" w:name="xdx_901_eus-gaap--DebtConversionConverte"/>
      <w:bookmarkEnd w:id="1076"/>
      <w:r>
        <w:rPr>
          <w:rFonts w:ascii="Times New Roman;Times;Serif" w:hAnsi="Times New Roman;Times;Serif"/>
          <w:b w:val="false"/>
          <w:i w:val="false"/>
          <w:caps w:val="false"/>
          <w:smallCaps w:val="false"/>
          <w:sz w:val="20"/>
        </w:rPr>
        <w:t>60,764 shares of Class A Common Stock at conversion prices per share ranging from $</w:t>
      </w:r>
      <w:bookmarkStart w:id="1077" w:name="xdx_901_eus-gaap--DebtInstrumentConverti"/>
      <w:bookmarkEnd w:id="1077"/>
      <w:r>
        <w:rPr>
          <w:rFonts w:ascii="Times New Roman;Times;Serif" w:hAnsi="Times New Roman;Times;Serif"/>
          <w:b w:val="false"/>
          <w:i w:val="false"/>
          <w:caps w:val="false"/>
          <w:smallCaps w:val="false"/>
          <w:sz w:val="20"/>
        </w:rPr>
        <w:t>17.20 to $</w:t>
      </w:r>
      <w:bookmarkStart w:id="1078" w:name="xdx_909_eus-gaap--DebtInstrumentConverti"/>
      <w:bookmarkEnd w:id="1078"/>
      <w:r>
        <w:rPr>
          <w:rFonts w:ascii="Times New Roman;Times;Serif" w:hAnsi="Times New Roman;Times;Serif"/>
          <w:b w:val="false"/>
          <w:i w:val="false"/>
          <w:caps w:val="false"/>
          <w:smallCaps w:val="false"/>
          <w:sz w:val="20"/>
        </w:rPr>
        <w:t>20.40 in satisfaction of $</w:t>
      </w:r>
      <w:bookmarkStart w:id="1079" w:name="xdx_900_eus-gaap--DebtInstrumentCarrying"/>
      <w:bookmarkEnd w:id="1079"/>
      <w:r>
        <w:rPr>
          <w:rFonts w:ascii="Times New Roman;Times;Serif" w:hAnsi="Times New Roman;Times;Serif"/>
          <w:b w:val="false"/>
          <w:i w:val="false"/>
          <w:caps w:val="false"/>
          <w:smallCaps w:val="false"/>
          <w:sz w:val="20"/>
        </w:rPr>
        <w:t>1,073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March 2, 2026 and March 25, 2026, the Buyer exercised its contractual conversion option multiple times under the February 3i Note and received an aggregate of </w:t>
      </w:r>
      <w:bookmarkStart w:id="1080" w:name="xdx_90B_eus-gaap--DebtConversionConverte"/>
      <w:bookmarkEnd w:id="1080"/>
      <w:r>
        <w:rPr>
          <w:rFonts w:ascii="Times New Roman;Times;Serif" w:hAnsi="Times New Roman;Times;Serif"/>
          <w:b w:val="false"/>
          <w:i w:val="false"/>
          <w:caps w:val="false"/>
          <w:smallCaps w:val="false"/>
          <w:sz w:val="20"/>
        </w:rPr>
        <w:t>46,371 shares of Class A Common Stock at conversion prices per share ranging from $</w:t>
      </w:r>
      <w:bookmarkStart w:id="1081" w:name="xdx_908_eus-gaap--DebtInstrumentConverti"/>
      <w:bookmarkEnd w:id="1081"/>
      <w:r>
        <w:rPr>
          <w:rFonts w:ascii="Times New Roman;Times;Serif" w:hAnsi="Times New Roman;Times;Serif"/>
          <w:b w:val="false"/>
          <w:i w:val="false"/>
          <w:caps w:val="false"/>
          <w:smallCaps w:val="false"/>
          <w:sz w:val="20"/>
        </w:rPr>
        <w:t>16.60 to $</w:t>
      </w:r>
      <w:bookmarkStart w:id="1082" w:name="xdx_908_eus-gaap--DebtInstrumentConverti"/>
      <w:bookmarkEnd w:id="1082"/>
      <w:r>
        <w:rPr>
          <w:rFonts w:ascii="Times New Roman;Times;Serif" w:hAnsi="Times New Roman;Times;Serif"/>
          <w:b w:val="false"/>
          <w:i w:val="false"/>
          <w:caps w:val="false"/>
          <w:smallCaps w:val="false"/>
          <w:sz w:val="20"/>
        </w:rPr>
        <w:t>19.60 in satisfaction of $</w:t>
      </w:r>
      <w:bookmarkStart w:id="1083" w:name="xdx_90C_eus-gaap--DebtInstrumentCarrying"/>
      <w:bookmarkEnd w:id="1083"/>
      <w:r>
        <w:rPr>
          <w:rFonts w:ascii="Times New Roman;Times;Serif" w:hAnsi="Times New Roman;Times;Serif"/>
          <w:b w:val="false"/>
          <w:i w:val="false"/>
          <w:caps w:val="false"/>
          <w:smallCaps w:val="false"/>
          <w:sz w:val="20"/>
        </w:rPr>
        <w:t>856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w:t>
      </w:r>
      <w:bookmarkStart w:id="1084" w:name="xdx_90C_eus-gaap--InterestExpense_pn3n3_"/>
      <w:bookmarkEnd w:id="1084"/>
      <w:r>
        <w:rPr>
          <w:rFonts w:ascii="Times New Roman;Times;Serif" w:hAnsi="Times New Roman;Times;Serif"/>
          <w:b w:val="false"/>
          <w:i w:val="false"/>
          <w:caps w:val="false"/>
          <w:smallCaps w:val="false"/>
          <w:sz w:val="20"/>
        </w:rPr>
        <w:t>182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5" w:name="xdx_896_eus-gaap--ScheduleOfDebtInstrume"/>
      <w:bookmarkEnd w:id="1085"/>
      <w:r>
        <w:rPr>
          <w:rFonts w:ascii="Times New Roman;Times;Serif" w:hAnsi="Times New Roman;Times;Serif"/>
          <w:b w:val="false"/>
          <w:i w:val="false"/>
          <w:caps w:val="false"/>
          <w:smallCaps w:val="false"/>
          <w:sz w:val="20"/>
        </w:rPr>
        <w:t>The following table presents the Private Placement Convertible Notes as of March 31, 2026:</w:t>
      </w:r>
    </w:p>
    <w:p>
      <w:pPr>
        <w:pStyle w:val="TextBody"/>
        <w:bidi w:val="0"/>
        <w:spacing w:before="0" w:after="0"/>
        <w:ind w:left="0" w:right="0" w:hanging="0"/>
        <w:jc w:val="left"/>
        <w:rPr>
          <w:caps w:val="false"/>
          <w:smallCaps w:val="false"/>
        </w:rPr>
      </w:pPr>
      <w:r>
        <w:rPr>
          <w:caps w:val="false"/>
          <w:smallCaps w:val="false"/>
        </w:rPr>
        <w:t> </w:t>
      </w:r>
      <w:bookmarkStart w:id="1086" w:name="xdx_8B2_ztcGKYxCySl9"/>
      <w:bookmarkEnd w:id="1086"/>
      <w:r>
        <w:rPr>
          <w:rFonts w:ascii="Times New Roman;Times;Serif" w:hAnsi="Times New Roman;Times;Serif"/>
          <w:b w:val="false"/>
          <w:i w:val="false"/>
          <w:caps w:val="false"/>
          <w:smallCaps w:val="false"/>
          <w:sz w:val="20"/>
        </w:rPr>
        <w:t>Summary of Notes</w:t>
      </w:r>
    </w:p>
    <w:tbl>
      <w:tblPr>
        <w:tblW w:w="6374" w:type="dxa"/>
        <w:jc w:val="left"/>
        <w:tblInd w:w="0" w:type="dxa"/>
        <w:tblLayout w:type="fixed"/>
        <w:tblCellMar>
          <w:top w:w="0" w:type="dxa"/>
          <w:left w:w="0" w:type="dxa"/>
          <w:bottom w:w="0" w:type="dxa"/>
          <w:right w:w="0" w:type="dxa"/>
        </w:tblCellMar>
      </w:tblPr>
      <w:tblGrid>
        <w:gridCol w:w="4940"/>
        <w:gridCol w:w="60"/>
        <w:gridCol w:w="228"/>
        <w:gridCol w:w="1036"/>
        <w:gridCol w:w="110"/>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87" w:name="xdx_490_20260101__20260331__us-gaap--Lon"/>
            <w:bookmarkEnd w:id="1087"/>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3i, LP Notes</w:t>
            </w:r>
          </w:p>
        </w:tc>
        <w:tc>
          <w:tcPr>
            <w:tcW w:w="110" w:type="dxa"/>
            <w:tcBorders/>
            <w:vAlign w:val="center"/>
          </w:tcPr>
          <w:p>
            <w:pPr>
              <w:pStyle w:val="TableContents"/>
              <w:bidi w:val="0"/>
              <w:spacing w:before="0" w:after="283"/>
              <w:jc w:val="left"/>
              <w:rPr/>
            </w:pPr>
            <w:r>
              <w:rPr/>
              <w:t> </w:t>
            </w:r>
            <w:bookmarkStart w:id="1088" w:name="xdx_40B_eus-gaap--NotesPayable_iS_zhm0hh"/>
            <w:bookmarkEnd w:id="1088"/>
          </w:p>
        </w:tc>
      </w:tr>
      <w:tr>
        <w:trPr/>
        <w:tc>
          <w:tcPr>
            <w:tcW w:w="49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1,856</w:t>
            </w:r>
          </w:p>
        </w:tc>
        <w:tc>
          <w:tcPr>
            <w:tcW w:w="110" w:type="dxa"/>
            <w:tcBorders/>
            <w:shd w:fill="CCEEFF" w:val="clear"/>
            <w:vAlign w:val="center"/>
          </w:tcPr>
          <w:p>
            <w:pPr>
              <w:pStyle w:val="TableContents"/>
              <w:bidi w:val="0"/>
              <w:spacing w:before="0" w:after="283"/>
              <w:jc w:val="left"/>
              <w:rPr/>
            </w:pPr>
            <w:r>
              <w:rPr/>
              <w:t> </w:t>
            </w:r>
            <w:bookmarkStart w:id="1089" w:name="xdx_407_ecustom--IssuanceOfLongTermDebt_"/>
            <w:bookmarkEnd w:id="1089"/>
          </w:p>
        </w:tc>
      </w:tr>
      <w:tr>
        <w:trPr/>
        <w:tc>
          <w:tcPr>
            <w:tcW w:w="4940" w:type="dxa"/>
            <w:tcBorders/>
            <w:shd w:fill="FFFFFF" w:val="clear"/>
            <w:vAlign w:val="center"/>
          </w:tcPr>
          <w:p>
            <w:pPr>
              <w:pStyle w:val="TableContents"/>
              <w:bidi w:val="0"/>
              <w:spacing w:before="0" w:after="283"/>
              <w:jc w:val="left"/>
              <w:rPr/>
            </w:pPr>
            <w:r>
              <w:rPr/>
              <w:t>Issuance of Private Placement Convertible Notes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2,121</w:t>
            </w:r>
          </w:p>
        </w:tc>
        <w:tc>
          <w:tcPr>
            <w:tcW w:w="110" w:type="dxa"/>
            <w:tcBorders/>
            <w:shd w:fill="FFFFFF" w:val="clear"/>
            <w:vAlign w:val="center"/>
          </w:tcPr>
          <w:p>
            <w:pPr>
              <w:pStyle w:val="TableContents"/>
              <w:bidi w:val="0"/>
              <w:spacing w:before="0" w:after="283"/>
              <w:jc w:val="left"/>
              <w:rPr/>
            </w:pPr>
            <w:r>
              <w:rPr/>
              <w:t> </w:t>
            </w:r>
            <w:bookmarkStart w:id="1090" w:name="xdx_40F_ecustom--GainsLossesOnDebtIssuan"/>
            <w:bookmarkEnd w:id="1090"/>
          </w:p>
        </w:tc>
      </w:tr>
      <w:tr>
        <w:trPr/>
        <w:tc>
          <w:tcPr>
            <w:tcW w:w="494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1,039</w:t>
            </w:r>
          </w:p>
        </w:tc>
        <w:tc>
          <w:tcPr>
            <w:tcW w:w="110" w:type="dxa"/>
            <w:tcBorders/>
            <w:shd w:fill="CCEEFF" w:val="clear"/>
            <w:vAlign w:val="center"/>
          </w:tcPr>
          <w:p>
            <w:pPr>
              <w:pStyle w:val="TableContents"/>
              <w:bidi w:val="0"/>
              <w:spacing w:before="0" w:after="283"/>
              <w:jc w:val="left"/>
              <w:rPr/>
            </w:pPr>
            <w:r>
              <w:rPr/>
              <w:t> </w:t>
            </w:r>
            <w:bookmarkStart w:id="1091" w:name="xdx_400_ecustom--ChangeInFairValueOfLong"/>
            <w:bookmarkEnd w:id="1091"/>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(391</w:t>
            </w:r>
          </w:p>
        </w:tc>
        <w:tc>
          <w:tcPr>
            <w:tcW w:w="110" w:type="dxa"/>
            <w:tcBorders/>
            <w:shd w:fill="FFFFFF" w:val="clear"/>
            <w:vAlign w:val="center"/>
          </w:tcPr>
          <w:p>
            <w:pPr>
              <w:pStyle w:val="TableContents"/>
              <w:bidi w:val="0"/>
              <w:spacing w:before="0" w:after="283"/>
              <w:jc w:val="left"/>
              <w:rPr/>
            </w:pPr>
            <w:r>
              <w:rPr/>
              <w:t>)</w:t>
            </w:r>
            <w:bookmarkStart w:id="1092" w:name="xdx_404_ecustom--ConversionsOfLongTermDe"/>
            <w:bookmarkEnd w:id="1092"/>
          </w:p>
        </w:tc>
      </w:tr>
      <w:tr>
        <w:trPr/>
        <w:tc>
          <w:tcPr>
            <w:tcW w:w="4940"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w:t>
            </w:r>
            <w:bookmarkStart w:id="1093" w:name="xdx_40E_eus-gaap--NotesPayable_iE_z2cG2Q"/>
            <w:bookmarkEnd w:id="1093"/>
          </w:p>
        </w:tc>
      </w:tr>
      <w:tr>
        <w:trPr/>
        <w:tc>
          <w:tcPr>
            <w:tcW w:w="494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4" w:name="xdx_401_eus-gaap--LongTermNotesPayable_i"/>
            <w:bookmarkEnd w:id="1094"/>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1,556</w:t>
            </w:r>
          </w:p>
        </w:tc>
        <w:tc>
          <w:tcPr>
            <w:tcW w:w="110" w:type="dxa"/>
            <w:tcBorders/>
            <w:shd w:fill="FFFFFF" w:val="clear"/>
            <w:vAlign w:val="center"/>
          </w:tcPr>
          <w:p>
            <w:pPr>
              <w:pStyle w:val="TableContents"/>
              <w:bidi w:val="0"/>
              <w:spacing w:before="0" w:after="283"/>
              <w:jc w:val="left"/>
              <w:rPr/>
            </w:pPr>
            <w:r>
              <w:rPr/>
              <w:t> </w:t>
            </w:r>
            <w:bookmarkStart w:id="1095" w:name="xdx_40D_ecustom--InterestPayableOnLongTe"/>
            <w:bookmarkEnd w:id="1095"/>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96" w:name="xdx_8A5_zXfws3XCALU8"/>
      <w:bookmarkEnd w:id="109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promissory note (the “Boot Capital Note”) for an aggregate principal amount of $</w:t>
      </w:r>
      <w:bookmarkStart w:id="1097" w:name="xdx_908_eus-gaap--DebtInstrumentFaceAmou"/>
      <w:bookmarkEnd w:id="1097"/>
      <w:r>
        <w:rPr>
          <w:rFonts w:ascii="Times New Roman;Times;Serif" w:hAnsi="Times New Roman;Times;Serif"/>
          <w:b w:val="false"/>
          <w:i w:val="false"/>
          <w:caps w:val="false"/>
          <w:smallCaps w:val="false"/>
          <w:sz w:val="20"/>
        </w:rPr>
        <w:t>115 and received $</w:t>
      </w:r>
      <w:bookmarkStart w:id="1098" w:name="xdx_908_eus-gaap--ProceedsFromIssuanceOf"/>
      <w:bookmarkEnd w:id="1098"/>
      <w:r>
        <w:rPr>
          <w:rFonts w:ascii="Times New Roman;Times;Serif" w:hAnsi="Times New Roman;Times;Serif"/>
          <w:b w:val="false"/>
          <w:i w:val="false"/>
          <w:caps w:val="false"/>
          <w:smallCaps w:val="false"/>
          <w:sz w:val="20"/>
        </w:rPr>
        <w:t>100 of proceeds, net of an original discount of $</w:t>
      </w:r>
      <w:bookmarkStart w:id="1099" w:name="xdx_905_eus-gaap--DebtInstrumentUnamorti"/>
      <w:bookmarkEnd w:id="1099"/>
      <w:r>
        <w:rPr>
          <w:rFonts w:ascii="Times New Roman;Times;Serif" w:hAnsi="Times New Roman;Times;Serif"/>
          <w:b w:val="false"/>
          <w:i w:val="false"/>
          <w:caps w:val="false"/>
          <w:smallCaps w:val="false"/>
          <w:sz w:val="20"/>
        </w:rPr>
        <w:t xml:space="preserve">15, with a maturity date of </w:t>
      </w:r>
      <w:bookmarkStart w:id="1100" w:name="xdx_901_eus-gaap--DebtInstrumentMaturity"/>
      <w:bookmarkEnd w:id="1100"/>
      <w:r>
        <w:rPr>
          <w:rFonts w:ascii="Times New Roman;Times;Serif" w:hAnsi="Times New Roman;Times;Serif"/>
          <w:b w:val="false"/>
          <w:i w:val="false"/>
          <w:caps w:val="false"/>
          <w:smallCaps w:val="false"/>
          <w:sz w:val="20"/>
        </w:rPr>
        <w:t xml:space="preserve">August 30, 2026. The stated interest rate on the Boot Capital Note is </w:t>
      </w:r>
      <w:bookmarkStart w:id="1101" w:name="xdx_90E_eus-gaap--DebtInstrumentInterest"/>
      <w:bookmarkEnd w:id="1101"/>
      <w:r>
        <w:rPr>
          <w:rFonts w:ascii="Times New Roman;Times;Serif" w:hAnsi="Times New Roman;Times;Serif"/>
          <w:b w:val="false"/>
          <w:i w:val="false"/>
          <w:caps w:val="false"/>
          <w:smallCaps w:val="false"/>
          <w:sz w:val="20"/>
        </w:rPr>
        <w:t>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w:t>
      </w:r>
      <w:bookmarkStart w:id="1102" w:name="xdx_90D_ecustom--PercentageOfCommonStock"/>
      <w:bookmarkEnd w:id="1102"/>
      <w:r>
        <w:rPr>
          <w:rFonts w:ascii="Times New Roman;Times;Serif" w:hAnsi="Times New Roman;Times;Serif"/>
          <w:b w:val="false"/>
          <w:i w:val="false"/>
          <w:caps w:val="false"/>
          <w:smallCaps w:val="false"/>
          <w:sz w:val="20"/>
        </w:rPr>
        <w:t xml:space="preserve">4.99% of the Company’s outstanding shares of Common Stock. </w:t>
      </w:r>
      <w:bookmarkStart w:id="1103" w:name="xdx_905_eus-gaap--DebtInstrumentConverti"/>
      <w:bookmarkEnd w:id="1103"/>
      <w:r>
        <w:rPr>
          <w:rFonts w:ascii="Times New Roman;Times;Serif" w:hAnsi="Times New Roman;Times;Serif"/>
          <w:b w:val="false"/>
          <w:i w:val="false"/>
          <w:caps w:val="false"/>
          <w:smallCaps w:val="false"/>
          <w:sz w:val="20"/>
        </w:rPr>
        <w:t xml:space="preserve">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w:t>
      </w:r>
      <w:bookmarkStart w:id="1104" w:name="xdx_906_eus-gaap--DebtInstrumentConverti"/>
      <w:bookmarkEnd w:id="1104"/>
      <w:r>
        <w:rPr>
          <w:rFonts w:ascii="Times New Roman;Times;Serif" w:hAnsi="Times New Roman;Times;Serif"/>
          <w:b w:val="false"/>
          <w:i w:val="false"/>
          <w:caps w:val="false"/>
          <w:smallCaps w:val="false"/>
          <w:sz w:val="20"/>
        </w:rPr>
        <w:t>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05" w:name="xdx_897_eus-gaap--ScheduleOfDebtInstrume"/>
      <w:bookmarkEnd w:id="1105"/>
      <w:r>
        <w:rPr>
          <w:rFonts w:ascii="Times New Roman;Times;Serif" w:hAnsi="Times New Roman;Times;Serif"/>
          <w:b w:val="false"/>
          <w:i w:val="false"/>
          <w:caps w:val="false"/>
          <w:smallCaps w:val="false"/>
          <w:sz w:val="20"/>
        </w:rPr>
        <w:t>The following table presents the Boot Capital Convertible Note as of March 31, 2026:</w:t>
      </w:r>
    </w:p>
    <w:p>
      <w:pPr>
        <w:pStyle w:val="TextBody"/>
        <w:bidi w:val="0"/>
        <w:spacing w:before="0" w:after="0"/>
        <w:ind w:left="0" w:right="0" w:hanging="0"/>
        <w:jc w:val="left"/>
        <w:rPr>
          <w:caps w:val="false"/>
          <w:smallCaps w:val="false"/>
        </w:rPr>
      </w:pPr>
      <w:r>
        <w:rPr>
          <w:caps w:val="false"/>
          <w:smallCaps w:val="false"/>
        </w:rPr>
        <w:t> </w:t>
      </w:r>
      <w:bookmarkStart w:id="1106" w:name="xdx_8B2_zvjxp3BOafnj"/>
      <w:bookmarkEnd w:id="1106"/>
      <w:r>
        <w:rPr>
          <w:rFonts w:ascii="Times New Roman;Times;Serif" w:hAnsi="Times New Roman;Times;Serif"/>
          <w:b w:val="false"/>
          <w:i w:val="false"/>
          <w:caps w:val="false"/>
          <w:smallCaps w:val="false"/>
          <w:sz w:val="20"/>
        </w:rPr>
        <w:t>Summary of Notes</w:t>
      </w:r>
    </w:p>
    <w:tbl>
      <w:tblPr>
        <w:tblW w:w="6384" w:type="dxa"/>
        <w:jc w:val="left"/>
        <w:tblInd w:w="0" w:type="dxa"/>
        <w:tblLayout w:type="fixed"/>
        <w:tblCellMar>
          <w:top w:w="0" w:type="dxa"/>
          <w:left w:w="0" w:type="dxa"/>
          <w:bottom w:w="0" w:type="dxa"/>
          <w:right w:w="0" w:type="dxa"/>
        </w:tblCellMar>
      </w:tblPr>
      <w:tblGrid>
        <w:gridCol w:w="4940"/>
        <w:gridCol w:w="60"/>
        <w:gridCol w:w="352"/>
        <w:gridCol w:w="957"/>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07" w:name="xdx_49B_20260101__20260331__us-gaap--Lon"/>
            <w:bookmarkEnd w:id="1107"/>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Boot Capital</w:t>
            </w:r>
          </w:p>
        </w:tc>
        <w:tc>
          <w:tcPr>
            <w:tcW w:w="75" w:type="dxa"/>
            <w:tcBorders/>
            <w:vAlign w:val="center"/>
          </w:tcPr>
          <w:p>
            <w:pPr>
              <w:pStyle w:val="TableContents"/>
              <w:bidi w:val="0"/>
              <w:spacing w:before="0" w:after="283"/>
              <w:jc w:val="left"/>
              <w:rPr/>
            </w:pPr>
            <w:r>
              <w:rPr/>
              <w:t> </w:t>
            </w:r>
            <w:bookmarkStart w:id="1108" w:name="xdx_40B_eus-gaap--NotesPayable_iS_z9LpZu"/>
            <w:bookmarkEnd w:id="1108"/>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bookmarkStart w:id="1109" w:name="xdx_400_ecustom--ChangeInFairValueOfLong"/>
            <w:bookmarkEnd w:id="1109"/>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bookmarkStart w:id="1110" w:name="xdx_40E_eus-gaap--NotesPayable_iE_z1BGQJ"/>
            <w:bookmarkEnd w:id="1110"/>
          </w:p>
        </w:tc>
      </w:tr>
      <w:tr>
        <w:trPr/>
        <w:tc>
          <w:tcPr>
            <w:tcW w:w="494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123</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111" w:name="xdx_401_eus-gaap--LongTermNotesPayable_i"/>
            <w:bookmarkEnd w:id="1111"/>
          </w:p>
        </w:tc>
      </w:tr>
      <w:tr>
        <w:trPr/>
        <w:tc>
          <w:tcPr>
            <w:tcW w:w="4940" w:type="dxa"/>
            <w:tcBorders/>
            <w:shd w:fill="CCEEFF" w:val="clear"/>
            <w:vAlign w:val="center"/>
          </w:tcPr>
          <w:p>
            <w:pPr>
              <w:pStyle w:val="TableContents"/>
              <w:bidi w:val="0"/>
              <w:spacing w:before="0" w:after="283"/>
              <w:jc w:val="left"/>
              <w:rPr/>
            </w:pPr>
            <w:r>
              <w:rPr/>
              <w:t>Outstanding principal balance as of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bookmarkStart w:id="1112" w:name="xdx_40D_ecustom--InterestPayableOnLongTe"/>
            <w:bookmarkEnd w:id="1112"/>
          </w:p>
        </w:tc>
      </w:tr>
      <w:tr>
        <w:trPr/>
        <w:tc>
          <w:tcPr>
            <w:tcW w:w="4940" w:type="dxa"/>
            <w:tcBorders/>
            <w:shd w:fill="FFFFFF" w:val="clear"/>
            <w:vAlign w:val="center"/>
          </w:tcPr>
          <w:p>
            <w:pPr>
              <w:pStyle w:val="TableContents"/>
              <w:bidi w:val="0"/>
              <w:spacing w:before="0" w:after="283"/>
              <w:jc w:val="left"/>
              <w:rPr/>
            </w:pPr>
            <w:r>
              <w:rPr/>
              <w:t>Accrued interest as of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957"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13" w:name="xdx_8AF_zT1Er3Z3cu7h"/>
      <w:bookmarkEnd w:id="111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14" w:name="xdx_808_eus-gaap--DerivativeInstrumentsA"/>
      <w:bookmarkEnd w:id="1114"/>
      <w:r>
        <w:rPr>
          <w:rFonts w:ascii="Times New Roman;Times;Serif" w:hAnsi="Times New Roman;Times;Serif"/>
          <w:b/>
          <w:i w:val="false"/>
          <w:caps w:val="false"/>
          <w:smallCaps w:val="false"/>
          <w:sz w:val="20"/>
        </w:rPr>
        <w:t xml:space="preserve">12. </w:t>
      </w:r>
      <w:bookmarkStart w:id="1115" w:name="xdx_820_zYgk3A5NhRbd"/>
      <w:bookmarkEnd w:id="1115"/>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Public Warrants in the Merger, exercisable into </w:t>
      </w:r>
      <w:bookmarkStart w:id="1116" w:name="xdx_907_eus-gaap--ClassOfWarrantOrRightO"/>
      <w:bookmarkEnd w:id="1116"/>
      <w:r>
        <w:rPr>
          <w:rFonts w:ascii="Times New Roman;Times;Serif" w:hAnsi="Times New Roman;Times;Serif"/>
          <w:b w:val="false"/>
          <w:i w:val="false"/>
          <w:caps w:val="false"/>
          <w:smallCaps w:val="false"/>
          <w:sz w:val="20"/>
        </w:rPr>
        <w:t xml:space="preserve">1,150 shares of Common Stock of the Company, and which remained outstanding as of March 31, 2026. </w:t>
      </w:r>
      <w:bookmarkStart w:id="1117" w:name="xdx_90B_ecustom--WarrantsExercisePriceDe"/>
      <w:bookmarkEnd w:id="1117"/>
      <w:r>
        <w:rPr>
          <w:rFonts w:ascii="Times New Roman;Times;Serif" w:hAnsi="Times New Roman;Times;Serif"/>
          <w:b w:val="false"/>
          <w:i w:val="false"/>
          <w:caps w:val="false"/>
          <w:smallCaps w:val="false"/>
          <w:sz w:val="20"/>
        </w:rPr>
        <w:t>The Public Warrants have an exercise price of $</w:t>
      </w:r>
      <w:bookmarkStart w:id="1118" w:name="xdx_907_eus-gaap--ClassOfWarrantOrRightE"/>
      <w:bookmarkEnd w:id="1118"/>
      <w:r>
        <w:rPr>
          <w:rFonts w:ascii="Times New Roman;Times;Serif" w:hAnsi="Times New Roman;Times;Serif"/>
          <w:b w:val="false"/>
          <w:i w:val="false"/>
          <w:caps w:val="false"/>
          <w:smallCaps w:val="false"/>
          <w:sz w:val="20"/>
        </w:rPr>
        <w:t xml:space="preserve">115,000.00 per share, subject to adjustments, and will expire </w:t>
      </w:r>
      <w:bookmarkStart w:id="1119" w:name="xdx_90E_ecustom--WarrantExpirationPeriod"/>
      <w:bookmarkEnd w:id="1119"/>
      <w:r>
        <w:rPr>
          <w:rFonts w:ascii="Times New Roman;Times;Serif" w:hAnsi="Times New Roman;Times;Serif"/>
          <w:b w:val="false"/>
          <w:i w:val="false"/>
          <w:caps w:val="false"/>
          <w:smallCaps w:val="false"/>
          <w:sz w:val="20"/>
        </w:rPr>
        <w:t>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w:t>
      </w:r>
      <w:bookmarkStart w:id="1120" w:name="xdx_90C_ecustom--WarrantsExercisable_iI_"/>
      <w:bookmarkEnd w:id="1120"/>
      <w:r>
        <w:rPr>
          <w:rFonts w:ascii="Times New Roman;Times;Serif" w:hAnsi="Times New Roman;Times;Serif"/>
          <w:b w:val="false"/>
          <w:i w:val="false"/>
          <w:caps w:val="false"/>
          <w:smallCaps w:val="false"/>
          <w:sz w:val="20"/>
        </w:rPr>
        <w:t xml:space="preserve">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w:t>
      </w:r>
      <w:bookmarkStart w:id="1121" w:name="xdx_90A_ecustom--ContractualTerm_dtD_c20"/>
      <w:bookmarkEnd w:id="1121"/>
      <w:r>
        <w:rPr>
          <w:rFonts w:ascii="Times New Roman;Times;Serif" w:hAnsi="Times New Roman;Times;Serif"/>
          <w:b w:val="false"/>
          <w:i w:val="false"/>
          <w:caps w:val="false"/>
          <w:smallCaps w:val="false"/>
          <w:sz w:val="20"/>
        </w:rPr>
        <w:t>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w:t>
      </w:r>
      <w:bookmarkStart w:id="1122" w:name="xdx_909_ecustom--ClassOfWarrantOrRightRe"/>
      <w:bookmarkEnd w:id="1122"/>
      <w:r>
        <w:rPr>
          <w:rFonts w:ascii="Times New Roman;Times;Serif" w:hAnsi="Times New Roman;Times;Serif"/>
          <w:b w:val="false"/>
          <w:i/>
          <w:caps w:val="false"/>
          <w:smallCaps w:val="false"/>
          <w:sz w:val="20"/>
        </w:rPr>
        <w:t>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23" w:name="xdx_90C_ecustom--WarrantsExercisableDesc"/>
      <w:bookmarkEnd w:id="1123"/>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hanging="0"/>
        <w:jc w:val="both"/>
        <w:rPr>
          <w:caps w:val="false"/>
          <w:smallCaps w:val="false"/>
        </w:rPr>
      </w:pPr>
      <w:bookmarkStart w:id="1124" w:name="xdx_C0A_gIFWED-UTF_zEBXWPBUH2ei"/>
      <w:bookmarkEnd w:id="1124"/>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w:t>
            </w:r>
            <w:bookmarkStart w:id="1125" w:name="xdx_904_ecustom--ClassOfWarrantOrRightRe"/>
            <w:bookmarkEnd w:id="1125"/>
            <w:r>
              <w:rPr>
                <w:rFonts w:ascii="Times New Roman;Times;Serif" w:hAnsi="Times New Roman;Times;Serif"/>
                <w:b w:val="false"/>
                <w:i w:val="false"/>
                <w:caps w:val="false"/>
                <w:smallCaps w:val="false"/>
                <w:sz w:val="20"/>
              </w:rPr>
              <w:t>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126" w:name="xdx_C0B_gIFWED-UTF_zclc5aCwskl3"/>
      <w:bookmarkEnd w:id="11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w:t>
      </w:r>
      <w:bookmarkStart w:id="1127" w:name="xdx_901_ecustom--ClassOfWarrantOrRightRe"/>
      <w:bookmarkEnd w:id="1127"/>
      <w:r>
        <w:rPr>
          <w:rFonts w:ascii="Times New Roman;Times;Serif" w:hAnsi="Times New Roman;Times;Serif"/>
          <w:b w:val="false"/>
          <w:i w:val="false"/>
          <w:caps w:val="false"/>
          <w:smallCaps w:val="false"/>
          <w:sz w:val="20"/>
        </w:rPr>
        <w:t>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w:t>
      </w:r>
      <w:bookmarkStart w:id="1128" w:name="xdx_90A_eus-gaap--ClassOfWarrantOrRightE"/>
      <w:bookmarkEnd w:id="1128"/>
      <w:r>
        <w:rPr>
          <w:rFonts w:ascii="Times New Roman;Times;Serif" w:hAnsi="Times New Roman;Times;Serif"/>
          <w:b w:val="false"/>
          <w:i w:val="false"/>
          <w:caps w:val="false"/>
          <w:smallCaps w:val="false"/>
          <w:sz w:val="20"/>
        </w:rPr>
        <w:t>115,000.00 per share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29" w:name="xdx_905_ecustom--FractionalSharesIssuedU"/>
      <w:bookmarkEnd w:id="1129"/>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w:t>
      </w:r>
      <w:bookmarkStart w:id="1130" w:name="xdx_907_ecustom--WarrantsPurchased_iI_pi"/>
      <w:bookmarkEnd w:id="1130"/>
      <w:r>
        <w:rPr>
          <w:rFonts w:ascii="Times New Roman;Times;Serif" w:hAnsi="Times New Roman;Times;Serif"/>
          <w:b w:val="false"/>
          <w:i w:val="false"/>
          <w:caps w:val="false"/>
          <w:smallCaps w:val="false"/>
          <w:sz w:val="20"/>
        </w:rPr>
        <w:t>83 shares at an exercise price of $</w:t>
      </w:r>
      <w:bookmarkStart w:id="1131" w:name="xdx_902_eus-gaap--ClassOfWarrantOrRightE"/>
      <w:bookmarkEnd w:id="1131"/>
      <w:r>
        <w:rPr>
          <w:rFonts w:ascii="Times New Roman;Times;Serif" w:hAnsi="Times New Roman;Times;Serif"/>
          <w:b w:val="false"/>
          <w:i w:val="false"/>
          <w:caps w:val="false"/>
          <w:smallCaps w:val="false"/>
          <w:sz w:val="20"/>
        </w:rPr>
        <w:t xml:space="preserve">64,900.00 per share. </w:t>
      </w:r>
      <w:bookmarkStart w:id="1132" w:name="xdx_904_ecustom--WarrantsExercisePriceDe"/>
      <w:bookmarkEnd w:id="1132"/>
      <w:r>
        <w:rPr>
          <w:rFonts w:ascii="Times New Roman;Times;Serif" w:hAnsi="Times New Roman;Times;Serif"/>
          <w:b w:val="false"/>
          <w:i w:val="false"/>
          <w:caps w:val="false"/>
          <w:smallCaps w:val="false"/>
          <w:sz w:val="20"/>
        </w:rPr>
        <w:t>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w:t>
      </w:r>
      <w:bookmarkStart w:id="1133" w:name="xdx_907_ecustom--ClassOfWarrantOrRightSt"/>
      <w:bookmarkEnd w:id="1133"/>
      <w:r>
        <w:rPr>
          <w:rFonts w:ascii="Times New Roman;Times;Serif" w:hAnsi="Times New Roman;Times;Serif"/>
          <w:b w:val="false"/>
          <w:i w:val="false"/>
          <w:caps w:val="false"/>
          <w:smallCaps w:val="false"/>
          <w:sz w:val="20"/>
        </w:rPr>
        <w:t>366.00.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Warrant may not be exercised if such exercise would result in the beneficial ownership of the holder and its affiliates in excess of </w:t>
      </w:r>
      <w:bookmarkStart w:id="1134" w:name="xdx_902_ecustom--ClassOfWarrantsOrRights"/>
      <w:bookmarkEnd w:id="1134"/>
      <w:r>
        <w:rPr>
          <w:rFonts w:ascii="Times New Roman;Times;Serif" w:hAnsi="Times New Roman;Times;Serif"/>
          <w:b w:val="false"/>
          <w:i w:val="false"/>
          <w:caps w:val="false"/>
          <w:smallCaps w:val="false"/>
          <w:sz w:val="20"/>
        </w:rPr>
        <w:t>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35" w:name="xdx_804_eus-gaap--CommitmentsAndContinge"/>
      <w:bookmarkEnd w:id="1135"/>
      <w:r>
        <w:rPr>
          <w:rFonts w:ascii="Times New Roman;Times;Serif" w:hAnsi="Times New Roman;Times;Serif"/>
          <w:b/>
          <w:i w:val="false"/>
          <w:caps w:val="false"/>
          <w:smallCaps w:val="false"/>
          <w:sz w:val="20"/>
        </w:rPr>
        <w:t xml:space="preserve">13. </w:t>
      </w:r>
      <w:bookmarkStart w:id="1136" w:name="xdx_82E_zv3ljnBIEmZ3"/>
      <w:bookmarkEnd w:id="113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7" w:name="xdx_89B_ecustom--ScheduleOfSupplementalC"/>
      <w:bookmarkEnd w:id="1137"/>
      <w:r>
        <w:rPr>
          <w:rFonts w:ascii="Times New Roman;Times;Serif" w:hAnsi="Times New Roman;Times;Serif"/>
          <w:b w:val="false"/>
          <w:i w:val="false"/>
          <w:caps w:val="false"/>
          <w:smallCaps w:val="false"/>
          <w:sz w:val="20"/>
        </w:rPr>
        <w:t>The Company has an operating lease for its office space. 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bookmarkStart w:id="1138" w:name="xdx_8BB_z7tgW5WIwm8a"/>
      <w:bookmarkEnd w:id="1138"/>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0" w:type="dxa"/>
          <w:right w:w="0" w:type="dxa"/>
        </w:tblCellMar>
      </w:tblPr>
      <w:tblGrid>
        <w:gridCol w:w="6182"/>
        <w:gridCol w:w="60"/>
        <w:gridCol w:w="657"/>
        <w:gridCol w:w="1011"/>
        <w:gridCol w:w="316"/>
        <w:gridCol w:w="199"/>
        <w:gridCol w:w="657"/>
        <w:gridCol w:w="1011"/>
        <w:gridCol w:w="112"/>
      </w:tblGrid>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bookmarkStart w:id="1139" w:name="xdx_496_20260101__20260331_zHToGh9ijYGc"/>
            <w:bookmarkEnd w:id="1139"/>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bookmarkStart w:id="1140" w:name="xdx_494_20250101__20250331_z7YzUuWGcsVg"/>
            <w:bookmarkEnd w:id="1140"/>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41" w:name="xdx_404_ecustom--NoncashLeaseExpenseInOp"/>
            <w:bookmarkEnd w:id="1141"/>
          </w:p>
        </w:tc>
      </w:tr>
      <w:tr>
        <w:trPr/>
        <w:tc>
          <w:tcPr>
            <w:tcW w:w="6182" w:type="dxa"/>
            <w:tcBorders/>
            <w:shd w:fill="FFFFFF" w:val="clear"/>
            <w:vAlign w:val="center"/>
          </w:tcPr>
          <w:p>
            <w:pPr>
              <w:pStyle w:val="TableContents"/>
              <w:bidi w:val="0"/>
              <w:spacing w:before="0" w:after="283"/>
              <w:jc w:val="left"/>
              <w:rPr/>
            </w:pPr>
            <w:r>
              <w:rPr/>
              <w:t>Non-cash lease expense (operating cash flow)</w:t>
            </w:r>
          </w:p>
        </w:tc>
        <w:tc>
          <w:tcPr>
            <w:tcW w:w="60"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7</w:t>
            </w:r>
          </w:p>
        </w:tc>
        <w:tc>
          <w:tcPr>
            <w:tcW w:w="31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bookmarkStart w:id="1142" w:name="xdx_40A_ecustom--IncreaseDecreaseInLease"/>
            <w:bookmarkEnd w:id="1142"/>
          </w:p>
        </w:tc>
      </w:tr>
      <w:tr>
        <w:trPr/>
        <w:tc>
          <w:tcPr>
            <w:tcW w:w="6182" w:type="dxa"/>
            <w:tcBorders/>
            <w:shd w:fill="CCEEFF" w:val="clear"/>
            <w:vAlign w:val="center"/>
          </w:tcPr>
          <w:p>
            <w:pPr>
              <w:pStyle w:val="TableContents"/>
              <w:bidi w:val="0"/>
              <w:spacing w:before="0" w:after="283"/>
              <w:jc w:val="left"/>
              <w:rPr/>
            </w:pPr>
            <w:r>
              <w:rPr/>
              <w:t>Change in lease liabilities (operating cash flow)</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w:t>
            </w:r>
          </w:p>
        </w:tc>
        <w:tc>
          <w:tcPr>
            <w:tcW w:w="316"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43" w:name="xdx_8AB_zW32fLRsxdCj"/>
      <w:bookmarkEnd w:id="114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Sidley Austin LLP (“Sidley”) for previously provided legal services (the “Sidley Repayment Agreement”). Under the Sidley Repayment Agreement, the Company’s outstanding fees have been lowered from $</w:t>
      </w:r>
      <w:bookmarkStart w:id="1144" w:name="xdx_90A_eus-gaap--DebtInstrumentFeeAmoun"/>
      <w:bookmarkEnd w:id="1144"/>
      <w:r>
        <w:rPr>
          <w:rFonts w:ascii="Times New Roman;Times;Serif" w:hAnsi="Times New Roman;Times;Serif"/>
          <w:b w:val="false"/>
          <w:i w:val="false"/>
          <w:caps w:val="false"/>
          <w:smallCaps w:val="false"/>
          <w:sz w:val="20"/>
        </w:rPr>
        <w:t>4,816 to $</w:t>
      </w:r>
      <w:bookmarkStart w:id="1145" w:name="xdx_906_eus-gaap--DebtInstrumentFeeAmoun"/>
      <w:bookmarkEnd w:id="1145"/>
      <w:r>
        <w:rPr>
          <w:rFonts w:ascii="Times New Roman;Times;Serif" w:hAnsi="Times New Roman;Times;Serif"/>
          <w:b w:val="false"/>
          <w:i w:val="false"/>
          <w:caps w:val="false"/>
          <w:smallCaps w:val="false"/>
          <w:sz w:val="20"/>
        </w:rPr>
        <w:t xml:space="preserve">1,605 (the “Sidley Unpaid Fee”). Under the Sidley Repayment Agreement, the Company agrees to </w:t>
      </w:r>
      <w:bookmarkStart w:id="1146" w:name="xdx_90E_eus-gaap--DebtInstrumentFrequenc"/>
      <w:bookmarkEnd w:id="1146"/>
      <w:r>
        <w:rPr>
          <w:rFonts w:ascii="Times New Roman;Times;Serif" w:hAnsi="Times New Roman;Times;Serif"/>
          <w:b w:val="false"/>
          <w:i w:val="false"/>
          <w:caps w:val="false"/>
          <w:smallCaps w:val="false"/>
          <w:sz w:val="20"/>
        </w:rPr>
        <w:t xml:space="preserve">12 monthly payments that Sidley applies to the balance of the Sidley </w:t>
      </w:r>
      <w:bookmarkStart w:id="1147" w:name="xdx_909_ecustom--UnpaidFeeDescription_c2"/>
      <w:bookmarkEnd w:id="1147"/>
      <w:r>
        <w:rPr>
          <w:rFonts w:ascii="Times New Roman;Times;Serif" w:hAnsi="Times New Roman;Times;Serif"/>
          <w:b w:val="false"/>
          <w:i w:val="false"/>
          <w:caps w:val="false"/>
          <w:smallCaps w:val="false"/>
          <w:sz w:val="20"/>
        </w:rPr>
        <w:t xml:space="preserve">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w:t>
      </w:r>
      <w:bookmarkStart w:id="1148" w:name="xdx_909_ecustom--ShortfallAccruedInteres"/>
      <w:bookmarkEnd w:id="1148"/>
      <w:r>
        <w:rPr>
          <w:rFonts w:ascii="Times New Roman;Times;Serif" w:hAnsi="Times New Roman;Times;Serif"/>
          <w:b w:val="false"/>
          <w:i w:val="false"/>
          <w:caps w:val="false"/>
          <w:smallCaps w:val="false"/>
          <w:sz w:val="20"/>
        </w:rPr>
        <w:t>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w:t>
      </w:r>
      <w:bookmarkStart w:id="1149" w:name="xdx_90E_eus-gaap--GainsLossesOnExtinguis"/>
      <w:bookmarkEnd w:id="1149"/>
      <w:r>
        <w:rPr>
          <w:rFonts w:ascii="Times New Roman;Times;Serif" w:hAnsi="Times New Roman;Times;Serif"/>
          <w:b w:val="false"/>
          <w:i w:val="false"/>
          <w:caps w:val="false"/>
          <w:smallCaps w:val="false"/>
          <w:sz w:val="20"/>
        </w:rPr>
        <w:t xml:space="preserve">3.2 million, recognized within gain on extinguishment of liabilities on the </w:t>
      </w:r>
      <w:r>
        <w:rPr>
          <w:rFonts w:ascii="Times New Roman;Times;Serif" w:hAnsi="Times New Roman;Times;Serif"/>
          <w:b w:val="false"/>
          <w:i w:val="false"/>
          <w:caps w:val="false"/>
          <w:smallCaps w:val="false"/>
          <w:sz w:val="20"/>
          <w:shd w:fill="FFFFFF" w:val="clear"/>
        </w:rPr>
        <w:t>unaudited condensed consolidated statements of operations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w:t>
      </w:r>
      <w:bookmarkStart w:id="1150" w:name="xdx_901_eus-gaap--DebtInstrumentFeeAmoun"/>
      <w:bookmarkEnd w:id="1150"/>
      <w:r>
        <w:rPr>
          <w:rFonts w:ascii="Times New Roman;Times;Serif" w:hAnsi="Times New Roman;Times;Serif"/>
          <w:b w:val="false"/>
          <w:i w:val="false"/>
          <w:caps w:val="false"/>
          <w:smallCaps w:val="false"/>
          <w:sz w:val="20"/>
        </w:rPr>
        <w:t>1,072 to $</w:t>
      </w:r>
      <w:bookmarkStart w:id="1151" w:name="xdx_905_eus-gaap--DebtInstrumentFeeAmoun"/>
      <w:bookmarkEnd w:id="1151"/>
      <w:r>
        <w:rPr>
          <w:rFonts w:ascii="Times New Roman;Times;Serif" w:hAnsi="Times New Roman;Times;Serif"/>
          <w:b w:val="false"/>
          <w:i w:val="false"/>
          <w:caps w:val="false"/>
          <w:smallCaps w:val="false"/>
          <w:sz w:val="20"/>
        </w:rPr>
        <w:t xml:space="preserve">357 (the “Donnelley Unpaid Fee”). The Donnelley Unpaid Fee will be paid in </w:t>
      </w:r>
      <w:bookmarkStart w:id="1152" w:name="xdx_903_eus-gaap--DebtInstrumentFrequenc"/>
      <w:bookmarkEnd w:id="1152"/>
      <w:r>
        <w:rPr>
          <w:rFonts w:ascii="Times New Roman;Times;Serif" w:hAnsi="Times New Roman;Times;Serif"/>
          <w:b w:val="false"/>
          <w:i w:val="false"/>
          <w:caps w:val="false"/>
          <w:smallCaps w:val="false"/>
          <w:sz w:val="20"/>
        </w:rPr>
        <w:t>12 monthly installments, with the first monthly payment of $</w:t>
      </w:r>
      <w:bookmarkStart w:id="1153" w:name="xdx_90E_eus-gaap--DebtInstrumentPeriodic"/>
      <w:bookmarkEnd w:id="1153"/>
      <w:r>
        <w:rPr>
          <w:rFonts w:ascii="Times New Roman;Times;Serif" w:hAnsi="Times New Roman;Times;Serif"/>
          <w:b w:val="false"/>
          <w:i w:val="false"/>
          <w:caps w:val="false"/>
          <w:smallCaps w:val="false"/>
          <w:sz w:val="20"/>
        </w:rPr>
        <w:t xml:space="preserve">45 due on October 1, 2024; the remaining </w:t>
      </w:r>
      <w:bookmarkStart w:id="1154" w:name="xdx_904_ecustom--NumberOfInstallmentsRem"/>
      <w:bookmarkEnd w:id="1154"/>
      <w:r>
        <w:rPr>
          <w:rFonts w:ascii="Times New Roman;Times;Serif" w:hAnsi="Times New Roman;Times;Serif"/>
          <w:b w:val="false"/>
          <w:i w:val="false"/>
          <w:caps w:val="false"/>
          <w:smallCaps w:val="false"/>
          <w:sz w:val="20"/>
        </w:rPr>
        <w:t>11 payments shall each be in the amount of $</w:t>
      </w:r>
      <w:bookmarkStart w:id="1155" w:name="xdx_90E_ecustom--RemainingMonthlyInstall"/>
      <w:bookmarkEnd w:id="1155"/>
      <w:r>
        <w:rPr>
          <w:rFonts w:ascii="Times New Roman;Times;Serif" w:hAnsi="Times New Roman;Times;Serif"/>
          <w:b w:val="false"/>
          <w:i w:val="false"/>
          <w:caps w:val="false"/>
          <w:smallCaps w:val="false"/>
          <w:sz w:val="20"/>
        </w:rPr>
        <w:t xml:space="preserve">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w:t>
      </w:r>
      <w:bookmarkStart w:id="1156" w:name="xdx_90D_eus-gaap--GainsLossesOnExtinguis"/>
      <w:bookmarkEnd w:id="1156"/>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remaining unpaid balance of $</w:t>
      </w:r>
      <w:bookmarkStart w:id="1157" w:name="xdx_903_eus-gaap--DebtInstrumentFeeAmoun"/>
      <w:bookmarkEnd w:id="1157"/>
      <w:r>
        <w:rPr>
          <w:rFonts w:ascii="Times New Roman;Times;Serif" w:hAnsi="Times New Roman;Times;Serif"/>
          <w:b w:val="false"/>
          <w:i w:val="false"/>
          <w:caps w:val="false"/>
          <w:smallCaps w:val="false"/>
          <w:sz w:val="20"/>
        </w:rPr>
        <w:t>85 is included in accrued expenses and other current liabilities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w:t>
      </w:r>
      <w:bookmarkStart w:id="1158" w:name="xdx_902_eus-gaap--DebtInstrumentFeeAmoun"/>
      <w:bookmarkEnd w:id="1158"/>
      <w:r>
        <w:rPr>
          <w:rFonts w:ascii="Times New Roman;Times;Serif" w:hAnsi="Times New Roman;Times;Serif"/>
          <w:b w:val="false"/>
          <w:i w:val="false"/>
          <w:caps w:val="false"/>
          <w:smallCaps w:val="false"/>
          <w:sz w:val="20"/>
        </w:rPr>
        <w:t>197 (the “Verista Unpaid Fee”). The Company and Verista have agreed that the Verista Unpaid Fee will be repaid with $</w:t>
      </w:r>
      <w:bookmarkStart w:id="1159" w:name="xdx_903_eus-gaap--StockIssuedDuringPerio"/>
      <w:bookmarkEnd w:id="1159"/>
      <w:r>
        <w:rPr>
          <w:rFonts w:ascii="Times New Roman;Times;Serif" w:hAnsi="Times New Roman;Times;Serif"/>
          <w:b w:val="false"/>
          <w:i w:val="false"/>
          <w:caps w:val="false"/>
          <w:smallCaps w:val="false"/>
          <w:sz w:val="20"/>
        </w:rPr>
        <w:t>67 worth of shares of the Company, and $</w:t>
      </w:r>
      <w:bookmarkStart w:id="1160" w:name="xdx_904_ecustom--DebtInstrumentFeeRemain"/>
      <w:bookmarkEnd w:id="1160"/>
      <w:r>
        <w:rPr>
          <w:rFonts w:ascii="Times New Roman;Times;Serif" w:hAnsi="Times New Roman;Times;Serif"/>
          <w:b w:val="false"/>
          <w:i w:val="false"/>
          <w:caps w:val="false"/>
          <w:smallCaps w:val="false"/>
          <w:sz w:val="20"/>
        </w:rPr>
        <w:t xml:space="preserve">130 in </w:t>
      </w:r>
      <w:bookmarkStart w:id="1161" w:name="xdx_902_eus-gaap--DebtInstrumentFrequenc"/>
      <w:bookmarkEnd w:id="1161"/>
      <w:r>
        <w:rPr>
          <w:rFonts w:ascii="Times New Roman;Times;Serif" w:hAnsi="Times New Roman;Times;Serif"/>
          <w:b w:val="false"/>
          <w:i w:val="false"/>
          <w:caps w:val="false"/>
          <w:smallCaps w:val="false"/>
          <w:sz w:val="20"/>
        </w:rPr>
        <w:t>16 equal cash installment payments of $</w:t>
      </w:r>
      <w:bookmarkStart w:id="1162" w:name="xdx_90E_ecustom--RemainingMonthlyInstall"/>
      <w:bookmarkEnd w:id="1162"/>
      <w:r>
        <w:rPr>
          <w:rFonts w:ascii="Times New Roman;Times;Serif" w:hAnsi="Times New Roman;Times;Serif"/>
          <w:b w:val="false"/>
          <w:i w:val="false"/>
          <w:caps w:val="false"/>
          <w:smallCaps w:val="false"/>
          <w:sz w:val="20"/>
        </w:rPr>
        <w:t xml:space="preserve">8 beginning on October 1, 2024, and on the first day of each month thereafter through January 1, 2026. As of March 31, 2026, the Company had issued </w:t>
      </w:r>
      <w:bookmarkStart w:id="1163" w:name="xdx_907_eus-gaap--StockIssuedDuringPerio"/>
      <w:bookmarkEnd w:id="1163"/>
      <w:r>
        <w:rPr>
          <w:rFonts w:ascii="Times New Roman;Times;Serif" w:hAnsi="Times New Roman;Times;Serif"/>
          <w:b w:val="false"/>
          <w:i w:val="false"/>
          <w:caps w:val="false"/>
          <w:smallCaps w:val="false"/>
          <w:sz w:val="20"/>
        </w:rPr>
        <w:t>3,000 shares and made aggregate installment payments of $</w:t>
      </w:r>
      <w:bookmarkStart w:id="1164" w:name="xdx_90E_eus-gaap--DebtInstrumentPeriodic"/>
      <w:bookmarkEnd w:id="1164"/>
      <w:r>
        <w:rPr>
          <w:rFonts w:ascii="Times New Roman;Times;Serif" w:hAnsi="Times New Roman;Times;Serif"/>
          <w:b w:val="false"/>
          <w:i w:val="false"/>
          <w:caps w:val="false"/>
          <w:smallCaps w:val="false"/>
          <w:sz w:val="20"/>
        </w:rPr>
        <w:t>78 to Verista. The remaining unpaid balance of $</w:t>
      </w:r>
      <w:bookmarkStart w:id="1165" w:name="xdx_903_eus-gaap--DebtInstrumentFeeAmoun"/>
      <w:bookmarkEnd w:id="1165"/>
      <w:r>
        <w:rPr>
          <w:rFonts w:ascii="Times New Roman;Times;Serif" w:hAnsi="Times New Roman;Times;Serif"/>
          <w:b w:val="false"/>
          <w:i w:val="false"/>
          <w:caps w:val="false"/>
          <w:smallCaps w:val="false"/>
          <w:sz w:val="20"/>
        </w:rPr>
        <w:t>46 is included in Accounts Payable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1166" w:name="xdx_80B_eus-gaap--StockholdersEquityNote"/>
      <w:bookmarkEnd w:id="1166"/>
      <w:r>
        <w:rPr>
          <w:rFonts w:ascii="Times New Roman;Times;Serif" w:hAnsi="Times New Roman;Times;Serif"/>
          <w:b/>
          <w:i w:val="false"/>
          <w:caps w:val="false"/>
          <w:smallCaps w:val="false"/>
          <w:sz w:val="20"/>
          <w:shd w:fill="FFFFFF" w:val="clear"/>
        </w:rPr>
        <w:t xml:space="preserve">14. </w:t>
      </w:r>
      <w:bookmarkStart w:id="1167" w:name="xdx_82C_zzCCEVGhM7M7"/>
      <w:bookmarkEnd w:id="1167"/>
      <w:r>
        <w:rPr>
          <w:rFonts w:ascii="Times New Roman;Times;Serif" w:hAnsi="Times New Roman;Times;Serif"/>
          <w:b/>
          <w:i w:val="false"/>
          <w:caps w:val="false"/>
          <w:smallCaps w:val="false"/>
          <w:sz w:val="20"/>
          <w:shd w:fill="FFFFFF" w:val="clear"/>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w:t>
      </w:r>
      <w:bookmarkStart w:id="1168" w:name="xdx_90C_eus-gaap--PreferredStockParOrSta"/>
      <w:bookmarkEnd w:id="1168"/>
      <w:r>
        <w:rPr>
          <w:rFonts w:ascii="Times New Roman;Times;Serif" w:hAnsi="Times New Roman;Times;Serif"/>
          <w:b w:val="false"/>
          <w:i w:val="false"/>
          <w:caps w:val="false"/>
          <w:smallCaps w:val="false"/>
          <w:sz w:val="20"/>
          <w:shd w:fill="FFFFFF" w:val="clear"/>
        </w:rPr>
        <w:t>0.0001 per share. The table below sets forth information about the Company’s equity, as of March 31, 2026:</w:t>
      </w:r>
    </w:p>
    <w:p>
      <w:pPr>
        <w:pStyle w:val="TextBody"/>
        <w:bidi w:val="0"/>
        <w:spacing w:before="0" w:after="0"/>
        <w:ind w:left="0" w:right="0" w:hanging="0"/>
        <w:jc w:val="both"/>
        <w:rPr>
          <w:caps w:val="false"/>
          <w:smallCaps w:val="false"/>
        </w:rPr>
      </w:pPr>
      <w:bookmarkStart w:id="1169" w:name="xdx_899_eus-gaap--ScheduleOfStockByClass"/>
      <w:bookmarkEnd w:id="1169"/>
      <w:r>
        <w:rPr>
          <w:caps w:val="false"/>
          <w:smallCaps w:val="false"/>
        </w:rPr>
        <w:t> </w:t>
      </w:r>
      <w:bookmarkStart w:id="1170" w:name="xdx_8B1_zCZMv0eKPmqa"/>
      <w:bookmarkEnd w:id="1170"/>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71" w:name="xdx_986_eus-gaap--PreferredStockSharesAu"/>
            <w:bookmarkEnd w:id="1171"/>
          </w:p>
        </w:tc>
        <w:tc>
          <w:tcPr>
            <w:tcW w:w="1220" w:type="dxa"/>
            <w:tcBorders/>
            <w:shd w:fill="CCEEFF" w:val="clear"/>
            <w:vAlign w:val="center"/>
          </w:tcPr>
          <w:p>
            <w:pPr>
              <w:pStyle w:val="TableContents"/>
              <w:bidi w:val="0"/>
              <w:spacing w:before="0" w:after="283"/>
              <w:jc w:val="right"/>
              <w:rPr/>
            </w:pPr>
            <w:r>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72" w:name="xdx_98B_eus-gaap--PreferredStockSharesIs"/>
            <w:bookmarkEnd w:id="1172"/>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173" w:name="xdx_98F_eus-gaap--PreferredStockSharesOu"/>
            <w:bookmarkEnd w:id="1173"/>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74" w:name="xdx_984_eus-gaap--PreferredStockSharesAu"/>
            <w:bookmarkEnd w:id="1174"/>
          </w:p>
        </w:tc>
        <w:tc>
          <w:tcPr>
            <w:tcW w:w="12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75" w:name="xdx_986_eus-gaap--PreferredStockSharesIs"/>
            <w:bookmarkEnd w:id="1175"/>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1176" w:name="xdx_989_eus-gaap--PreferredStockSharesOu"/>
            <w:bookmarkEnd w:id="1176"/>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77" w:name="xdx_985_eus-gaap--CommonStockSharesAutho"/>
            <w:bookmarkEnd w:id="1177"/>
          </w:p>
        </w:tc>
        <w:tc>
          <w:tcPr>
            <w:tcW w:w="1220" w:type="dxa"/>
            <w:tcBorders/>
            <w:shd w:fill="CCEEFF" w:val="clear"/>
            <w:vAlign w:val="center"/>
          </w:tcPr>
          <w:p>
            <w:pPr>
              <w:pStyle w:val="TableContents"/>
              <w:bidi w:val="0"/>
              <w:spacing w:before="0" w:after="283"/>
              <w:jc w:val="right"/>
              <w:rPr/>
            </w:pPr>
            <w:r>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78" w:name="xdx_981_eus-gaap--CommonStockSharesIssue"/>
            <w:bookmarkEnd w:id="1178"/>
          </w:p>
        </w:tc>
        <w:tc>
          <w:tcPr>
            <w:tcW w:w="800" w:type="dxa"/>
            <w:tcBorders/>
            <w:shd w:fill="CCEEFF" w:val="clear"/>
            <w:vAlign w:val="center"/>
          </w:tcPr>
          <w:p>
            <w:pPr>
              <w:pStyle w:val="TableContents"/>
              <w:bidi w:val="0"/>
              <w:spacing w:before="0" w:after="283"/>
              <w:jc w:val="right"/>
              <w:rPr/>
            </w:pPr>
            <w:r>
              <w:rPr/>
              <w:t>855,799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179" w:name="xdx_986_eus-gaap--CommonStockSharesOutst"/>
            <w:bookmarkEnd w:id="1179"/>
          </w:p>
        </w:tc>
        <w:tc>
          <w:tcPr>
            <w:tcW w:w="1191" w:type="dxa"/>
            <w:tcBorders/>
            <w:shd w:fill="CCEEFF" w:val="clear"/>
            <w:vAlign w:val="center"/>
          </w:tcPr>
          <w:p>
            <w:pPr>
              <w:pStyle w:val="TableContents"/>
              <w:bidi w:val="0"/>
              <w:spacing w:before="0" w:after="283"/>
              <w:jc w:val="right"/>
              <w:rPr/>
            </w:pPr>
            <w:r>
              <w:rPr/>
              <w:t>855,799</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80" w:name="xdx_981_eus-gaap--CommonStockSharesAutho"/>
            <w:bookmarkEnd w:id="1180"/>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81" w:name="xdx_98D_eus-gaap--CommonStockSharesIssue"/>
            <w:bookmarkEnd w:id="1181"/>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82" w:name="xdx_985_eus-gaap--CommonStockSharesOutst"/>
            <w:bookmarkEnd w:id="1182"/>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83" w:name="xdx_98F_ecustom--SharesAuthorized_iI_pid"/>
            <w:bookmarkEnd w:id="1183"/>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84" w:name="xdx_980_eus-gaap--SharesIssued_iI_pid_c2"/>
            <w:bookmarkEnd w:id="1184"/>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85" w:name="xdx_98E_eus-gaap--SharesOutstanding_iI_p"/>
            <w:bookmarkEnd w:id="1185"/>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hd w:fill="FFFFFF" w:val="clear"/>
        </w:rPr>
      </w:pPr>
      <w:bookmarkStart w:id="1186" w:name="xdx_8AC_z0fh5UXvZ0Oh"/>
      <w:bookmarkEnd w:id="1186"/>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87" w:name="xdx_90D_eus-gaap--CommonStockVotingRight"/>
      <w:bookmarkEnd w:id="1187"/>
      <w:r>
        <w:rPr>
          <w:rFonts w:ascii="Times New Roman;Times;Serif" w:hAnsi="Times New Roman;Times;Serif"/>
          <w:b w:val="false"/>
          <w:i w:val="false"/>
          <w:caps w:val="false"/>
          <w:smallCaps w:val="false"/>
          <w:sz w:val="20"/>
          <w:shd w:fill="FFFFFF" w:val="clear"/>
        </w:rPr>
        <w:t xml:space="preserve">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w:t>
      </w:r>
      <w:r>
        <w:rPr>
          <w:rFonts w:ascii="Times New Roman;Times;Serif" w:hAnsi="Times New Roman;Times;Serif"/>
          <w:b w:val="false"/>
          <w:i w:val="false"/>
          <w:caps w:val="false"/>
          <w:smallCaps w:val="false"/>
          <w:sz w:val="20"/>
        </w:rPr>
        <w:t>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w:t>
      </w:r>
      <w:bookmarkStart w:id="1188" w:name="xdx_90F_eus-gaap--PreferredStockSharesIs"/>
      <w:bookmarkEnd w:id="1188"/>
      <w:r>
        <w:rPr>
          <w:rFonts w:ascii="Times New Roman;Times;Serif" w:hAnsi="Times New Roman;Times;Serif"/>
          <w:b w:val="false"/>
          <w:i w:val="false"/>
          <w:caps w:val="false"/>
          <w:smallCaps w:val="false"/>
          <w:sz w:val="20"/>
        </w:rPr>
        <w:t xml:space="preserve">1) share of series FE preferred stock (the “Series FE Preferred Stock”), to one of the OpenReel Stockholders, FE IV OR Aggregator, LLC. The Series FE Preferred Stock has a </w:t>
      </w:r>
      <w:bookmarkStart w:id="1189" w:name="xdx_905_eus-gaap--PreferredStockContract"/>
      <w:bookmarkEnd w:id="1189"/>
      <w:r>
        <w:rPr>
          <w:rFonts w:ascii="Times New Roman;Times;Serif" w:hAnsi="Times New Roman;Times;Serif"/>
          <w:b w:val="false"/>
          <w:i w:val="false"/>
          <w:caps w:val="false"/>
          <w:smallCaps w:val="false"/>
          <w:sz w:val="20"/>
        </w:rPr>
        <w:t>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Standby Equity Purchase Agreement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w:t>
      </w:r>
      <w:bookmarkStart w:id="1190" w:name="xdx_900_eus-gaap--AssetAcquisitionConsid"/>
      <w:bookmarkEnd w:id="1190"/>
      <w:r>
        <w:rPr>
          <w:rFonts w:ascii="Times New Roman;Times;Serif" w:hAnsi="Times New Roman;Times;Serif"/>
          <w:b w:val="false"/>
          <w:i w:val="false"/>
          <w:caps w:val="false"/>
          <w:smallCaps w:val="false"/>
          <w:sz w:val="20"/>
        </w:rPr>
        <w:t>100 million of the Company’s shares of Class A common stock, par value $</w:t>
      </w:r>
      <w:bookmarkStart w:id="1191" w:name="xdx_906_eus-gaap--CommonStockParOrStated"/>
      <w:bookmarkEnd w:id="1191"/>
      <w:r>
        <w:rPr>
          <w:rFonts w:ascii="Times New Roman;Times;Serif" w:hAnsi="Times New Roman;Times;Serif"/>
          <w:b w:val="false"/>
          <w:i w:val="false"/>
          <w:caps w:val="false"/>
          <w:smallCaps w:val="false"/>
          <w:sz w:val="20"/>
        </w:rPr>
        <w:t>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an “Advance”) the Company requests under the SEPA (notice of such request, an “Advance Notice”) may be for a number of shares of Class A common stock up to the greater of (i) </w:t>
      </w:r>
      <w:bookmarkStart w:id="1192" w:name="xdx_90E_eus-gaap--SharesIssued_iI_pid_c2"/>
      <w:bookmarkEnd w:id="1192"/>
      <w:r>
        <w:rPr>
          <w:rFonts w:ascii="Times New Roman;Times;Serif" w:hAnsi="Times New Roman;Times;Serif"/>
          <w:b w:val="false"/>
          <w:i w:val="false"/>
          <w:caps w:val="false"/>
          <w:smallCaps w:val="false"/>
          <w:sz w:val="20"/>
        </w:rPr>
        <w:t xml:space="preserve">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w:t>
      </w:r>
      <w:bookmarkStart w:id="1193" w:name="xdx_90C_ecustom--PercentageOfSharesOutst"/>
      <w:bookmarkEnd w:id="1193"/>
      <w:r>
        <w:rPr>
          <w:rFonts w:ascii="Times New Roman;Times;Serif" w:hAnsi="Times New Roman;Times;Serif"/>
          <w:b w:val="false"/>
          <w:i w:val="false"/>
          <w:caps w:val="false"/>
          <w:smallCaps w:val="false"/>
          <w:sz w:val="20"/>
        </w:rPr>
        <w:t>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94" w:name="xdx_903_ecustom--PercentageOfAverageDail"/>
            <w:bookmarkEnd w:id="1194"/>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95" w:name="xdx_905_ecustom--PercentageOfLowestDaily"/>
            <w:bookmarkEnd w:id="1195"/>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purchase under an Advance would be subject to certain limitations, including that Yorkville shall not purchase or acquire any shares that would result in it and its affiliates beneficially owning more than </w:t>
      </w:r>
      <w:bookmarkStart w:id="1196" w:name="xdx_90F_ecustom--PurchaseOfStockPercenta"/>
      <w:bookmarkEnd w:id="1196"/>
      <w:r>
        <w:rPr>
          <w:rFonts w:ascii="Times New Roman;Times;Serif" w:hAnsi="Times New Roman;Times;Serif"/>
          <w:b w:val="false"/>
          <w:i w:val="false"/>
          <w:caps w:val="false"/>
          <w:smallCaps w:val="false"/>
          <w:sz w:val="20"/>
        </w:rPr>
        <w:t xml:space="preserve">9.99% of the then outstanding voting power or number of shares of Class A common stock or any shares that, aggregated with shares issued under all other earlier Advances, would exceed </w:t>
      </w:r>
      <w:bookmarkStart w:id="1197" w:name="xdx_907_ecustom--PurchaseOfStockPercenta"/>
      <w:bookmarkEnd w:id="1197"/>
      <w:r>
        <w:rPr>
          <w:rFonts w:ascii="Times New Roman;Times;Serif" w:hAnsi="Times New Roman;Times;Serif"/>
          <w:b w:val="false"/>
          <w:i w:val="false"/>
          <w:caps w:val="false"/>
          <w:smallCaps w:val="false"/>
          <w:sz w:val="20"/>
        </w:rPr>
        <w:t>19.99% of all shares of Class A Common Stock and Class B Common Stock of the Company, par value $</w:t>
      </w:r>
      <w:bookmarkStart w:id="1198" w:name="xdx_906_eus-gaap--CommonStockParOrStated"/>
      <w:bookmarkEnd w:id="1198"/>
      <w:r>
        <w:rPr>
          <w:rFonts w:ascii="Times New Roman;Times;Serif" w:hAnsi="Times New Roman;Times;Serif"/>
          <w:b w:val="false"/>
          <w:i w:val="false"/>
          <w:caps w:val="false"/>
          <w:smallCaps w:val="false"/>
          <w:sz w:val="20"/>
        </w:rPr>
        <w:t>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w:t>
      </w:r>
      <w:bookmarkStart w:id="1199" w:name="xdx_906_ecustom--CommitmentFeePayable_iI"/>
      <w:bookmarkEnd w:id="1199"/>
      <w:r>
        <w:rPr>
          <w:rFonts w:ascii="Times New Roman;Times;Serif" w:hAnsi="Times New Roman;Times;Serif"/>
          <w:b w:val="false"/>
          <w:i w:val="false"/>
          <w:caps w:val="false"/>
          <w:smallCaps w:val="false"/>
          <w:sz w:val="20"/>
        </w:rPr>
        <w:t xml:space="preserve">500 to Yorkville at the earlier of (i) March 14, 2024 or (ii) the termination of the SEPA, which will be payable, at the option of the Company, in cash or shares of Class A Common Stock through an Advance (the “Deferred Fee”). In March 2024 the Company issued </w:t>
      </w:r>
      <w:bookmarkStart w:id="1200" w:name="xdx_90D_ecustom--SharesIssuedAsPaymentOf"/>
      <w:bookmarkEnd w:id="1200"/>
      <w:r>
        <w:rPr>
          <w:rFonts w:ascii="Times New Roman;Times;Serif" w:hAnsi="Times New Roman;Times;Serif"/>
          <w:b w:val="false"/>
          <w:i w:val="false"/>
          <w:caps w:val="false"/>
          <w:smallCaps w:val="false"/>
          <w:sz w:val="20"/>
        </w:rPr>
        <w:t>71 shares of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w:t>
      </w:r>
      <w:bookmarkStart w:id="1201" w:name="xdx_900_eus-gaap--SharesIssuedPricePerSh"/>
      <w:bookmarkEnd w:id="1201"/>
      <w:r>
        <w:rPr>
          <w:rFonts w:ascii="Times New Roman;Times;Serif" w:hAnsi="Times New Roman;Times;Serif"/>
          <w:b w:val="false"/>
          <w:i w:val="false"/>
          <w:caps w:val="false"/>
          <w:smallCaps w:val="false"/>
          <w:sz w:val="20"/>
        </w:rPr>
        <w:t xml:space="preserve">100,000.00 per share of Class A common stock (the “Fixed Price”), or (ii) </w:t>
      </w:r>
      <w:bookmarkStart w:id="1202" w:name="xdx_909_ecustom--PercentageOfLowestDaily"/>
      <w:bookmarkEnd w:id="1202"/>
      <w:r>
        <w:rPr>
          <w:rFonts w:ascii="Times New Roman;Times;Serif" w:hAnsi="Times New Roman;Times;Serif"/>
          <w:b w:val="false"/>
          <w:i w:val="false"/>
          <w:caps w:val="false"/>
          <w:smallCaps w:val="false"/>
          <w:sz w:val="20"/>
        </w:rPr>
        <w:t>90% of the lowest daily Volume Weighted Average Price (“VWAP”) of the Class A common stock on Nasdaq during the 10 consecutive Trading Days immediately preceding the Investor Notice date or other date of determination (the “Variable Price”). The Variable Price shall not be lower than $</w:t>
      </w:r>
      <w:bookmarkStart w:id="1203" w:name="xdx_900_ecustom--MaximumFloorPrice_iI_pi"/>
      <w:bookmarkEnd w:id="1203"/>
      <w:r>
        <w:rPr>
          <w:rFonts w:ascii="Times New Roman;Times;Serif" w:hAnsi="Times New Roman;Times;Serif"/>
          <w:b w:val="false"/>
          <w:i w:val="false"/>
          <w:caps w:val="false"/>
          <w:smallCaps w:val="false"/>
          <w:sz w:val="20"/>
        </w:rPr>
        <w:t xml:space="preserve">20,000.00 per share (the “Floor Price”). </w:t>
      </w:r>
      <w:bookmarkStart w:id="1204" w:name="xdx_901_ecustom--FloorPriceAdjustment_pi"/>
      <w:bookmarkEnd w:id="1204"/>
      <w:r>
        <w:rPr>
          <w:rFonts w:ascii="Times New Roman;Times;Serif" w:hAnsi="Times New Roman;Times;Serif"/>
          <w:b w:val="false"/>
          <w:i w:val="false"/>
          <w:caps w:val="false"/>
          <w:smallCaps w:val="false"/>
          <w:sz w:val="20"/>
        </w:rPr>
        <w:t xml:space="preserve">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w:t>
      </w:r>
      <w:bookmarkStart w:id="1205" w:name="xdx_90F_ecustom--MaximumPercentageOfClos"/>
      <w:bookmarkEnd w:id="1205"/>
      <w:r>
        <w:rPr>
          <w:rFonts w:ascii="Times New Roman;Times;Serif" w:hAnsi="Times New Roman;Times;Serif"/>
          <w:b w:val="false"/>
          <w:i w:val="false"/>
          <w:caps w:val="false"/>
          <w:smallCaps w:val="false"/>
          <w:sz w:val="20"/>
        </w:rPr>
        <w:t>75% of the closing price on the Trading Day immediately prior to the time of such reduction and no greater than $</w:t>
      </w:r>
      <w:bookmarkStart w:id="1206" w:name="xdx_90D_eus-gaap--CommonStockConvertible"/>
      <w:bookmarkEnd w:id="1206"/>
      <w:r>
        <w:rPr>
          <w:rFonts w:ascii="Times New Roman;Times;Serif" w:hAnsi="Times New Roman;Times;Serif"/>
          <w:b w:val="false"/>
          <w:i w:val="false"/>
          <w:caps w:val="false"/>
          <w:smallCaps w:val="false"/>
          <w:sz w:val="20"/>
        </w:rPr>
        <w:t>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requested the purchase of a total of </w:t>
      </w:r>
      <w:bookmarkStart w:id="1207" w:name="xdx_901_eus-gaap--CommonStockSharesAutho"/>
      <w:bookmarkEnd w:id="1207"/>
      <w:r>
        <w:rPr>
          <w:rFonts w:ascii="Times New Roman;Times;Serif" w:hAnsi="Times New Roman;Times;Serif"/>
          <w:b w:val="false"/>
          <w:i w:val="false"/>
          <w:caps w:val="false"/>
          <w:smallCaps w:val="false"/>
          <w:sz w:val="20"/>
        </w:rPr>
        <w:t>15,875 shares of the Company’s Class A common stock in connection with the Option 1 Advances, which Yorkville purchased for a total purchase price of approximately $</w:t>
      </w:r>
      <w:bookmarkStart w:id="1208" w:name="xdx_908_eus-gaap--ProceedsFromIssuanceOr"/>
      <w:bookmarkEnd w:id="1208"/>
      <w:r>
        <w:rPr>
          <w:rFonts w:ascii="Times New Roman;Times;Serif" w:hAnsi="Times New Roman;Times;Serif"/>
          <w:b w:val="false"/>
          <w:i w:val="false"/>
          <w:caps w:val="false"/>
          <w:smallCaps w:val="false"/>
          <w:sz w:val="20"/>
        </w:rPr>
        <w:t>336. The Company recognized a loss of approximately $</w:t>
      </w:r>
      <w:bookmarkStart w:id="1209" w:name="xdx_90E_eus-gaap--GainsLossesOnExtinguis"/>
      <w:bookmarkEnd w:id="1209"/>
      <w:r>
        <w:rPr>
          <w:rFonts w:ascii="Times New Roman;Times;Serif" w:hAnsi="Times New Roman;Times;Serif"/>
          <w:b w:val="false"/>
          <w:i w:val="false"/>
          <w:caps w:val="false"/>
          <w:smallCaps w:val="false"/>
          <w:sz w:val="20"/>
        </w:rPr>
        <w:t>14 on the sales during the three months ended March 31, 2026,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requested the purchase of a total of </w:t>
      </w:r>
      <w:bookmarkStart w:id="1210" w:name="xdx_90C_eus-gaap--CommonStockSharesAutho"/>
      <w:bookmarkEnd w:id="1210"/>
      <w:r>
        <w:rPr>
          <w:rFonts w:ascii="Times New Roman;Times;Serif" w:hAnsi="Times New Roman;Times;Serif"/>
          <w:b w:val="false"/>
          <w:i w:val="false"/>
          <w:caps w:val="false"/>
          <w:smallCaps w:val="false"/>
          <w:sz w:val="20"/>
        </w:rPr>
        <w:t>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w:t>
      </w:r>
      <w:bookmarkStart w:id="1211" w:name="xdx_908_eus-gaap--DerivativeInstrumentsI"/>
      <w:bookmarkEnd w:id="1211"/>
      <w:r>
        <w:rPr>
          <w:rFonts w:ascii="Times New Roman;Times;Serif" w:hAnsi="Times New Roman;Times;Serif"/>
          <w:b w:val="false"/>
          <w:i w:val="false"/>
          <w:caps w:val="false"/>
          <w:smallCaps w:val="false"/>
          <w:sz w:val="20"/>
        </w:rPr>
        <w:t>14 in the aggregate, the fair values of which represented the intrinsic value of the requested number of shares of Class A common stock on the Advance Notice dates. The Company recognized a loss of approximately $</w:t>
      </w:r>
      <w:bookmarkStart w:id="1212" w:name="xdx_90C_eus-gaap--GainsLossesOnExtinguis"/>
      <w:bookmarkEnd w:id="1212"/>
      <w:r>
        <w:rPr>
          <w:rFonts w:ascii="Times New Roman;Times;Serif" w:hAnsi="Times New Roman;Times;Serif"/>
          <w:b w:val="false"/>
          <w:i w:val="false"/>
          <w:caps w:val="false"/>
          <w:smallCaps w:val="false"/>
          <w:sz w:val="20"/>
        </w:rPr>
        <w:t xml:space="preserve">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w:t>
      </w:r>
      <w:bookmarkStart w:id="1213" w:name="xdx_904_ecustom--SharesSold_iI_pid_c2026"/>
      <w:bookmarkEnd w:id="1213"/>
      <w:r>
        <w:rPr>
          <w:rFonts w:ascii="Times New Roman;Times;Serif" w:hAnsi="Times New Roman;Times;Serif"/>
          <w:b w:val="false"/>
          <w:i w:val="false"/>
          <w:caps w:val="false"/>
          <w:smallCaps w:val="false"/>
          <w:sz w:val="20"/>
        </w:rPr>
        <w:t>15,875 shares of the Company’s Class A common stock to Yorkville for total proceeds of approximately $</w:t>
      </w:r>
      <w:bookmarkStart w:id="1214" w:name="xdx_905_ecustom--GrossProceeds_pn3n3_c20"/>
      <w:bookmarkEnd w:id="1214"/>
      <w:r>
        <w:rPr>
          <w:rFonts w:ascii="Times New Roman;Times;Serif" w:hAnsi="Times New Roman;Times;Serif"/>
          <w:b w:val="false"/>
          <w:i w:val="false"/>
          <w:caps w:val="false"/>
          <w:smallCaps w:val="false"/>
          <w:sz w:val="20"/>
        </w:rPr>
        <w:t>336.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during the three months ended March 31, 2026, the Company settled five Advance Notices subject to the Option 2 Pricing Period issued on December 30, 2024, and accordingly sold </w:t>
      </w:r>
      <w:bookmarkStart w:id="1215" w:name="xdx_903_ecustom--SharesSold_iI_pid_c2024"/>
      <w:bookmarkEnd w:id="1215"/>
      <w:r>
        <w:rPr>
          <w:rFonts w:ascii="Times New Roman;Times;Serif" w:hAnsi="Times New Roman;Times;Serif"/>
          <w:b w:val="false"/>
          <w:i w:val="false"/>
          <w:caps w:val="false"/>
          <w:smallCaps w:val="false"/>
          <w:sz w:val="20"/>
        </w:rPr>
        <w:t>31,750 of the Company’s Class A common stock to Yorkville for proceeds of approximately $</w:t>
      </w:r>
      <w:bookmarkStart w:id="1216" w:name="xdx_90A_ecustom--GrossProceeds_pn3n3_c20"/>
      <w:bookmarkEnd w:id="1216"/>
      <w:r>
        <w:rPr>
          <w:rFonts w:ascii="Times New Roman;Times;Serif" w:hAnsi="Times New Roman;Times;Serif"/>
          <w:b w:val="false"/>
          <w:i w:val="false"/>
          <w:caps w:val="false"/>
          <w:smallCaps w:val="false"/>
          <w:sz w:val="20"/>
        </w:rPr>
        <w:t>701.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w:t>
      </w:r>
      <w:bookmarkStart w:id="1217" w:name="xdx_90C_eus-gaap--CommonStockParOrStated"/>
      <w:bookmarkEnd w:id="1217"/>
      <w:r>
        <w:rPr>
          <w:rFonts w:ascii="Times New Roman;Times;Serif" w:hAnsi="Times New Roman;Times;Serif"/>
          <w:b w:val="false"/>
          <w:i w:val="false"/>
          <w:caps w:val="false"/>
          <w:smallCaps w:val="false"/>
          <w:sz w:val="20"/>
        </w:rPr>
        <w:t>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w:t>
      </w:r>
      <w:bookmarkStart w:id="1218" w:name="xdx_900_eus-gaap--StockIssuedDuringPerio"/>
      <w:bookmarkEnd w:id="1218"/>
      <w:r>
        <w:rPr>
          <w:rFonts w:ascii="Times New Roman;Times;Serif" w:hAnsi="Times New Roman;Times;Serif"/>
          <w:b w:val="false"/>
          <w:i w:val="false"/>
          <w:caps w:val="false"/>
          <w:smallCaps w:val="false"/>
          <w:sz w:val="20"/>
        </w:rPr>
        <w:t>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ATM Agreement provides that the Company will pay the Manager commissions for its services for acting as agent in the sale of the ATM Shares. The Manager will be entitled to compensation at a fixed commission rate equal to up to </w:t>
      </w:r>
      <w:bookmarkStart w:id="1219" w:name="xdx_906_ecustom--MaximumCommissionRateAs"/>
      <w:bookmarkEnd w:id="1219"/>
      <w:r>
        <w:rPr>
          <w:rFonts w:ascii="Times New Roman;Times;Serif" w:hAnsi="Times New Roman;Times;Serif"/>
          <w:b w:val="false"/>
          <w:i w:val="false"/>
          <w:caps w:val="false"/>
          <w:smallCaps w:val="false"/>
          <w:sz w:val="20"/>
        </w:rPr>
        <w:t>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w:t>
      </w:r>
      <w:bookmarkStart w:id="1220" w:name="xdx_90E_eus-gaap--LegalFees_pn3n3_c20251"/>
      <w:bookmarkEnd w:id="1220"/>
      <w:r>
        <w:rPr>
          <w:rFonts w:ascii="Times New Roman;Times;Serif" w:hAnsi="Times New Roman;Times;Serif"/>
          <w:b w:val="false"/>
          <w:i w:val="false"/>
          <w:caps w:val="false"/>
          <w:smallCaps w:val="false"/>
          <w:sz w:val="20"/>
        </w:rPr>
        <w:t>100 (excluding any periodic due diligence fees) incurred in connection with entering into the transactions contemplated by the ATM Agreement and has agreed to reimburse Wainwright up to a maximum of $</w:t>
      </w:r>
      <w:bookmarkStart w:id="1221" w:name="xdx_903_ecustom--WainrightReimbursement_"/>
      <w:bookmarkEnd w:id="1221"/>
      <w:r>
        <w:rPr>
          <w:rFonts w:ascii="Times New Roman;Times;Serif" w:hAnsi="Times New Roman;Times;Serif"/>
          <w:b w:val="false"/>
          <w:i w:val="false"/>
          <w:caps w:val="false"/>
          <w:smallCaps w:val="false"/>
          <w:sz w:val="20"/>
        </w:rPr>
        <w:t>5 per Representation Date (as defined in the ATM Agreement) in connection with a new Registration Statement or the filing of the Company’s Annual Report on Form 10-K and approximately $</w:t>
      </w:r>
      <w:bookmarkStart w:id="1222" w:name="xdx_909_ecustom--IncidentalExpense_pn3n3"/>
      <w:bookmarkEnd w:id="1222"/>
      <w:r>
        <w:rPr>
          <w:rFonts w:ascii="Times New Roman;Times;Serif" w:hAnsi="Times New Roman;Times;Serif"/>
          <w:b w:val="false"/>
          <w:i w:val="false"/>
          <w:caps w:val="false"/>
          <w:smallCaps w:val="false"/>
          <w:sz w:val="20"/>
        </w:rPr>
        <w:t>3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1223" w:name="xdx_904_eus-gaap--CommonStockSharesAutho"/>
      <w:bookmarkEnd w:id="1223"/>
      <w:r>
        <w:rPr>
          <w:rFonts w:ascii="Times New Roman;Times;Serif" w:hAnsi="Times New Roman;Times;Serif"/>
          <w:b w:val="false"/>
          <w:i w:val="false"/>
          <w:caps w:val="false"/>
          <w:smallCaps w:val="false"/>
          <w:sz w:val="20"/>
        </w:rPr>
        <w:t>1,595 shares of Class A common stock at $</w:t>
      </w:r>
      <w:bookmarkStart w:id="1224" w:name="xdx_900_eus-gaap--SaleOfStockPricePerSha"/>
      <w:bookmarkEnd w:id="1224"/>
      <w:r>
        <w:rPr>
          <w:rFonts w:ascii="Times New Roman;Times;Serif" w:hAnsi="Times New Roman;Times;Serif"/>
          <w:b w:val="false"/>
          <w:i w:val="false"/>
          <w:caps w:val="false"/>
          <w:smallCaps w:val="false"/>
          <w:sz w:val="20"/>
        </w:rPr>
        <w:t xml:space="preserve">138.00 per share and </w:t>
      </w:r>
      <w:bookmarkStart w:id="1225" w:name="xdx_904_eus-gaap--ClassOfWarrantOrRightO"/>
      <w:bookmarkEnd w:id="1225"/>
      <w:r>
        <w:rPr>
          <w:rFonts w:ascii="Times New Roman;Times;Serif" w:hAnsi="Times New Roman;Times;Serif"/>
          <w:b w:val="false"/>
          <w:i w:val="false"/>
          <w:caps w:val="false"/>
          <w:smallCaps w:val="false"/>
          <w:sz w:val="20"/>
        </w:rPr>
        <w:t>1,618 prefunded warrants (the “May 2025 Prefunded Warrants”) at $</w:t>
      </w:r>
      <w:bookmarkStart w:id="1226" w:name="xdx_90A_eus-gaap--SharePrice_iI_pid_c202"/>
      <w:bookmarkEnd w:id="1226"/>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1227" w:name="xdx_90C_eus-gaap--ClassOfWarrantOrRightN"/>
      <w:bookmarkEnd w:id="1227"/>
      <w:r>
        <w:rPr>
          <w:rFonts w:ascii="Times New Roman;Times;Serif" w:hAnsi="Times New Roman;Times;Serif"/>
          <w:b w:val="false"/>
          <w:i w:val="false"/>
          <w:caps w:val="false"/>
          <w:smallCaps w:val="false"/>
          <w:sz w:val="20"/>
        </w:rPr>
        <w:t>1,618 shares of Class A common stock. The Company collected in aggregate $</w:t>
      </w:r>
      <w:bookmarkStart w:id="1228" w:name="xdx_904_eus-gaap--ProceedsFromIssuanceOf"/>
      <w:bookmarkEnd w:id="1228"/>
      <w:r>
        <w:rPr>
          <w:rFonts w:ascii="Times New Roman;Times;Serif" w:hAnsi="Times New Roman;Times;Serif"/>
          <w:b w:val="false"/>
          <w:i w:val="false"/>
          <w:caps w:val="false"/>
          <w:smallCaps w:val="false"/>
          <w:sz w:val="20"/>
        </w:rPr>
        <w:t>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issued </w:t>
      </w:r>
      <w:bookmarkStart w:id="1229" w:name="xdx_90F_eus-gaap--CommonStockSharesIssue"/>
      <w:bookmarkEnd w:id="1229"/>
      <w:r>
        <w:rPr>
          <w:rFonts w:ascii="Times New Roman;Times;Serif" w:hAnsi="Times New Roman;Times;Serif"/>
          <w:b w:val="false"/>
          <w:i w:val="false"/>
          <w:caps w:val="false"/>
          <w:smallCaps w:val="false"/>
          <w:sz w:val="20"/>
        </w:rPr>
        <w:t>107,258 shares under the ATM Agreement for net proceeds of approximately $</w:t>
      </w:r>
      <w:bookmarkStart w:id="1230" w:name="xdx_90B_eus-gaap--ProceedsFromIssuanceOf"/>
      <w:bookmarkEnd w:id="1230"/>
      <w:r>
        <w:rPr>
          <w:rFonts w:ascii="Times New Roman;Times;Serif" w:hAnsi="Times New Roman;Times;Serif"/>
          <w:b w:val="false"/>
          <w:i w:val="false"/>
          <w:caps w:val="false"/>
          <w:smallCaps w:val="false"/>
          <w:sz w:val="20"/>
        </w:rPr>
        <w:t>2,636.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January 3, 20</w:t>
      </w:r>
      <w:r>
        <w:rPr>
          <w:rFonts w:ascii="Times New Roman;Times;Serif" w:hAnsi="Times New Roman;Times;Serif"/>
          <w:b w:val="false"/>
          <w:i w:val="false"/>
          <w:caps w:val="false"/>
          <w:smallCaps w:val="false"/>
          <w:sz w:val="20"/>
        </w:rPr>
        <w:t xml:space="preserve">25, the Company issued </w:t>
      </w:r>
      <w:bookmarkStart w:id="1231" w:name="xdx_900_eus-gaap--CommonStockSharesIssue"/>
      <w:bookmarkEnd w:id="1231"/>
      <w:r>
        <w:rPr>
          <w:rFonts w:ascii="Times New Roman;Times;Serif" w:hAnsi="Times New Roman;Times;Serif"/>
          <w:b w:val="false"/>
          <w:i w:val="false"/>
          <w:caps w:val="false"/>
          <w:smallCaps w:val="false"/>
          <w:sz w:val="20"/>
        </w:rPr>
        <w:t>750 restricted shares of its Common Stock, with a determined fair value of $</w:t>
      </w:r>
      <w:bookmarkStart w:id="1232" w:name="xdx_908_eus-gaap--StockIssuedDuringPerio"/>
      <w:bookmarkEnd w:id="1232"/>
      <w:r>
        <w:rPr>
          <w:rFonts w:ascii="Times New Roman;Times;Serif" w:hAnsi="Times New Roman;Times;Serif"/>
          <w:b w:val="false"/>
          <w:i w:val="false"/>
          <w:caps w:val="false"/>
          <w:smallCaps w:val="false"/>
          <w:sz w:val="20"/>
        </w:rPr>
        <w:t xml:space="preserve">231, partially in exchange for the business advisory services outlined in the consulting agreement with Hudson Global Ventures, LLC, a Nevada limited liability company (“Hudson”). On April 25, 2025, July 1, 2025 and September 3, 2025, the Company issued </w:t>
      </w:r>
      <w:bookmarkStart w:id="1233" w:name="xdx_90C_eus-gaap--CommonStockSharesIssue"/>
      <w:bookmarkEnd w:id="1233"/>
      <w:r>
        <w:rPr>
          <w:rFonts w:ascii="Times New Roman;Times;Serif" w:hAnsi="Times New Roman;Times;Serif"/>
          <w:b w:val="false"/>
          <w:i w:val="false"/>
          <w:caps w:val="false"/>
          <w:smallCaps w:val="false"/>
          <w:sz w:val="20"/>
        </w:rPr>
        <w:t xml:space="preserve">2,000, </w:t>
      </w:r>
      <w:bookmarkStart w:id="1234" w:name="xdx_90F_eus-gaap--CommonStockSharesIssue"/>
      <w:bookmarkEnd w:id="1234"/>
      <w:r>
        <w:rPr>
          <w:rFonts w:ascii="Times New Roman;Times;Serif" w:hAnsi="Times New Roman;Times;Serif"/>
          <w:b w:val="false"/>
          <w:i w:val="false"/>
          <w:caps w:val="false"/>
          <w:smallCaps w:val="false"/>
          <w:sz w:val="20"/>
        </w:rPr>
        <w:t xml:space="preserve">1,180, and </w:t>
      </w:r>
      <w:bookmarkStart w:id="1235" w:name="xdx_908_eus-gaap--CommonStockSharesIssue"/>
      <w:bookmarkEnd w:id="1235"/>
      <w:r>
        <w:rPr>
          <w:rFonts w:ascii="Times New Roman;Times;Serif" w:hAnsi="Times New Roman;Times;Serif"/>
          <w:b w:val="false"/>
          <w:i w:val="false"/>
          <w:caps w:val="false"/>
          <w:smallCaps w:val="false"/>
          <w:sz w:val="20"/>
        </w:rPr>
        <w:t>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w:t>
      </w:r>
      <w:bookmarkStart w:id="1236" w:name="xdx_909_eus-gaap--CommonStockSharesIssue"/>
      <w:bookmarkEnd w:id="1236"/>
      <w:r>
        <w:rPr>
          <w:rFonts w:ascii="Times New Roman;Times;Serif" w:hAnsi="Times New Roman;Times;Serif"/>
          <w:b w:val="false"/>
          <w:i w:val="false"/>
          <w:caps w:val="false"/>
          <w:smallCaps w:val="false"/>
          <w:sz w:val="20"/>
        </w:rPr>
        <w:t>150 shares of its Common Stock, with a determined fair value of $</w:t>
      </w:r>
      <w:bookmarkStart w:id="1237" w:name="xdx_902_eus-gaap--StockIssuedDuringPerio"/>
      <w:bookmarkEnd w:id="1237"/>
      <w:r>
        <w:rPr>
          <w:rFonts w:ascii="Times New Roman;Times;Serif" w:hAnsi="Times New Roman;Times;Serif"/>
          <w:b w:val="false"/>
          <w:i w:val="false"/>
          <w:caps w:val="false"/>
          <w:smallCaps w:val="false"/>
          <w:sz w:val="20"/>
        </w:rPr>
        <w:t xml:space="preserve">50, in partial settlement of amounts owing to Verista. Refer to </w:t>
      </w:r>
      <w:r>
        <w:rPr>
          <w:rFonts w:ascii="Times New Roman;Times;Serif" w:hAnsi="Times New Roman;Times;Serif"/>
          <w:b w:val="false"/>
          <w:i/>
          <w:caps w:val="false"/>
          <w:smallCaps w:val="false"/>
          <w:sz w:val="20"/>
        </w:rPr>
        <w:t>Note 13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and 2025, </w:t>
      </w:r>
      <w:bookmarkStart w:id="1238" w:name="xdx_90C_ecustom--ShareBasedCompensationA"/>
      <w:bookmarkEnd w:id="1238"/>
      <w:r>
        <w:rPr>
          <w:rFonts w:ascii="Times New Roman;Times;Serif" w:hAnsi="Times New Roman;Times;Serif"/>
          <w:b w:val="false"/>
          <w:i w:val="false"/>
          <w:caps w:val="false"/>
          <w:smallCaps w:val="false"/>
          <w:sz w:val="20"/>
        </w:rPr>
        <w:t xml:space="preserve">38,304 and </w:t>
      </w:r>
      <w:bookmarkStart w:id="1239" w:name="xdx_904_ecustom--ShareBasedCompensationA"/>
      <w:bookmarkEnd w:id="1239"/>
      <w:r>
        <w:rPr>
          <w:rFonts w:ascii="Times New Roman;Times;Serif" w:hAnsi="Times New Roman;Times;Serif"/>
          <w:b w:val="false"/>
          <w:i w:val="false"/>
          <w:caps w:val="false"/>
          <w:smallCaps w:val="false"/>
          <w:sz w:val="20"/>
        </w:rPr>
        <w:t>1,689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w:t>
      </w:r>
      <w:bookmarkStart w:id="1240" w:name="xdx_903_eus-gaap--BusinessAcquisitionEqu"/>
      <w:bookmarkEnd w:id="1240"/>
      <w:r>
        <w:rPr>
          <w:rFonts w:ascii="Times New Roman;Times;Serif" w:hAnsi="Times New Roman;Times;Serif"/>
          <w:b w:val="false"/>
          <w:i w:val="false"/>
          <w:caps w:val="false"/>
          <w:smallCaps w:val="false"/>
          <w:sz w:val="20"/>
        </w:rPr>
        <w:t>4,491 shares of Class A Common Stock, with a determined fair value of $</w:t>
      </w:r>
      <w:bookmarkStart w:id="1241" w:name="xdx_90A_eus-gaap--StockIssuedDuringPerio"/>
      <w:bookmarkEnd w:id="1241"/>
      <w:r>
        <w:rPr>
          <w:rFonts w:ascii="Times New Roman;Times;Serif" w:hAnsi="Times New Roman;Times;Serif"/>
          <w:b w:val="false"/>
          <w:i w:val="false"/>
          <w:caps w:val="false"/>
          <w:smallCaps w:val="false"/>
          <w:sz w:val="20"/>
        </w:rPr>
        <w:t xml:space="preserve">1,662.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w:t>
      </w:r>
      <w:bookmarkStart w:id="1242" w:name="xdx_901_eus-gaap--CommonStockSharesIssue"/>
      <w:bookmarkEnd w:id="1242"/>
      <w:r>
        <w:rPr>
          <w:rFonts w:ascii="Times New Roman;Times;Serif" w:hAnsi="Times New Roman;Times;Serif"/>
          <w:b w:val="false"/>
          <w:i w:val="false"/>
          <w:caps w:val="false"/>
          <w:smallCaps w:val="false"/>
          <w:sz w:val="20"/>
        </w:rPr>
        <w:t>4 shares of Class A Common Stock to CP BF, resulting from the exercise by CP BF of exercise of four (</w:t>
      </w:r>
      <w:bookmarkStart w:id="1243" w:name="xdx_903_ecustom--PrefundedWarrantExercis"/>
      <w:bookmarkEnd w:id="1243"/>
      <w:r>
        <w:rPr>
          <w:rFonts w:ascii="Times New Roman;Times;Serif" w:hAnsi="Times New Roman;Times;Serif"/>
          <w:b w:val="false"/>
          <w:i w:val="false"/>
          <w:caps w:val="false"/>
          <w:smallCaps w:val="false"/>
          <w:sz w:val="20"/>
        </w:rPr>
        <w:t xml:space="preserve">4) pre-funded warrants under the CP BF Pre-Funded Warrant. See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21, 2025, the Company issued </w:t>
      </w:r>
      <w:bookmarkStart w:id="1244" w:name="xdx_90F_eus-gaap--CommonStockSharesIssue"/>
      <w:bookmarkEnd w:id="1244"/>
      <w:r>
        <w:rPr>
          <w:rFonts w:ascii="Times New Roman;Times;Serif" w:hAnsi="Times New Roman;Times;Serif"/>
          <w:b w:val="false"/>
          <w:i w:val="false"/>
          <w:caps w:val="false"/>
          <w:smallCaps w:val="false"/>
          <w:sz w:val="20"/>
        </w:rPr>
        <w:t>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26, 2025, the Company issued </w:t>
      </w:r>
      <w:bookmarkStart w:id="1245" w:name="xdx_907_eus-gaap--CommonStockSharesIssue"/>
      <w:bookmarkEnd w:id="1245"/>
      <w:r>
        <w:rPr>
          <w:rFonts w:ascii="Times New Roman;Times;Serif" w:hAnsi="Times New Roman;Times;Serif"/>
          <w:b w:val="false"/>
          <w:i w:val="false"/>
          <w:caps w:val="false"/>
          <w:smallCaps w:val="false"/>
          <w:sz w:val="20"/>
        </w:rPr>
        <w:t>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1246" w:name="xdx_900_eus-gaap--CommonStockSharesAutho"/>
      <w:bookmarkEnd w:id="1246"/>
      <w:r>
        <w:rPr>
          <w:rFonts w:ascii="Times New Roman;Times;Serif" w:hAnsi="Times New Roman;Times;Serif"/>
          <w:b w:val="false"/>
          <w:i w:val="false"/>
          <w:caps w:val="false"/>
          <w:smallCaps w:val="false"/>
          <w:sz w:val="20"/>
        </w:rPr>
        <w:t>1,594 shares of Class A common stock at $</w:t>
      </w:r>
      <w:bookmarkStart w:id="1247" w:name="xdx_905_eus-gaap--SaleOfStockPricePerSha"/>
      <w:bookmarkEnd w:id="1247"/>
      <w:r>
        <w:rPr>
          <w:rFonts w:ascii="Times New Roman;Times;Serif" w:hAnsi="Times New Roman;Times;Serif"/>
          <w:b w:val="false"/>
          <w:i w:val="false"/>
          <w:caps w:val="false"/>
          <w:smallCaps w:val="false"/>
          <w:sz w:val="20"/>
        </w:rPr>
        <w:t xml:space="preserve">138.00 per share and </w:t>
      </w:r>
      <w:bookmarkStart w:id="1248" w:name="xdx_90A_eus-gaap--ClassOfWarrantOrRightO"/>
      <w:bookmarkEnd w:id="1248"/>
      <w:r>
        <w:rPr>
          <w:rFonts w:ascii="Times New Roman;Times;Serif" w:hAnsi="Times New Roman;Times;Serif"/>
          <w:b w:val="false"/>
          <w:i w:val="false"/>
          <w:caps w:val="false"/>
          <w:smallCaps w:val="false"/>
          <w:sz w:val="20"/>
        </w:rPr>
        <w:t>1,618 prefunded warrants (the “May 2025 Prefunded Warrants”) at $</w:t>
      </w:r>
      <w:bookmarkStart w:id="1249" w:name="xdx_901_eus-gaap--ClassOfWarrantOrRightE"/>
      <w:bookmarkEnd w:id="1249"/>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1250" w:name="xdx_905_eus-gaap--ClassOfWarrantOrRightN"/>
      <w:bookmarkEnd w:id="1250"/>
      <w:r>
        <w:rPr>
          <w:rFonts w:ascii="Times New Roman;Times;Serif" w:hAnsi="Times New Roman;Times;Serif"/>
          <w:b w:val="false"/>
          <w:i w:val="false"/>
          <w:caps w:val="false"/>
          <w:smallCaps w:val="false"/>
          <w:sz w:val="20"/>
        </w:rPr>
        <w:t>1,618 shares of Class A common stock. The Company collected in aggregate $</w:t>
      </w:r>
      <w:bookmarkStart w:id="1251" w:name="xdx_908_eus-gaap--ProceedsFromIssuanceOf"/>
      <w:bookmarkEnd w:id="1251"/>
      <w:r>
        <w:rPr>
          <w:rFonts w:ascii="Times New Roman;Times;Serif" w:hAnsi="Times New Roman;Times;Serif"/>
          <w:b w:val="false"/>
          <w:i w:val="false"/>
          <w:caps w:val="false"/>
          <w:smallCaps w:val="false"/>
          <w:sz w:val="20"/>
        </w:rPr>
        <w:t>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52" w:name="xdx_801_eus-gaap--DisclosureOfCompensati"/>
      <w:bookmarkEnd w:id="1252"/>
      <w:r>
        <w:rPr>
          <w:rFonts w:ascii="Times New Roman;Times;Serif" w:hAnsi="Times New Roman;Times;Serif"/>
          <w:b/>
          <w:i w:val="false"/>
          <w:caps w:val="false"/>
          <w:smallCaps w:val="false"/>
          <w:sz w:val="20"/>
        </w:rPr>
        <w:t xml:space="preserve">15. </w:t>
      </w:r>
      <w:bookmarkStart w:id="1253" w:name="xdx_82B_zLn1n8AKepT8"/>
      <w:bookmarkEnd w:id="1253"/>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54" w:name="xdx_896_eus-gaap--ScheduleOfShareBasedCo"/>
      <w:bookmarkEnd w:id="1254"/>
      <w:r>
        <w:rPr>
          <w:rFonts w:ascii="Times New Roman;Times;Serif" w:hAnsi="Times New Roman;Times;Serif"/>
          <w:b w:val="false"/>
          <w:i w:val="false"/>
          <w:caps w:val="false"/>
          <w:smallCaps w:val="false"/>
          <w:sz w:val="20"/>
        </w:rPr>
        <w:t>A summary of stock option activity under the 2021 Equity Incentive Plan (“Plan”)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bookmarkStart w:id="1255" w:name="xdx_8BE_zSpTmWcIN8xf"/>
      <w:bookmarkEnd w:id="1255"/>
      <w:r>
        <w:rPr>
          <w:rFonts w:ascii="Times New Roman;Times;Serif" w:hAnsi="Times New Roman;Times;Serif"/>
          <w:b w:val="false"/>
          <w:i w:val="false"/>
          <w:caps w:val="false"/>
          <w:smallCaps w:val="false"/>
          <w:sz w:val="20"/>
        </w:rPr>
        <w:t>Summary of Stock Option Activity</w:t>
      </w:r>
    </w:p>
    <w:tbl>
      <w:tblPr>
        <w:tblW w:w="10205" w:type="dxa"/>
        <w:jc w:val="left"/>
        <w:tblInd w:w="0" w:type="dxa"/>
        <w:tblLayout w:type="fixed"/>
        <w:tblCellMar>
          <w:top w:w="0" w:type="dxa"/>
          <w:left w:w="0" w:type="dxa"/>
          <w:bottom w:w="0" w:type="dxa"/>
          <w:right w:w="0" w:type="dxa"/>
        </w:tblCellMar>
      </w:tblPr>
      <w:tblGrid>
        <w:gridCol w:w="1962"/>
        <w:gridCol w:w="60"/>
        <w:gridCol w:w="237"/>
        <w:gridCol w:w="1510"/>
        <w:gridCol w:w="60"/>
        <w:gridCol w:w="60"/>
        <w:gridCol w:w="242"/>
        <w:gridCol w:w="1696"/>
        <w:gridCol w:w="60"/>
        <w:gridCol w:w="60"/>
        <w:gridCol w:w="353"/>
        <w:gridCol w:w="2596"/>
        <w:gridCol w:w="60"/>
        <w:gridCol w:w="60"/>
        <w:gridCol w:w="388"/>
        <w:gridCol w:w="722"/>
        <w:gridCol w:w="79"/>
      </w:tblGrid>
      <w:tr>
        <w:trPr/>
        <w:tc>
          <w:tcPr>
            <w:tcW w:w="19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Underlying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Intrinsic Value</w:t>
            </w:r>
          </w:p>
        </w:tc>
        <w:tc>
          <w:tcPr>
            <w:tcW w:w="79" w:type="dxa"/>
            <w:tcBorders/>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bookmarkStart w:id="1256" w:name="xdx_98B_eus-gaap--ShareBasedCompensation"/>
            <w:bookmarkEnd w:id="1256"/>
          </w:p>
        </w:tc>
        <w:tc>
          <w:tcPr>
            <w:tcW w:w="151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bookmarkStart w:id="1257" w:name="xdx_98E_eus-gaap--ShareBasedCompensation"/>
            <w:bookmarkEnd w:id="1257"/>
          </w:p>
        </w:tc>
        <w:tc>
          <w:tcPr>
            <w:tcW w:w="1696" w:type="dxa"/>
            <w:tcBorders/>
            <w:shd w:fill="CCEEFF" w:val="clear"/>
            <w:vAlign w:val="center"/>
          </w:tcPr>
          <w:p>
            <w:pPr>
              <w:pStyle w:val="TableContents"/>
              <w:bidi w:val="0"/>
              <w:spacing w:before="0" w:after="283"/>
              <w:jc w:val="right"/>
              <w:rPr/>
            </w:pPr>
            <w:r>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2596" w:type="dxa"/>
            <w:tcBorders/>
            <w:shd w:fill="CCEEFF" w:val="clear"/>
            <w:vAlign w:val="center"/>
          </w:tcPr>
          <w:p>
            <w:pPr>
              <w:pStyle w:val="TableContents"/>
              <w:bidi w:val="0"/>
              <w:spacing w:before="0" w:after="283"/>
              <w:jc w:val="right"/>
              <w:rPr/>
            </w:pPr>
            <w:bookmarkStart w:id="1258" w:name="xdx_901_eus-gaap--SharebasedCompensation"/>
            <w:bookmarkEnd w:id="1258"/>
            <w:r>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1259" w:name="xdx_98D_eus-gaap--ShareBasedCompensation"/>
            <w:bookmarkEnd w:id="1259"/>
          </w:p>
        </w:tc>
        <w:tc>
          <w:tcPr>
            <w:tcW w:w="72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bookmarkStart w:id="1260" w:name="xdx_98C_eus-gaap--ShareBasedCompensation"/>
            <w:bookmarkEnd w:id="1260"/>
          </w:p>
        </w:tc>
        <w:tc>
          <w:tcPr>
            <w:tcW w:w="1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bookmarkStart w:id="1261" w:name="xdx_989_eus-gaap--ShareBasedCompensation"/>
            <w:bookmarkEnd w:id="1261"/>
          </w:p>
        </w:tc>
        <w:tc>
          <w:tcPr>
            <w:tcW w:w="1696" w:type="dxa"/>
            <w:tcBorders/>
            <w:shd w:fill="FFFFFF" w:val="clear"/>
            <w:vAlign w:val="center"/>
          </w:tcPr>
          <w:p>
            <w:pPr>
              <w:pStyle w:val="TableContents"/>
              <w:bidi w:val="0"/>
              <w:spacing w:before="0" w:after="283"/>
              <w:jc w:val="right"/>
              <w:rPr/>
            </w:pPr>
            <w:r>
              <w:rPr/>
              <w:t>1,170.00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2" w:name="xdx_98E_eus-gaap--ShareBasedCompensation"/>
            <w:bookmarkEnd w:id="1262"/>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3" w:name="xdx_98C_eus-gaap--ShareBasedCompensation"/>
            <w:bookmarkEnd w:id="1263"/>
          </w:p>
        </w:tc>
        <w:tc>
          <w:tcPr>
            <w:tcW w:w="1696" w:type="dxa"/>
            <w:tcBorders>
              <w:bottom w:val="single" w:sz="8" w:space="0" w:color="000000"/>
            </w:tcBorders>
            <w:shd w:fill="CCEEFF" w:val="clear"/>
            <w:tcMar>
              <w:bottom w:w="28" w:type="dxa"/>
            </w:tcMar>
            <w:vAlign w:val="center"/>
          </w:tcPr>
          <w:p>
            <w:pPr>
              <w:pStyle w:val="TableContents"/>
              <w:bidi w:val="0"/>
              <w:spacing w:before="0" w:after="283"/>
              <w:jc w:val="right"/>
              <w:rPr/>
            </w:pPr>
            <w:r>
              <w:rPr/>
              <w:t>6,901.20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96"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264" w:name="xdx_909_eus-gaap--SharebasedCompensation"/>
            <w:bookmarkEnd w:id="1264"/>
            <w:r>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5" w:name="xdx_98B_eus-gaap--ShareBasedCompensation"/>
            <w:bookmarkEnd w:id="1265"/>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66" w:name="xdx_98A_eus-gaap--ShareBasedCompensation"/>
            <w:bookmarkEnd w:id="1266"/>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67" w:name="xdx_989_eus-gaap--ShareBasedCompensation"/>
            <w:bookmarkEnd w:id="1267"/>
          </w:p>
        </w:tc>
        <w:tc>
          <w:tcPr>
            <w:tcW w:w="1696" w:type="dxa"/>
            <w:tcBorders>
              <w:bottom w:val="double" w:sz="6" w:space="0" w:color="000000"/>
            </w:tcBorders>
            <w:shd w:fill="FFFFFF" w:val="clear"/>
            <w:tcMar>
              <w:bottom w:w="28" w:type="dxa"/>
            </w:tcMar>
            <w:vAlign w:val="center"/>
          </w:tcPr>
          <w:p>
            <w:pPr>
              <w:pStyle w:val="TableContents"/>
              <w:bidi w:val="0"/>
              <w:spacing w:before="0" w:after="283"/>
              <w:jc w:val="right"/>
              <w:rPr/>
            </w:pPr>
            <w:r>
              <w:rPr/>
              <w:t>12,959.60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59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68" w:name="xdx_901_eus-gaap--SharebasedCompensation"/>
            <w:bookmarkEnd w:id="1268"/>
            <w:r>
              <w:rPr/>
              <w:t>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69" w:name="xdx_98E_eus-gaap--SharebasedCompensation"/>
            <w:bookmarkEnd w:id="1269"/>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70" w:name="xdx_8A7_z68CTbyvHuMa"/>
      <w:bookmarkEnd w:id="12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related to stock options of $</w:t>
      </w:r>
      <w:bookmarkStart w:id="1271" w:name="xdx_902_eus-gaap--AllocatedShareBasedCom"/>
      <w:bookmarkEnd w:id="1271"/>
      <w:r>
        <w:rPr>
          <w:rFonts w:ascii="Times New Roman;Times;Serif" w:hAnsi="Times New Roman;Times;Serif"/>
          <w:b w:val="false"/>
          <w:i w:val="false"/>
          <w:caps w:val="false"/>
          <w:smallCaps w:val="false"/>
          <w:sz w:val="20"/>
        </w:rPr>
        <w:t>23 and $</w:t>
      </w:r>
      <w:bookmarkStart w:id="1272" w:name="xdx_90D_eus-gaap--AllocatedShareBasedCom"/>
      <w:bookmarkEnd w:id="1272"/>
      <w:r>
        <w:rPr>
          <w:rFonts w:ascii="Times New Roman;Times;Serif" w:hAnsi="Times New Roman;Times;Serif"/>
          <w:b w:val="false"/>
          <w:i w:val="false"/>
          <w:caps w:val="false"/>
          <w:smallCaps w:val="false"/>
          <w:sz w:val="20"/>
        </w:rPr>
        <w:t>22, which is included in general and administrative expense. As of March 31, 2026 and 2025, $</w:t>
      </w:r>
      <w:bookmarkStart w:id="1273" w:name="xdx_906_eus-gaap--EmployeeServiceShareBa"/>
      <w:bookmarkEnd w:id="1273"/>
      <w:r>
        <w:rPr>
          <w:rFonts w:ascii="Times New Roman;Times;Serif" w:hAnsi="Times New Roman;Times;Serif"/>
          <w:b w:val="false"/>
          <w:i w:val="false"/>
          <w:caps w:val="false"/>
          <w:smallCaps w:val="false"/>
          <w:sz w:val="20"/>
        </w:rPr>
        <w:t>203 and $</w:t>
      </w:r>
      <w:bookmarkStart w:id="1274" w:name="xdx_90A_eus-gaap--EmployeeServiceShareBa"/>
      <w:bookmarkEnd w:id="1274"/>
      <w:r>
        <w:rPr>
          <w:rFonts w:ascii="Times New Roman;Times;Serif" w:hAnsi="Times New Roman;Times;Serif"/>
          <w:b w:val="false"/>
          <w:i w:val="false"/>
          <w:caps w:val="false"/>
          <w:smallCaps w:val="false"/>
          <w:sz w:val="20"/>
        </w:rPr>
        <w:t xml:space="preserve">191 of unrecognized compensation expense related to non-vested awards is expected to be recognized over the weighted average period of </w:t>
      </w:r>
      <w:bookmarkStart w:id="1275" w:name="xdx_907_eus-gaap--EmployeeServiceShareBa"/>
      <w:bookmarkEnd w:id="1275"/>
      <w:r>
        <w:rPr>
          <w:rFonts w:ascii="Times New Roman;Times;Serif" w:hAnsi="Times New Roman;Times;Serif"/>
          <w:b w:val="false"/>
          <w:i w:val="false"/>
          <w:caps w:val="false"/>
          <w:smallCaps w:val="false"/>
          <w:sz w:val="20"/>
        </w:rPr>
        <w:t xml:space="preserve">8.87 and </w:t>
      </w:r>
      <w:bookmarkStart w:id="1276" w:name="xdx_909_eus-gaap--EmployeeServiceShareBa"/>
      <w:bookmarkEnd w:id="1276"/>
      <w:r>
        <w:rPr>
          <w:rFonts w:ascii="Times New Roman;Times;Serif" w:hAnsi="Times New Roman;Times;Serif"/>
          <w:b w:val="false"/>
          <w:i w:val="false"/>
          <w:caps w:val="false"/>
          <w:smallCaps w:val="false"/>
          <w:sz w:val="20"/>
        </w:rPr>
        <w:t>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the fair value of RSUs using the stock price on the date of grant. Stock-based compensation expense for employee-granted RSUs is generally recorded ratably over their vesting period of (a) </w:t>
      </w:r>
      <w:bookmarkStart w:id="1277" w:name="xdx_90E_eus-gaap--ShareBasedCompensation"/>
      <w:bookmarkEnd w:id="1277"/>
      <w:r>
        <w:rPr>
          <w:rFonts w:ascii="Times New Roman;Times;Serif" w:hAnsi="Times New Roman;Times;Serif"/>
          <w:b w:val="false"/>
          <w:i w:val="false"/>
          <w:caps w:val="false"/>
          <w:smallCaps w:val="false"/>
          <w:sz w:val="20"/>
        </w:rPr>
        <w:t xml:space="preserve">four years, with </w:t>
      </w:r>
      <w:bookmarkStart w:id="1278" w:name="xdx_906_eus-gaap--SharebasedCompensation"/>
      <w:bookmarkEnd w:id="1278"/>
      <w:r>
        <w:rPr>
          <w:rFonts w:ascii="Times New Roman;Times;Serif" w:hAnsi="Times New Roman;Times;Serif"/>
          <w:b w:val="false"/>
          <w:i w:val="false"/>
          <w:caps w:val="false"/>
          <w:smallCaps w:val="false"/>
          <w:sz w:val="20"/>
        </w:rPr>
        <w:t xml:space="preserve">25% of the RSUs vesting on each anniversary, or (b) </w:t>
      </w:r>
      <w:bookmarkStart w:id="1279" w:name="xdx_902_eus-gaap--ShareBasedCompensation"/>
      <w:bookmarkEnd w:id="1279"/>
      <w:r>
        <w:rPr>
          <w:rFonts w:ascii="Times New Roman;Times;Serif" w:hAnsi="Times New Roman;Times;Serif"/>
          <w:b w:val="false"/>
          <w:i w:val="false"/>
          <w:caps w:val="false"/>
          <w:smallCaps w:val="false"/>
          <w:sz w:val="20"/>
        </w:rPr>
        <w:t xml:space="preserve">one year, with </w:t>
      </w:r>
      <w:bookmarkStart w:id="1280" w:name="xdx_900_eus-gaap--SharebasedCompensation"/>
      <w:bookmarkEnd w:id="1280"/>
      <w:r>
        <w:rPr>
          <w:rFonts w:ascii="Times New Roman;Times;Serif" w:hAnsi="Times New Roman;Times;Serif"/>
          <w:b w:val="false"/>
          <w:i w:val="false"/>
          <w:caps w:val="false"/>
          <w:smallCaps w:val="false"/>
          <w:sz w:val="20"/>
        </w:rPr>
        <w:t xml:space="preserve">25% vesting quarterly, or (c) </w:t>
      </w:r>
      <w:bookmarkStart w:id="1281" w:name="xdx_90C_eus-gaap--ShareBasedCompensation"/>
      <w:bookmarkEnd w:id="1281"/>
      <w:r>
        <w:rPr>
          <w:rFonts w:ascii="Times New Roman;Times;Serif" w:hAnsi="Times New Roman;Times;Serif"/>
          <w:b w:val="false"/>
          <w:i w:val="false"/>
          <w:caps w:val="false"/>
          <w:smallCaps w:val="false"/>
          <w:sz w:val="20"/>
        </w:rPr>
        <w:t xml:space="preserve">one year, with </w:t>
      </w:r>
      <w:bookmarkStart w:id="1282" w:name="xdx_90F_eus-gaap--SharebasedCompensation"/>
      <w:bookmarkEnd w:id="1282"/>
      <w:r>
        <w:rPr>
          <w:rFonts w:ascii="Times New Roman;Times;Serif" w:hAnsi="Times New Roman;Times;Serif"/>
          <w:b w:val="false"/>
          <w:i w:val="false"/>
          <w:caps w:val="false"/>
          <w:smallCaps w:val="false"/>
          <w:sz w:val="20"/>
        </w:rPr>
        <w:t>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RSU activity during the three months ended March 31, 2026 is as follows:</w:t>
      </w:r>
    </w:p>
    <w:p>
      <w:pPr>
        <w:pStyle w:val="TextBody"/>
        <w:bidi w:val="0"/>
        <w:spacing w:before="0" w:after="0"/>
        <w:ind w:left="0" w:right="0" w:hanging="0"/>
        <w:jc w:val="both"/>
        <w:rPr>
          <w:caps w:val="false"/>
          <w:smallCaps w:val="false"/>
        </w:rPr>
      </w:pPr>
      <w:bookmarkStart w:id="1283" w:name="xdx_89D_eus-gaap--ScheduleOfShareBasedCo"/>
      <w:bookmarkEnd w:id="1283"/>
      <w:r>
        <w:rPr>
          <w:caps w:val="false"/>
          <w:smallCaps w:val="false"/>
        </w:rPr>
        <w:t> </w:t>
      </w:r>
      <w:bookmarkStart w:id="1284" w:name="xdx_8B6_zMaHblAcX7Ag"/>
      <w:bookmarkEnd w:id="1284"/>
      <w:r>
        <w:rPr>
          <w:rFonts w:ascii="Times New Roman;Times;Serif" w:hAnsi="Times New Roman;Times;Serif"/>
          <w:b w:val="false"/>
          <w:i w:val="false"/>
          <w:caps w:val="false"/>
          <w:smallCaps w:val="false"/>
          <w:sz w:val="20"/>
        </w:rPr>
        <w:t>Summary of RSU Activity</w:t>
      </w:r>
    </w:p>
    <w:tbl>
      <w:tblPr>
        <w:tblW w:w="8734" w:type="dxa"/>
        <w:jc w:val="left"/>
        <w:tblInd w:w="0" w:type="dxa"/>
        <w:tblLayout w:type="fixed"/>
        <w:tblCellMar>
          <w:top w:w="0" w:type="dxa"/>
          <w:left w:w="0" w:type="dxa"/>
          <w:bottom w:w="0" w:type="dxa"/>
          <w:right w:w="0" w:type="dxa"/>
        </w:tblCellMar>
      </w:tblPr>
      <w:tblGrid>
        <w:gridCol w:w="3350"/>
        <w:gridCol w:w="60"/>
        <w:gridCol w:w="60"/>
        <w:gridCol w:w="755"/>
        <w:gridCol w:w="95"/>
        <w:gridCol w:w="60"/>
        <w:gridCol w:w="726"/>
        <w:gridCol w:w="3553"/>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85" w:name="xdx_98D_eus-gaap--ShareBasedCompensation"/>
            <w:bookmarkEnd w:id="1285"/>
          </w:p>
        </w:tc>
        <w:tc>
          <w:tcPr>
            <w:tcW w:w="755" w:type="dxa"/>
            <w:tcBorders/>
            <w:shd w:fill="CCEEFF" w:val="clear"/>
            <w:vAlign w:val="center"/>
          </w:tcPr>
          <w:p>
            <w:pPr>
              <w:pStyle w:val="TableContents"/>
              <w:bidi w:val="0"/>
              <w:spacing w:before="0" w:after="283"/>
              <w:jc w:val="right"/>
              <w:rPr/>
            </w:pPr>
            <w:r>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bookmarkStart w:id="1286" w:name="xdx_987_eus-gaap--ShareBasedCompensation"/>
            <w:bookmarkEnd w:id="1286"/>
          </w:p>
        </w:tc>
        <w:tc>
          <w:tcPr>
            <w:tcW w:w="3553" w:type="dxa"/>
            <w:tcBorders/>
            <w:shd w:fill="CCEEFF" w:val="clear"/>
            <w:vAlign w:val="center"/>
          </w:tcPr>
          <w:p>
            <w:pPr>
              <w:pStyle w:val="TableContents"/>
              <w:bidi w:val="0"/>
              <w:spacing w:before="0" w:after="283"/>
              <w:jc w:val="right"/>
              <w:rPr/>
            </w:pPr>
            <w:r>
              <w:rPr/>
              <w:t>149.00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87" w:name="xdx_98E_eus-gaap--ShareBasedCompensation"/>
            <w:bookmarkEnd w:id="1287"/>
          </w:p>
        </w:tc>
        <w:tc>
          <w:tcPr>
            <w:tcW w:w="755" w:type="dxa"/>
            <w:tcBorders/>
            <w:shd w:fill="FFFFFF" w:val="clear"/>
            <w:vAlign w:val="center"/>
          </w:tcPr>
          <w:p>
            <w:pPr>
              <w:pStyle w:val="TableContents"/>
              <w:bidi w:val="0"/>
              <w:spacing w:before="0" w:after="283"/>
              <w:jc w:val="right"/>
              <w:rPr/>
            </w:pPr>
            <w:r>
              <w:rPr/>
              <w:t>44,557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bookmarkStart w:id="1288" w:name="xdx_982_eus-gaap--ShareBasedCompensation"/>
            <w:bookmarkEnd w:id="1288"/>
          </w:p>
        </w:tc>
        <w:tc>
          <w:tcPr>
            <w:tcW w:w="3553" w:type="dxa"/>
            <w:tcBorders/>
            <w:shd w:fill="FFFFFF" w:val="clear"/>
            <w:vAlign w:val="center"/>
          </w:tcPr>
          <w:p>
            <w:pPr>
              <w:pStyle w:val="TableContents"/>
              <w:bidi w:val="0"/>
              <w:spacing w:before="0" w:after="283"/>
              <w:jc w:val="right"/>
              <w:rPr/>
            </w:pPr>
            <w:r>
              <w:rPr/>
              <w:t>21.96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89" w:name="xdx_982_eus-gaap--ShareBasedCompensation"/>
            <w:bookmarkEnd w:id="1289"/>
          </w:p>
        </w:tc>
        <w:tc>
          <w:tcPr>
            <w:tcW w:w="755" w:type="dxa"/>
            <w:tcBorders/>
            <w:shd w:fill="CCEEFF" w:val="clear"/>
            <w:vAlign w:val="center"/>
          </w:tcPr>
          <w:p>
            <w:pPr>
              <w:pStyle w:val="TableContents"/>
              <w:bidi w:val="0"/>
              <w:spacing w:before="0" w:after="283"/>
              <w:jc w:val="right"/>
              <w:rPr/>
            </w:pPr>
            <w:r>
              <w:rPr/>
              <w:t>(38,304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bookmarkStart w:id="1290" w:name="xdx_98F_eus-gaap--ShareBasedCompensation"/>
            <w:bookmarkEnd w:id="1290"/>
          </w:p>
        </w:tc>
        <w:tc>
          <w:tcPr>
            <w:tcW w:w="3553" w:type="dxa"/>
            <w:tcBorders/>
            <w:shd w:fill="CCEEFF" w:val="clear"/>
            <w:vAlign w:val="center"/>
          </w:tcPr>
          <w:p>
            <w:pPr>
              <w:pStyle w:val="TableContents"/>
              <w:bidi w:val="0"/>
              <w:spacing w:before="0" w:after="283"/>
              <w:jc w:val="right"/>
              <w:rPr/>
            </w:pPr>
            <w:r>
              <w:rPr/>
              <w:t>36.84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91" w:name="xdx_98F_eus-gaap--ShareBasedCompensation"/>
            <w:bookmarkEnd w:id="1291"/>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92" w:name="xdx_98F_eus-gaap--ShareBasedCompensation"/>
            <w:bookmarkEnd w:id="1292"/>
          </w:p>
        </w:tc>
        <w:tc>
          <w:tcPr>
            <w:tcW w:w="3553" w:type="dxa"/>
            <w:tcBorders>
              <w:bottom w:val="single" w:sz="8" w:space="0" w:color="000000"/>
            </w:tcBorders>
            <w:shd w:fill="FFFFFF" w:val="clear"/>
            <w:tcMar>
              <w:bottom w:w="28" w:type="dxa"/>
            </w:tcMar>
            <w:vAlign w:val="center"/>
          </w:tcPr>
          <w:p>
            <w:pPr>
              <w:pStyle w:val="TableContents"/>
              <w:bidi w:val="0"/>
              <w:spacing w:before="0" w:after="283"/>
              <w:jc w:val="right"/>
              <w:rPr/>
            </w:pPr>
            <w:r>
              <w:rPr/>
              <w:t>206.00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93" w:name="xdx_98E_eus-gaap--ShareBasedCompensation"/>
            <w:bookmarkEnd w:id="1293"/>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294" w:name="xdx_984_eus-gaap--ShareBasedCompensation"/>
            <w:bookmarkEnd w:id="1294"/>
          </w:p>
        </w:tc>
        <w:tc>
          <w:tcPr>
            <w:tcW w:w="3553" w:type="dxa"/>
            <w:tcBorders>
              <w:bottom w:val="double" w:sz="6" w:space="0" w:color="000000"/>
            </w:tcBorders>
            <w:shd w:fill="CCEEFF" w:val="clear"/>
            <w:tcMar>
              <w:bottom w:w="28" w:type="dxa"/>
            </w:tcMar>
            <w:vAlign w:val="center"/>
          </w:tcPr>
          <w:p>
            <w:pPr>
              <w:pStyle w:val="TableContents"/>
              <w:bidi w:val="0"/>
              <w:spacing w:before="0" w:after="283"/>
              <w:jc w:val="right"/>
              <w:rPr/>
            </w:pPr>
            <w:r>
              <w:rPr/>
              <w:t>71.77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95" w:name="xdx_8AD_z8j69kxahcah"/>
      <w:bookmarkEnd w:id="129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total stock-based compensation expense related to RSUs of $</w:t>
      </w:r>
      <w:bookmarkStart w:id="1296" w:name="xdx_907_eus-gaap--AllocatedShareBasedCom"/>
      <w:bookmarkEnd w:id="1296"/>
      <w:r>
        <w:rPr>
          <w:rFonts w:ascii="Times New Roman;Times;Serif" w:hAnsi="Times New Roman;Times;Serif"/>
          <w:b w:val="false"/>
          <w:i w:val="false"/>
          <w:caps w:val="false"/>
          <w:smallCaps w:val="false"/>
          <w:sz w:val="20"/>
        </w:rPr>
        <w:t>1,065 and $</w:t>
      </w:r>
      <w:bookmarkStart w:id="1297" w:name="xdx_90F_eus-gaap--AllocatedShareBasedCom"/>
      <w:bookmarkEnd w:id="1297"/>
      <w:r>
        <w:rPr>
          <w:rFonts w:ascii="Times New Roman;Times;Serif" w:hAnsi="Times New Roman;Times;Serif"/>
          <w:b w:val="false"/>
          <w:i w:val="false"/>
          <w:caps w:val="false"/>
          <w:smallCaps w:val="false"/>
          <w:sz w:val="20"/>
        </w:rPr>
        <w:t>315, respectively, which is included in general and administrative expense. As of March 31, 2026 and 2025, unrecognized compensation cost related to the grant of RSUs was $</w:t>
      </w:r>
      <w:bookmarkStart w:id="1298" w:name="xdx_90D_eus-gaap--EmployeeServiceShareBa"/>
      <w:bookmarkEnd w:id="1298"/>
      <w:r>
        <w:rPr>
          <w:rFonts w:ascii="Times New Roman;Times;Serif" w:hAnsi="Times New Roman;Times;Serif"/>
          <w:b w:val="false"/>
          <w:i w:val="false"/>
          <w:caps w:val="false"/>
          <w:smallCaps w:val="false"/>
          <w:sz w:val="20"/>
        </w:rPr>
        <w:t>1,542 and $</w:t>
      </w:r>
      <w:bookmarkStart w:id="1299" w:name="xdx_905_eus-gaap--EmployeeServiceShareBa"/>
      <w:bookmarkEnd w:id="1299"/>
      <w:r>
        <w:rPr>
          <w:rFonts w:ascii="Times New Roman;Times;Serif" w:hAnsi="Times New Roman;Times;Serif"/>
          <w:b w:val="false"/>
          <w:i w:val="false"/>
          <w:caps w:val="false"/>
          <w:smallCaps w:val="false"/>
          <w:sz w:val="20"/>
        </w:rPr>
        <w:t xml:space="preserve">191, respectively. Unvested outstanding RSUs as of March 31, 2026 and 2025 had a weighted average remaining vesting period of </w:t>
      </w:r>
      <w:bookmarkStart w:id="1300" w:name="xdx_906_eus-gaap--EmployeeServiceShareBa"/>
      <w:bookmarkEnd w:id="1300"/>
      <w:r>
        <w:rPr>
          <w:rFonts w:ascii="Times New Roman;Times;Serif" w:hAnsi="Times New Roman;Times;Serif"/>
          <w:b w:val="false"/>
          <w:i w:val="false"/>
          <w:caps w:val="false"/>
          <w:smallCaps w:val="false"/>
          <w:sz w:val="20"/>
        </w:rPr>
        <w:t xml:space="preserve">1.73 and </w:t>
      </w:r>
      <w:bookmarkStart w:id="1301" w:name="xdx_904_eus-gaap--EmployeeServiceShareBa"/>
      <w:bookmarkEnd w:id="1301"/>
      <w:r>
        <w:rPr>
          <w:rFonts w:ascii="Times New Roman;Times;Serif" w:hAnsi="Times New Roman;Times;Serif"/>
          <w:b w:val="false"/>
          <w:i w:val="false"/>
          <w:caps w:val="false"/>
          <w:smallCaps w:val="false"/>
          <w:sz w:val="20"/>
        </w:rPr>
        <w:t>2.25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w:t>
      </w:r>
      <w:bookmarkStart w:id="1302" w:name="xdx_903_eus-gaap--ShareBasedCompensation"/>
      <w:bookmarkEnd w:id="1302"/>
      <w:r>
        <w:rPr>
          <w:rFonts w:ascii="Times New Roman;Times;Serif" w:hAnsi="Times New Roman;Times;Serif"/>
          <w:b w:val="false"/>
          <w:i w:val="false"/>
          <w:caps w:val="false"/>
          <w:smallCaps w:val="false"/>
          <w:sz w:val="20"/>
        </w:rPr>
        <w:t>15.0 million to $</w:t>
      </w:r>
      <w:bookmarkStart w:id="1303" w:name="xdx_90B_eus-gaap--ShareBasedCompensation"/>
      <w:bookmarkEnd w:id="1303"/>
      <w:r>
        <w:rPr>
          <w:rFonts w:ascii="Times New Roman;Times;Serif" w:hAnsi="Times New Roman;Times;Serif"/>
          <w:b w:val="false"/>
          <w:i w:val="false"/>
          <w:caps w:val="false"/>
          <w:smallCaps w:val="false"/>
          <w:sz w:val="20"/>
        </w:rPr>
        <w:t>30.0 million, which result in stock grants ranging from $</w:t>
      </w:r>
      <w:bookmarkStart w:id="1304" w:name="xdx_90F_eus-gaap--ShareBasedCompensation"/>
      <w:bookmarkEnd w:id="1304"/>
      <w:r>
        <w:rPr>
          <w:rFonts w:ascii="Times New Roman;Times;Serif" w:hAnsi="Times New Roman;Times;Serif"/>
          <w:b w:val="false"/>
          <w:i w:val="false"/>
          <w:caps w:val="false"/>
          <w:smallCaps w:val="false"/>
          <w:sz w:val="20"/>
        </w:rPr>
        <w:t>250 to $</w:t>
      </w:r>
      <w:bookmarkStart w:id="1305" w:name="xdx_901_eus-gaap--ShareBasedCompensation"/>
      <w:bookmarkEnd w:id="1305"/>
      <w:r>
        <w:rPr>
          <w:rFonts w:ascii="Times New Roman;Times;Serif" w:hAnsi="Times New Roman;Times;Serif"/>
          <w:b w:val="false"/>
          <w:i w:val="false"/>
          <w:caps w:val="false"/>
          <w:smallCaps w:val="false"/>
          <w:sz w:val="20"/>
        </w:rPr>
        <w:t>750, up to $</w:t>
      </w:r>
      <w:bookmarkStart w:id="1306" w:name="xdx_902_eus-gaap--ShareBasedCompensation"/>
      <w:bookmarkEnd w:id="1306"/>
      <w:r>
        <w:rPr>
          <w:rFonts w:ascii="Times New Roman;Times;Serif" w:hAnsi="Times New Roman;Times;Serif"/>
          <w:b w:val="false"/>
          <w:i w:val="false"/>
          <w:caps w:val="false"/>
          <w:smallCaps w:val="false"/>
          <w:sz w:val="20"/>
        </w:rPr>
        <w:t>2.0 million in the aggregate. The CEO Award is equity-classified and the grant-date fair value was estimated using a Monte Carlo simulation model, using historical volatility as a key input. The Company recognized $</w:t>
      </w:r>
      <w:bookmarkStart w:id="1307" w:name="xdx_90A_eus-gaap--AllocatedShareBasedCom"/>
      <w:bookmarkEnd w:id="1307"/>
      <w:r>
        <w:rPr>
          <w:rFonts w:ascii="Times New Roman;Times;Serif" w:hAnsi="Times New Roman;Times;Serif"/>
          <w:b w:val="false"/>
          <w:i w:val="false"/>
          <w:caps w:val="false"/>
          <w:smallCaps w:val="false"/>
          <w:sz w:val="20"/>
        </w:rPr>
        <w:t>220 of stock-based compensation expense related to this award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08" w:name="xdx_80C_eus-gaap--IncomeTaxDisclosureTex"/>
      <w:bookmarkEnd w:id="1308"/>
      <w:r>
        <w:rPr>
          <w:rFonts w:ascii="Times New Roman;Times;Serif" w:hAnsi="Times New Roman;Times;Serif"/>
          <w:b/>
          <w:i w:val="false"/>
          <w:caps w:val="false"/>
          <w:smallCaps w:val="false"/>
          <w:sz w:val="20"/>
        </w:rPr>
        <w:t xml:space="preserve">16. </w:t>
      </w:r>
      <w:bookmarkStart w:id="1309" w:name="xdx_82A_zuKZ1Mtv9PR"/>
      <w:bookmarkEnd w:id="1309"/>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an annual effective tax rate of </w:t>
      </w:r>
      <w:bookmarkStart w:id="1310" w:name="xdx_90B_eus-gaap--EffectiveIncomeTaxRate"/>
      <w:bookmarkEnd w:id="1310"/>
      <w:r>
        <w:rPr>
          <w:rFonts w:ascii="Times New Roman;Times;Serif" w:hAnsi="Times New Roman;Times;Serif"/>
          <w:b w:val="false"/>
          <w:i w:val="false"/>
          <w:caps w:val="false"/>
          <w:smallCaps w:val="false"/>
          <w:sz w:val="20"/>
        </w:rPr>
        <w:t xml:space="preserve">19% for the year ended December 31, 2026. The effective tax rate for the three months ended March 31, 2026 is </w:t>
      </w:r>
      <w:bookmarkStart w:id="1311" w:name="xdx_90E_eus-gaap--EffectiveIncomeTaxRate"/>
      <w:bookmarkEnd w:id="1311"/>
      <w:r>
        <w:rPr>
          <w:rFonts w:ascii="Times New Roman;Times;Serif" w:hAnsi="Times New Roman;Times;Serif"/>
          <w:b w:val="false"/>
          <w:i w:val="false"/>
          <w:caps w:val="false"/>
          <w:smallCaps w:val="false"/>
          <w:sz w:val="20"/>
        </w:rPr>
        <w:t xml:space="preserve">0.63%. The effective tax rate is due to the Company’s operations in England and Wales derived by the Vidello Merger. The Vidello operations in England and Wales are subject to a statutory corporate tax rate of </w:t>
      </w:r>
      <w:bookmarkStart w:id="1312" w:name="xdx_907_eus-gaap--EffectiveIncomeTaxRate"/>
      <w:bookmarkEnd w:id="1312"/>
      <w:r>
        <w:rPr>
          <w:rFonts w:ascii="Times New Roman;Times;Serif" w:hAnsi="Times New Roman;Times;Serif"/>
          <w:b w:val="false"/>
          <w:i w:val="false"/>
          <w:caps w:val="false"/>
          <w:smallCaps w:val="false"/>
          <w:sz w:val="20"/>
        </w:rPr>
        <w:t>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Company had </w:t>
      </w:r>
      <w:bookmarkStart w:id="1313" w:name="xdx_908_eus-gaap--UnrecognizedTaxBenefit"/>
      <w:bookmarkEnd w:id="1313"/>
      <w:r>
        <w:rPr>
          <w:rFonts w:ascii="Times New Roman;Times;Serif" w:hAnsi="Times New Roman;Times;Serif"/>
          <w:b w:val="false"/>
          <w:i w:val="false"/>
          <w:caps w:val="false"/>
          <w:smallCaps w:val="false"/>
          <w:sz w:val="20"/>
        </w:rPr>
        <w:t>no unrecognized tax benefits that would reduce the Company’s effective tax rate if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14" w:name="xdx_809_eus-gaap--SegmentReportingDisclo"/>
      <w:bookmarkEnd w:id="1314"/>
      <w:r>
        <w:rPr>
          <w:rFonts w:ascii="Times New Roman;Times;Serif" w:hAnsi="Times New Roman;Times;Serif"/>
          <w:b/>
          <w:i w:val="false"/>
          <w:caps w:val="false"/>
          <w:smallCaps w:val="false"/>
          <w:sz w:val="20"/>
        </w:rPr>
        <w:t xml:space="preserve">17. </w:t>
      </w:r>
      <w:bookmarkStart w:id="1315" w:name="xdx_829_zN1HCIboyCQi"/>
      <w:bookmarkEnd w:id="1315"/>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1316" w:name="xdx_900_eus-gaap--NumberOfOperatingSegme"/>
      <w:bookmarkStart w:id="1317" w:name="xdx_907_eus-gaap--NumberOfReportableSegm"/>
      <w:bookmarkEnd w:id="1316"/>
      <w:bookmarkEnd w:id="1317"/>
      <w:r>
        <w:rPr>
          <w:rFonts w:ascii="Times New Roman;Times;Serif" w:hAnsi="Times New Roman;Times;Serif"/>
          <w:b w:val="false"/>
          <w:i w:val="false"/>
          <w:caps w:val="false"/>
          <w:smallCaps w:val="false"/>
          <w:sz w:val="20"/>
        </w:rPr>
        <w:t>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t>
      </w:r>
      <w:bookmarkStart w:id="1318" w:name="xdx_901_eus-gaap--SegmentReportingCodmPr"/>
      <w:bookmarkEnd w:id="1318"/>
      <w:r>
        <w:rPr>
          <w:rFonts w:ascii="Times New Roman;Times;Serif" w:hAnsi="Times New Roman;Times;Serif"/>
          <w:b w:val="false"/>
          <w:i w:val="false"/>
          <w:caps w:val="false"/>
          <w:smallCaps w:val="false"/>
          <w:sz w:val="20"/>
        </w:rPr>
        <w:t>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19" w:name="xdx_894_eus-gaap--ScheduleOfSegmentRepor"/>
      <w:bookmarkEnd w:id="1319"/>
      <w:r>
        <w:rPr>
          <w:rFonts w:ascii="Times New Roman;Times;Serif" w:hAnsi="Times New Roman;Times;Serif"/>
          <w:b w:val="false"/>
          <w:i w:val="false"/>
          <w:caps w:val="false"/>
          <w:smallCaps w:val="false"/>
          <w:sz w:val="20"/>
        </w:rPr>
        <w:t>The table below presents information about segments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320" w:name="xdx_8B6_z8NBsCDrpUpg"/>
      <w:bookmarkEnd w:id="1320"/>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493"/>
        <w:gridCol w:w="60"/>
        <w:gridCol w:w="284"/>
        <w:gridCol w:w="1295"/>
        <w:gridCol w:w="95"/>
        <w:gridCol w:w="60"/>
        <w:gridCol w:w="205"/>
        <w:gridCol w:w="820"/>
        <w:gridCol w:w="60"/>
        <w:gridCol w:w="60"/>
        <w:gridCol w:w="199"/>
        <w:gridCol w:w="541"/>
        <w:gridCol w:w="95"/>
        <w:gridCol w:w="60"/>
        <w:gridCol w:w="318"/>
        <w:gridCol w:w="1448"/>
        <w:gridCol w:w="112"/>
      </w:tblGrid>
      <w:tr>
        <w:trPr/>
        <w:tc>
          <w:tcPr>
            <w:tcW w:w="4493" w:type="dxa"/>
            <w:tcBorders/>
            <w:vAlign w:val="center"/>
          </w:tcPr>
          <w:p>
            <w:pPr>
              <w:pStyle w:val="TableContents"/>
              <w:bidi w:val="0"/>
              <w:spacing w:before="0" w:after="283"/>
              <w:jc w:val="left"/>
              <w:rPr>
                <w:b/>
              </w:rPr>
            </w:pPr>
            <w:r>
              <w:rPr>
                <w:b/>
              </w:rPr>
              <w:t>Three months ended March 31, 2026</w:t>
            </w:r>
          </w:p>
        </w:tc>
        <w:tc>
          <w:tcPr>
            <w:tcW w:w="60" w:type="dxa"/>
            <w:tcBorders/>
            <w:vAlign w:val="center"/>
          </w:tcPr>
          <w:p>
            <w:pPr>
              <w:pStyle w:val="TableContents"/>
              <w:bidi w:val="0"/>
              <w:spacing w:before="0" w:after="283"/>
              <w:jc w:val="left"/>
              <w:rPr/>
            </w:pPr>
            <w:r>
              <w:rPr/>
              <w:t> </w:t>
            </w:r>
            <w:bookmarkStart w:id="1321" w:name="xdx_492_20260101__20260331__us-gaap--Sta"/>
            <w:bookmarkEnd w:id="1321"/>
          </w:p>
        </w:tc>
        <w:tc>
          <w:tcPr>
            <w:tcW w:w="15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2" w:name="xdx_495_20260101__20260331__us-gaap--Sta"/>
            <w:bookmarkEnd w:id="1322"/>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3" w:name="xdx_49F_20260101__20260331__us-gaap--Sta"/>
            <w:bookmarkEnd w:id="1323"/>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4" w:name="xdx_498_20260101__20260331_zwSXC398KcSf"/>
            <w:bookmarkEnd w:id="1324"/>
          </w:p>
        </w:tc>
        <w:tc>
          <w:tcPr>
            <w:tcW w:w="176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2" w:type="dxa"/>
            <w:tcBorders/>
            <w:vAlign w:val="center"/>
          </w:tcPr>
          <w:p>
            <w:pPr>
              <w:pStyle w:val="TableContents"/>
              <w:bidi w:val="0"/>
              <w:spacing w:before="0" w:after="283"/>
              <w:jc w:val="left"/>
              <w:rPr/>
            </w:pPr>
            <w:r>
              <w:rPr/>
              <w:t> </w:t>
            </w:r>
            <w:bookmarkStart w:id="1325" w:name="xdx_404_eus-gaap--RevenueFromContractWit"/>
            <w:bookmarkEnd w:id="1325"/>
          </w:p>
        </w:tc>
      </w:tr>
      <w:tr>
        <w:trPr/>
        <w:tc>
          <w:tcPr>
            <w:tcW w:w="449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2,696</w:t>
            </w:r>
          </w:p>
        </w:tc>
        <w:tc>
          <w:tcPr>
            <w:tcW w:w="112" w:type="dxa"/>
            <w:tcBorders/>
            <w:shd w:fill="CCEEFF" w:val="clear"/>
            <w:vAlign w:val="center"/>
          </w:tcPr>
          <w:p>
            <w:pPr>
              <w:pStyle w:val="TableContents"/>
              <w:bidi w:val="0"/>
              <w:spacing w:before="0" w:after="283"/>
              <w:jc w:val="left"/>
              <w:rPr/>
            </w:pPr>
            <w:r>
              <w:rPr/>
              <w:t> </w:t>
            </w:r>
            <w:bookmarkStart w:id="1326" w:name="xdx_408_eus-gaap--CostOfRevenue_hsrt--Co"/>
            <w:bookmarkEnd w:id="1326"/>
          </w:p>
        </w:tc>
      </w:tr>
      <w:tr>
        <w:trPr/>
        <w:tc>
          <w:tcPr>
            <w:tcW w:w="449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521</w:t>
            </w:r>
          </w:p>
        </w:tc>
        <w:tc>
          <w:tcPr>
            <w:tcW w:w="112" w:type="dxa"/>
            <w:tcBorders/>
            <w:shd w:fill="FFFFFF" w:val="clear"/>
            <w:vAlign w:val="center"/>
          </w:tcPr>
          <w:p>
            <w:pPr>
              <w:pStyle w:val="TableContents"/>
              <w:bidi w:val="0"/>
              <w:spacing w:before="0" w:after="283"/>
              <w:jc w:val="left"/>
              <w:rPr/>
            </w:pPr>
            <w:r>
              <w:rPr/>
              <w:t> </w:t>
            </w:r>
            <w:bookmarkStart w:id="1327" w:name="xdx_402_eus-gaap--GrossProfit_iT_hsrt--C"/>
            <w:bookmarkEnd w:id="1327"/>
          </w:p>
        </w:tc>
      </w:tr>
      <w:tr>
        <w:trPr/>
        <w:tc>
          <w:tcPr>
            <w:tcW w:w="449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2,175</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28" w:name="xdx_405_eus-gaap--OperatingExpensesAbstr"/>
            <w:bookmarkEnd w:id="1328"/>
          </w:p>
        </w:tc>
      </w:tr>
      <w:tr>
        <w:trPr/>
        <w:tc>
          <w:tcPr>
            <w:tcW w:w="4493"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329" w:name="xdx_408_eus-gaap--LaborAndRelatedExpense"/>
            <w:bookmarkEnd w:id="1329"/>
          </w:p>
        </w:tc>
      </w:tr>
      <w:tr>
        <w:trPr/>
        <w:tc>
          <w:tcPr>
            <w:tcW w:w="4493"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3,096</w:t>
            </w:r>
          </w:p>
        </w:tc>
        <w:tc>
          <w:tcPr>
            <w:tcW w:w="112" w:type="dxa"/>
            <w:tcBorders/>
            <w:shd w:fill="FFFFFF" w:val="clear"/>
            <w:vAlign w:val="center"/>
          </w:tcPr>
          <w:p>
            <w:pPr>
              <w:pStyle w:val="TableContents"/>
              <w:bidi w:val="0"/>
              <w:spacing w:before="0" w:after="283"/>
              <w:jc w:val="left"/>
              <w:rPr/>
            </w:pPr>
            <w:r>
              <w:rPr/>
              <w:t> </w:t>
            </w:r>
            <w:bookmarkStart w:id="1330" w:name="xdx_40E_eus-gaap--MarketingAndAdvertisin"/>
            <w:bookmarkEnd w:id="1330"/>
          </w:p>
        </w:tc>
      </w:tr>
      <w:tr>
        <w:trPr/>
        <w:tc>
          <w:tcPr>
            <w:tcW w:w="4493"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533</w:t>
            </w:r>
          </w:p>
        </w:tc>
        <w:tc>
          <w:tcPr>
            <w:tcW w:w="112" w:type="dxa"/>
            <w:tcBorders/>
            <w:shd w:fill="CCEEFF" w:val="clear"/>
            <w:vAlign w:val="center"/>
          </w:tcPr>
          <w:p>
            <w:pPr>
              <w:pStyle w:val="TableContents"/>
              <w:bidi w:val="0"/>
              <w:spacing w:before="0" w:after="283"/>
              <w:jc w:val="left"/>
              <w:rPr/>
            </w:pPr>
            <w:r>
              <w:rPr/>
              <w:t> </w:t>
            </w:r>
            <w:bookmarkStart w:id="1331" w:name="xdx_400_eus-gaap--CommunicationsAndInfor"/>
            <w:bookmarkEnd w:id="1331"/>
          </w:p>
        </w:tc>
      </w:tr>
      <w:tr>
        <w:trPr/>
        <w:tc>
          <w:tcPr>
            <w:tcW w:w="4493"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230</w:t>
            </w:r>
          </w:p>
        </w:tc>
        <w:tc>
          <w:tcPr>
            <w:tcW w:w="112" w:type="dxa"/>
            <w:tcBorders/>
            <w:shd w:fill="FFFFFF" w:val="clear"/>
            <w:vAlign w:val="center"/>
          </w:tcPr>
          <w:p>
            <w:pPr>
              <w:pStyle w:val="TableContents"/>
              <w:bidi w:val="0"/>
              <w:spacing w:before="0" w:after="283"/>
              <w:jc w:val="left"/>
              <w:rPr/>
            </w:pPr>
            <w:r>
              <w:rPr/>
              <w:t> </w:t>
            </w:r>
            <w:bookmarkStart w:id="1332" w:name="xdx_401_eus-gaap--OtherExpenses_i01_hsrt"/>
            <w:bookmarkEnd w:id="1332"/>
          </w:p>
        </w:tc>
      </w:tr>
      <w:tr>
        <w:trPr/>
        <w:tc>
          <w:tcPr>
            <w:tcW w:w="44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1333" w:name="xdx_F44_z9fkKpnjp4ea"/>
            <w:bookmarkEnd w:id="1333"/>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112" w:type="dxa"/>
            <w:tcBorders/>
            <w:shd w:fill="CCEEFF" w:val="clear"/>
            <w:vAlign w:val="center"/>
          </w:tcPr>
          <w:p>
            <w:pPr>
              <w:pStyle w:val="TableContents"/>
              <w:bidi w:val="0"/>
              <w:spacing w:before="0" w:after="283"/>
              <w:jc w:val="left"/>
              <w:rPr/>
            </w:pPr>
            <w:r>
              <w:rPr/>
              <w:t> </w:t>
            </w:r>
            <w:bookmarkStart w:id="1334" w:name="xdx_40C_eus-gaap--OperatingExpenses_i01T"/>
            <w:bookmarkEnd w:id="1334"/>
          </w:p>
        </w:tc>
      </w:tr>
      <w:tr>
        <w:trPr/>
        <w:tc>
          <w:tcPr>
            <w:tcW w:w="4493"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4,083</w:t>
            </w:r>
          </w:p>
        </w:tc>
        <w:tc>
          <w:tcPr>
            <w:tcW w:w="112" w:type="dxa"/>
            <w:tcBorders/>
            <w:shd w:fill="FFFFFF" w:val="clear"/>
            <w:vAlign w:val="center"/>
          </w:tcPr>
          <w:p>
            <w:pPr>
              <w:pStyle w:val="TableContents"/>
              <w:bidi w:val="0"/>
              <w:spacing w:before="0" w:after="283"/>
              <w:jc w:val="left"/>
              <w:rPr/>
            </w:pPr>
            <w:r>
              <w:rPr/>
              <w:t> </w:t>
            </w:r>
            <w:bookmarkStart w:id="1335" w:name="xdx_405_ecustom--AdjustedEBITDAFromConti"/>
            <w:bookmarkEnd w:id="1335"/>
          </w:p>
        </w:tc>
      </w:tr>
      <w:tr>
        <w:trPr/>
        <w:tc>
          <w:tcPr>
            <w:tcW w:w="4493"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(1,908</w:t>
            </w:r>
          </w:p>
        </w:tc>
        <w:tc>
          <w:tcPr>
            <w:tcW w:w="112" w:type="dxa"/>
            <w:tcBorders/>
            <w:shd w:fill="CCEEFF" w:val="clear"/>
            <w:vAlign w:val="center"/>
          </w:tcPr>
          <w:p>
            <w:pPr>
              <w:pStyle w:val="TableContents"/>
              <w:bidi w:val="0"/>
              <w:spacing w:before="0" w:after="283"/>
              <w:jc w:val="left"/>
              <w:rPr/>
            </w:pPr>
            <w:r>
              <w:rPr/>
              <w:t>)</w:t>
            </w:r>
            <w:bookmarkStart w:id="1336" w:name="xdx_404_ecustom--OperatingCostsExpensesA"/>
            <w:bookmarkEnd w:id="1336"/>
          </w:p>
        </w:tc>
      </w:tr>
      <w:tr>
        <w:trPr/>
        <w:tc>
          <w:tcPr>
            <w:tcW w:w="4493"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112" w:type="dxa"/>
            <w:tcBorders/>
            <w:shd w:fill="FFFFFF" w:val="clear"/>
            <w:vAlign w:val="center"/>
          </w:tcPr>
          <w:p>
            <w:pPr>
              <w:pStyle w:val="TableContents"/>
              <w:bidi w:val="0"/>
              <w:spacing w:before="0" w:after="283"/>
              <w:jc w:val="left"/>
              <w:rPr/>
            </w:pPr>
            <w:r>
              <w:rPr/>
              <w:t> </w:t>
            </w:r>
            <w:bookmarkStart w:id="1337" w:name="xdx_401_ecustom--AdjustedEBITDAFromConti"/>
            <w:bookmarkEnd w:id="1337"/>
          </w:p>
        </w:tc>
      </w:tr>
      <w:tr>
        <w:trPr/>
        <w:tc>
          <w:tcPr>
            <w:tcW w:w="4493"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(5,608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(5,475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38" w:name="xdx_F0A_ztchHh9G7Tcl"/>
            <w:bookmarkEnd w:id="1338"/>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bookmarkStart w:id="1339" w:name="xdx_F11_zTL7RF6m2dql"/>
            <w:bookmarkEnd w:id="1339"/>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0"/>
        <w:gridCol w:w="60"/>
        <w:gridCol w:w="284"/>
        <w:gridCol w:w="1299"/>
        <w:gridCol w:w="95"/>
        <w:gridCol w:w="60"/>
        <w:gridCol w:w="205"/>
        <w:gridCol w:w="820"/>
        <w:gridCol w:w="60"/>
        <w:gridCol w:w="60"/>
        <w:gridCol w:w="199"/>
        <w:gridCol w:w="541"/>
        <w:gridCol w:w="60"/>
        <w:gridCol w:w="60"/>
        <w:gridCol w:w="318"/>
        <w:gridCol w:w="1451"/>
        <w:gridCol w:w="113"/>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0" w:name="xdx_494_20250101__20250331__us-gaap--Sta"/>
            <w:bookmarkEnd w:id="1340"/>
          </w:p>
        </w:tc>
        <w:tc>
          <w:tcPr>
            <w:tcW w:w="1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1" w:name="xdx_49C_20250101__20250331__us-gaap--Sta"/>
            <w:bookmarkEnd w:id="1341"/>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2" w:name="xdx_491_20250101__20250331__us-gaap--Sta"/>
            <w:bookmarkEnd w:id="1342"/>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bookmarkStart w:id="1343" w:name="xdx_F54_zI34eOCEk8v"/>
            <w:bookmarkEnd w:id="1343"/>
            <w:r>
              <w:rPr>
                <w:rFonts w:ascii="Times New Roman;Times;Serif" w:hAnsi="Times New Roman;Times;Serif"/>
                <w:b/>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4" w:name="xdx_496_20250101__20250331_zXqxDQ1kAKw4"/>
            <w:bookmarkEnd w:id="1344"/>
          </w:p>
        </w:tc>
        <w:tc>
          <w:tcPr>
            <w:tcW w:w="1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3"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b/>
              </w:rPr>
            </w:pPr>
            <w:r>
              <w:rPr>
                <w:b/>
              </w:rPr>
              <w:t>Three months ended March 31, 2025</w:t>
            </w:r>
          </w:p>
        </w:tc>
        <w:tc>
          <w:tcPr>
            <w:tcW w:w="60" w:type="dxa"/>
            <w:tcBorders/>
            <w:vAlign w:val="center"/>
          </w:tcPr>
          <w:p>
            <w:pPr>
              <w:pStyle w:val="TableContents"/>
              <w:bidi w:val="0"/>
              <w:spacing w:before="0" w:after="283"/>
              <w:jc w:val="left"/>
              <w:rPr/>
            </w:pPr>
            <w:r>
              <w:rPr/>
              <w:t> </w:t>
            </w:r>
          </w:p>
        </w:tc>
        <w:tc>
          <w:tcPr>
            <w:tcW w:w="158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3" w:type="dxa"/>
            <w:tcBorders/>
            <w:vAlign w:val="center"/>
          </w:tcPr>
          <w:p>
            <w:pPr>
              <w:pStyle w:val="TableContents"/>
              <w:bidi w:val="0"/>
              <w:spacing w:before="0" w:after="283"/>
              <w:jc w:val="left"/>
              <w:rPr/>
            </w:pPr>
            <w:r>
              <w:rPr/>
              <w:t> </w:t>
            </w:r>
            <w:bookmarkStart w:id="1345" w:name="xdx_408_eus-gaap--RevenueFromContractWit"/>
            <w:bookmarkEnd w:id="1345"/>
          </w:p>
        </w:tc>
      </w:tr>
      <w:tr>
        <w:trPr/>
        <w:tc>
          <w:tcPr>
            <w:tcW w:w="45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1,160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51" w:type="dxa"/>
            <w:tcBorders/>
            <w:shd w:fill="CCEEFF" w:val="clear"/>
            <w:vAlign w:val="center"/>
          </w:tcPr>
          <w:p>
            <w:pPr>
              <w:pStyle w:val="TableContents"/>
              <w:bidi w:val="0"/>
              <w:spacing w:before="0" w:after="283"/>
              <w:jc w:val="right"/>
              <w:rPr/>
            </w:pPr>
            <w:r>
              <w:rPr/>
              <w:t>3,379</w:t>
            </w:r>
          </w:p>
        </w:tc>
        <w:tc>
          <w:tcPr>
            <w:tcW w:w="113" w:type="dxa"/>
            <w:tcBorders/>
            <w:shd w:fill="CCEEFF" w:val="clear"/>
            <w:vAlign w:val="center"/>
          </w:tcPr>
          <w:p>
            <w:pPr>
              <w:pStyle w:val="TableContents"/>
              <w:bidi w:val="0"/>
              <w:spacing w:before="0" w:after="283"/>
              <w:jc w:val="left"/>
              <w:rPr/>
            </w:pPr>
            <w:r>
              <w:rPr/>
              <w:t> </w:t>
            </w:r>
            <w:bookmarkStart w:id="1346" w:name="xdx_401_eus-gaap--CostOfRevenue_hsrt--Co"/>
            <w:bookmarkEnd w:id="1346"/>
          </w:p>
        </w:tc>
      </w:tr>
      <w:tr>
        <w:trPr/>
        <w:tc>
          <w:tcPr>
            <w:tcW w:w="452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606</w:t>
            </w:r>
          </w:p>
        </w:tc>
        <w:tc>
          <w:tcPr>
            <w:tcW w:w="113" w:type="dxa"/>
            <w:tcBorders/>
            <w:shd w:fill="FFFFFF" w:val="clear"/>
            <w:vAlign w:val="center"/>
          </w:tcPr>
          <w:p>
            <w:pPr>
              <w:pStyle w:val="TableContents"/>
              <w:bidi w:val="0"/>
              <w:spacing w:before="0" w:after="283"/>
              <w:jc w:val="left"/>
              <w:rPr/>
            </w:pPr>
            <w:r>
              <w:rPr/>
              <w:t> </w:t>
            </w:r>
            <w:bookmarkStart w:id="1347" w:name="xdx_40E_eus-gaap--GrossProfit_iT_hsrt--C"/>
            <w:bookmarkEnd w:id="1347"/>
          </w:p>
        </w:tc>
      </w:tr>
      <w:tr>
        <w:trPr/>
        <w:tc>
          <w:tcPr>
            <w:tcW w:w="452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2,773</w:t>
            </w:r>
          </w:p>
        </w:tc>
        <w:tc>
          <w:tcPr>
            <w:tcW w:w="113"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48" w:name="xdx_405_eus-gaap--OperatingExpensesAbstr"/>
            <w:bookmarkEnd w:id="1348"/>
          </w:p>
        </w:tc>
      </w:tr>
      <w:tr>
        <w:trPr/>
        <w:tc>
          <w:tcPr>
            <w:tcW w:w="4520"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49" w:name="xdx_409_eus-gaap--LaborAndRelatedExpense"/>
            <w:bookmarkEnd w:id="1349"/>
          </w:p>
        </w:tc>
      </w:tr>
      <w:tr>
        <w:trPr/>
        <w:tc>
          <w:tcPr>
            <w:tcW w:w="4520"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2,294</w:t>
            </w:r>
          </w:p>
        </w:tc>
        <w:tc>
          <w:tcPr>
            <w:tcW w:w="113" w:type="dxa"/>
            <w:tcBorders/>
            <w:shd w:fill="FFFFFF" w:val="clear"/>
            <w:vAlign w:val="center"/>
          </w:tcPr>
          <w:p>
            <w:pPr>
              <w:pStyle w:val="TableContents"/>
              <w:bidi w:val="0"/>
              <w:spacing w:before="0" w:after="283"/>
              <w:jc w:val="left"/>
              <w:rPr/>
            </w:pPr>
            <w:r>
              <w:rPr/>
              <w:t> </w:t>
            </w:r>
            <w:bookmarkStart w:id="1350" w:name="xdx_406_eus-gaap--MarketingAndAdvertisin"/>
            <w:bookmarkEnd w:id="1350"/>
          </w:p>
        </w:tc>
      </w:tr>
      <w:tr>
        <w:trPr/>
        <w:tc>
          <w:tcPr>
            <w:tcW w:w="4520"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937</w:t>
            </w:r>
          </w:p>
        </w:tc>
        <w:tc>
          <w:tcPr>
            <w:tcW w:w="113" w:type="dxa"/>
            <w:tcBorders/>
            <w:shd w:fill="CCEEFF" w:val="clear"/>
            <w:vAlign w:val="center"/>
          </w:tcPr>
          <w:p>
            <w:pPr>
              <w:pStyle w:val="TableContents"/>
              <w:bidi w:val="0"/>
              <w:spacing w:before="0" w:after="283"/>
              <w:jc w:val="left"/>
              <w:rPr/>
            </w:pPr>
            <w:r>
              <w:rPr/>
              <w:t> </w:t>
            </w:r>
            <w:bookmarkStart w:id="1351" w:name="xdx_40B_eus-gaap--CommunicationsAndInfor"/>
            <w:bookmarkEnd w:id="1351"/>
          </w:p>
        </w:tc>
      </w:tr>
      <w:tr>
        <w:trPr/>
        <w:tc>
          <w:tcPr>
            <w:tcW w:w="4520"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822</w:t>
            </w:r>
          </w:p>
        </w:tc>
        <w:tc>
          <w:tcPr>
            <w:tcW w:w="113" w:type="dxa"/>
            <w:tcBorders/>
            <w:shd w:fill="FFFFFF" w:val="clear"/>
            <w:vAlign w:val="center"/>
          </w:tcPr>
          <w:p>
            <w:pPr>
              <w:pStyle w:val="TableContents"/>
              <w:bidi w:val="0"/>
              <w:spacing w:before="0" w:after="283"/>
              <w:jc w:val="left"/>
              <w:rPr/>
            </w:pPr>
            <w:r>
              <w:rPr/>
              <w:t> </w:t>
            </w:r>
            <w:bookmarkStart w:id="1352" w:name="xdx_40F_eus-gaap--OtherExpenses_i01_hsrt"/>
            <w:bookmarkEnd w:id="1352"/>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1353" w:name="xdx_F49_zFklrahuxxje"/>
            <w:bookmarkEnd w:id="1353"/>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CCEEFF" w:val="clear"/>
            <w:tcMar>
              <w:bottom w:w="28" w:type="dxa"/>
            </w:tcMar>
            <w:vAlign w:val="center"/>
          </w:tcPr>
          <w:p>
            <w:pPr>
              <w:pStyle w:val="TableContents"/>
              <w:bidi w:val="0"/>
              <w:spacing w:before="0" w:after="283"/>
              <w:jc w:val="right"/>
              <w:rPr/>
            </w:pPr>
            <w:r>
              <w:rPr/>
              <w:t>462</w:t>
            </w:r>
          </w:p>
        </w:tc>
        <w:tc>
          <w:tcPr>
            <w:tcW w:w="113" w:type="dxa"/>
            <w:tcBorders/>
            <w:shd w:fill="CCEEFF" w:val="clear"/>
            <w:vAlign w:val="center"/>
          </w:tcPr>
          <w:p>
            <w:pPr>
              <w:pStyle w:val="TableContents"/>
              <w:bidi w:val="0"/>
              <w:spacing w:before="0" w:after="283"/>
              <w:jc w:val="left"/>
              <w:rPr/>
            </w:pPr>
            <w:r>
              <w:rPr/>
              <w:t> </w:t>
            </w:r>
            <w:bookmarkStart w:id="1354" w:name="xdx_404_eus-gaap--OperatingExpenses_i01T"/>
            <w:bookmarkEnd w:id="1354"/>
          </w:p>
        </w:tc>
      </w:tr>
      <w:tr>
        <w:trPr/>
        <w:tc>
          <w:tcPr>
            <w:tcW w:w="452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4,515</w:t>
            </w:r>
          </w:p>
        </w:tc>
        <w:tc>
          <w:tcPr>
            <w:tcW w:w="113" w:type="dxa"/>
            <w:tcBorders/>
            <w:shd w:fill="FFFFFF" w:val="clear"/>
            <w:vAlign w:val="center"/>
          </w:tcPr>
          <w:p>
            <w:pPr>
              <w:pStyle w:val="TableContents"/>
              <w:bidi w:val="0"/>
              <w:spacing w:before="0" w:after="283"/>
              <w:jc w:val="left"/>
              <w:rPr/>
            </w:pPr>
            <w:r>
              <w:rPr/>
              <w:t> </w:t>
            </w:r>
            <w:bookmarkStart w:id="1355" w:name="xdx_407_ecustom--AdjustedEBITDAFromConti"/>
            <w:bookmarkEnd w:id="1355"/>
          </w:p>
        </w:tc>
      </w:tr>
      <w:tr>
        <w:trPr/>
        <w:tc>
          <w:tcPr>
            <w:tcW w:w="4520"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(2,861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51" w:type="dxa"/>
            <w:tcBorders/>
            <w:shd w:fill="CCEEFF" w:val="clear"/>
            <w:vAlign w:val="center"/>
          </w:tcPr>
          <w:p>
            <w:pPr>
              <w:pStyle w:val="TableContents"/>
              <w:bidi w:val="0"/>
              <w:spacing w:before="0" w:after="283"/>
              <w:jc w:val="right"/>
              <w:rPr/>
            </w:pPr>
            <w:r>
              <w:rPr/>
              <w:t>(1,742</w:t>
            </w:r>
          </w:p>
        </w:tc>
        <w:tc>
          <w:tcPr>
            <w:tcW w:w="113" w:type="dxa"/>
            <w:tcBorders/>
            <w:shd w:fill="CCEEFF" w:val="clear"/>
            <w:vAlign w:val="center"/>
          </w:tcPr>
          <w:p>
            <w:pPr>
              <w:pStyle w:val="TableContents"/>
              <w:bidi w:val="0"/>
              <w:spacing w:before="0" w:after="283"/>
              <w:jc w:val="left"/>
              <w:rPr/>
            </w:pPr>
            <w:r>
              <w:rPr/>
              <w:t>)</w:t>
            </w:r>
            <w:bookmarkStart w:id="1356" w:name="xdx_402_ecustom--OperatingCostsExpensesA"/>
            <w:bookmarkEnd w:id="1356"/>
          </w:p>
        </w:tc>
      </w:tr>
      <w:tr>
        <w:trPr/>
        <w:tc>
          <w:tcPr>
            <w:tcW w:w="4520"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2,918</w:t>
            </w:r>
          </w:p>
        </w:tc>
        <w:tc>
          <w:tcPr>
            <w:tcW w:w="113" w:type="dxa"/>
            <w:tcBorders/>
            <w:shd w:fill="FFFFFF" w:val="clear"/>
            <w:vAlign w:val="center"/>
          </w:tcPr>
          <w:p>
            <w:pPr>
              <w:pStyle w:val="TableContents"/>
              <w:bidi w:val="0"/>
              <w:spacing w:before="0" w:after="283"/>
              <w:jc w:val="left"/>
              <w:rPr/>
            </w:pPr>
            <w:r>
              <w:rPr/>
              <w:t> </w:t>
            </w:r>
            <w:bookmarkStart w:id="1357" w:name="xdx_409_ecustom--AdjustedEBITDAFromConti"/>
            <w:bookmarkEnd w:id="1357"/>
          </w:p>
        </w:tc>
      </w:tr>
      <w:tr>
        <w:trPr/>
        <w:tc>
          <w:tcPr>
            <w:tcW w:w="452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pPr>
            <w:r>
              <w:rPr/>
              <w:t>(5,477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1" w:type="dxa"/>
            <w:tcBorders>
              <w:bottom w:val="double" w:sz="6" w:space="0" w:color="000000"/>
            </w:tcBorders>
            <w:shd w:fill="CCEEFF" w:val="clear"/>
            <w:tcMar>
              <w:bottom w:w="28" w:type="dxa"/>
            </w:tcMar>
            <w:vAlign w:val="center"/>
          </w:tcPr>
          <w:p>
            <w:pPr>
              <w:pStyle w:val="TableContents"/>
              <w:bidi w:val="0"/>
              <w:spacing w:before="0" w:after="283"/>
              <w:jc w:val="right"/>
              <w:rPr/>
            </w:pPr>
            <w:r>
              <w:rPr/>
              <w:t>(4,660</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58" w:name="xdx_F05_zxGgjq8UITCi"/>
            <w:bookmarkEnd w:id="1358"/>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bookmarkStart w:id="1359" w:name="xdx_F19_zLT25CNCoUYh"/>
            <w:bookmarkEnd w:id="1359"/>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does not represent activity for the full three month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bookmarkStart w:id="1360" w:name="xdx_F0A_z25hjZiQDl41"/>
            <w:bookmarkEnd w:id="1360"/>
            <w:r>
              <w:rPr>
                <w:rFonts w:ascii="Times New Roman;Times;Serif" w:hAnsi="Times New Roman;Times;Serif"/>
                <w:position w:val="7"/>
                <w:sz w:val="16"/>
                <w:sz w:val="20"/>
              </w:rPr>
              <w:t>2</w:t>
            </w:r>
            <w:bookmarkStart w:id="1361" w:name="xdx_F10_zogy32ULuUld"/>
            <w:bookmarkEnd w:id="1361"/>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bookmarkStart w:id="1362" w:name="xdx_8AD_zVRbhr2ALCFl"/>
      <w:bookmarkEnd w:id="13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63" w:name="xdx_89E_eus-gaap--ReconciliationOfOperat"/>
      <w:bookmarkEnd w:id="1363"/>
      <w:r>
        <w:rPr>
          <w:rFonts w:ascii="Times New Roman;Times;Serif" w:hAnsi="Times New Roman;Times;Serif"/>
          <w:b w:val="false"/>
          <w:i w:val="false"/>
          <w:caps w:val="false"/>
          <w:smallCaps w:val="false"/>
          <w:sz w:val="20"/>
        </w:rPr>
        <w:t>A reconciliation between EBITDA by reportable segment to consolidated net loss before income taxes for the three months ended March 31, 2026, and 2025 is as follows:</w:t>
      </w:r>
    </w:p>
    <w:p>
      <w:pPr>
        <w:pStyle w:val="TextBody"/>
        <w:bidi w:val="0"/>
        <w:spacing w:before="0" w:after="0"/>
        <w:ind w:left="0" w:right="0" w:hanging="0"/>
        <w:jc w:val="both"/>
        <w:rPr>
          <w:caps w:val="false"/>
          <w:smallCaps w:val="false"/>
        </w:rPr>
      </w:pPr>
      <w:r>
        <w:rPr>
          <w:caps w:val="false"/>
          <w:smallCaps w:val="false"/>
        </w:rPr>
        <w:t> </w:t>
      </w:r>
      <w:bookmarkStart w:id="1364" w:name="xdx_8B0_zh1AXia7JsI"/>
      <w:bookmarkEnd w:id="1364"/>
      <w:r>
        <w:rPr>
          <w:rFonts w:ascii="Times New Roman;Times;Serif" w:hAnsi="Times New Roman;Times;Serif"/>
          <w:b w:val="false"/>
          <w:i w:val="false"/>
          <w:caps w:val="false"/>
          <w:smallCaps w:val="false"/>
          <w:sz w:val="20"/>
        </w:rPr>
        <w:t>Summary of Reconciliation Between EBITDA by Reportable Segment to Consolidated Net Loss Before Income Taxes </w:t>
      </w:r>
    </w:p>
    <w:tbl>
      <w:tblPr>
        <w:tblW w:w="7853" w:type="dxa"/>
        <w:jc w:val="left"/>
        <w:tblInd w:w="0" w:type="dxa"/>
        <w:tblLayout w:type="fixed"/>
        <w:tblCellMar>
          <w:top w:w="0" w:type="dxa"/>
          <w:left w:w="0" w:type="dxa"/>
          <w:bottom w:w="0" w:type="dxa"/>
          <w:right w:w="0" w:type="dxa"/>
        </w:tblCellMar>
      </w:tblPr>
      <w:tblGrid>
        <w:gridCol w:w="4310"/>
        <w:gridCol w:w="60"/>
        <w:gridCol w:w="290"/>
        <w:gridCol w:w="1319"/>
        <w:gridCol w:w="95"/>
        <w:gridCol w:w="60"/>
        <w:gridCol w:w="290"/>
        <w:gridCol w:w="1319"/>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5" w:name="xdx_490_20260101__20260331__srt--Consoli"/>
            <w:bookmarkEnd w:id="1365"/>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6" w:name="xdx_493_20250101__20250331__srt--Consoli"/>
            <w:bookmarkEnd w:id="1366"/>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EBITDA by segment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67" w:name="xdx_409_eus-gaap--OperatingIncomeLoss_hu"/>
            <w:bookmarkEnd w:id="1367"/>
          </w:p>
        </w:tc>
      </w:tr>
      <w:tr>
        <w:trPr/>
        <w:tc>
          <w:tcPr>
            <w:tcW w:w="4310" w:type="dxa"/>
            <w:tcBorders/>
            <w:shd w:fill="FFFFFF" w:val="clear"/>
            <w:vAlign w:val="center"/>
          </w:tcPr>
          <w:p>
            <w:pPr>
              <w:pStyle w:val="TableContents"/>
              <w:bidi w:val="0"/>
              <w:spacing w:before="0" w:after="283"/>
              <w:jc w:val="left"/>
              <w:rPr/>
            </w:pPr>
            <w:r>
              <w:rPr/>
              <w:t>Banzai Operating Co.</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(5,477</w:t>
            </w:r>
          </w:p>
        </w:tc>
        <w:tc>
          <w:tcPr>
            <w:tcW w:w="110" w:type="dxa"/>
            <w:tcBorders/>
            <w:shd w:fill="FFFFFF" w:val="clear"/>
            <w:vAlign w:val="center"/>
          </w:tcPr>
          <w:p>
            <w:pPr>
              <w:pStyle w:val="TableContents"/>
              <w:bidi w:val="0"/>
              <w:spacing w:before="0" w:after="283"/>
              <w:jc w:val="left"/>
              <w:rPr/>
            </w:pPr>
            <w:r>
              <w:rPr/>
              <w:t>)</w:t>
            </w:r>
            <w:bookmarkStart w:id="1368" w:name="xdx_405_eus-gaap--OperatingIncomeLoss_hu"/>
            <w:bookmarkEnd w:id="1368"/>
          </w:p>
        </w:tc>
      </w:tr>
      <w:tr>
        <w:trPr/>
        <w:tc>
          <w:tcPr>
            <w:tcW w:w="4310" w:type="dxa"/>
            <w:tcBorders/>
            <w:shd w:fill="CCEEFF" w:val="clear"/>
            <w:vAlign w:val="center"/>
          </w:tcPr>
          <w:p>
            <w:pPr>
              <w:pStyle w:val="TableContents"/>
              <w:bidi w:val="0"/>
              <w:spacing w:before="0" w:after="283"/>
              <w:jc w:val="left"/>
              <w:rPr/>
            </w:pPr>
            <w:r>
              <w:rPr/>
              <w:t>OpenReel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397</w:t>
            </w:r>
          </w:p>
        </w:tc>
        <w:tc>
          <w:tcPr>
            <w:tcW w:w="110" w:type="dxa"/>
            <w:tcBorders/>
            <w:shd w:fill="CCEEFF" w:val="clear"/>
            <w:vAlign w:val="center"/>
          </w:tcPr>
          <w:p>
            <w:pPr>
              <w:pStyle w:val="TableContents"/>
              <w:bidi w:val="0"/>
              <w:spacing w:before="0" w:after="283"/>
              <w:jc w:val="left"/>
              <w:rPr/>
            </w:pPr>
            <w:r>
              <w:rPr/>
              <w:t> </w:t>
            </w:r>
            <w:bookmarkStart w:id="1369" w:name="xdx_40D_eus-gaap--OperatingIncomeLoss_hu"/>
            <w:bookmarkEnd w:id="1369"/>
          </w:p>
        </w:tc>
      </w:tr>
      <w:tr>
        <w:trPr/>
        <w:tc>
          <w:tcPr>
            <w:tcW w:w="4310" w:type="dxa"/>
            <w:tcBorders/>
            <w:shd w:fill="FFFFFF" w:val="clear"/>
            <w:vAlign w:val="center"/>
          </w:tcPr>
          <w:p>
            <w:pPr>
              <w:pStyle w:val="TableContents"/>
              <w:bidi w:val="0"/>
              <w:spacing w:before="0" w:after="283"/>
              <w:jc w:val="left"/>
              <w:rPr/>
            </w:pPr>
            <w:r>
              <w:rPr/>
              <w:t>Vidello</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420</w:t>
            </w:r>
          </w:p>
        </w:tc>
        <w:tc>
          <w:tcPr>
            <w:tcW w:w="110" w:type="dxa"/>
            <w:tcBorders/>
            <w:shd w:fill="FFFFFF" w:val="clear"/>
            <w:vAlign w:val="center"/>
          </w:tcPr>
          <w:p>
            <w:pPr>
              <w:pStyle w:val="TableContents"/>
              <w:bidi w:val="0"/>
              <w:spacing w:before="0" w:after="283"/>
              <w:jc w:val="left"/>
              <w:rPr/>
            </w:pPr>
            <w:r>
              <w:rPr/>
              <w:t> </w:t>
            </w:r>
            <w:bookmarkStart w:id="1370" w:name="xdx_403_eus-gaap--OperatingIncomeLoss_hs"/>
            <w:bookmarkEnd w:id="1370"/>
          </w:p>
        </w:tc>
      </w:tr>
      <w:tr>
        <w:trPr/>
        <w:tc>
          <w:tcPr>
            <w:tcW w:w="43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(4,660</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1" w:name="xdx_407_eus-gaap--IncomeLossFromContinui"/>
            <w:bookmarkEnd w:id="1371"/>
          </w:p>
        </w:tc>
      </w:tr>
      <w:tr>
        <w:trPr/>
        <w:tc>
          <w:tcPr>
            <w:tcW w:w="4310" w:type="dxa"/>
            <w:tcBorders/>
            <w:shd w:fill="CCEEFF" w:val="clear"/>
            <w:vAlign w:val="center"/>
          </w:tcPr>
          <w:p>
            <w:pPr>
              <w:pStyle w:val="TableContents"/>
              <w:bidi w:val="0"/>
              <w:spacing w:before="0" w:after="283"/>
              <w:jc w:val="left"/>
              <w:rPr>
                <w:i/>
              </w:rPr>
            </w:pPr>
            <w:r>
              <w:rPr>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2" w:name="xdx_40F_eus-gaap--InvestmentIncomeIntere"/>
            <w:bookmarkEnd w:id="1372"/>
          </w:p>
        </w:tc>
      </w:tr>
      <w:tr>
        <w:trPr/>
        <w:tc>
          <w:tcPr>
            <w:tcW w:w="43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73" w:name="xdx_408_eus-gaap--InterestExpenseNonoper"/>
            <w:bookmarkEnd w:id="1373"/>
          </w:p>
        </w:tc>
      </w:tr>
      <w:tr>
        <w:trPr/>
        <w:tc>
          <w:tcPr>
            <w:tcW w:w="43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74" w:name="xdx_405_eus-gaap--InterestExpenseNonoper"/>
            <w:bookmarkEnd w:id="1374"/>
          </w:p>
        </w:tc>
      </w:tr>
      <w:tr>
        <w:trPr/>
        <w:tc>
          <w:tcPr>
            <w:tcW w:w="431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358</w:t>
            </w:r>
          </w:p>
        </w:tc>
        <w:tc>
          <w:tcPr>
            <w:tcW w:w="110" w:type="dxa"/>
            <w:tcBorders/>
            <w:shd w:fill="FFFFFF" w:val="clear"/>
            <w:vAlign w:val="center"/>
          </w:tcPr>
          <w:p>
            <w:pPr>
              <w:pStyle w:val="TableContents"/>
              <w:bidi w:val="0"/>
              <w:spacing w:before="0" w:after="283"/>
              <w:jc w:val="left"/>
              <w:rPr/>
            </w:pPr>
            <w:r>
              <w:rPr/>
              <w:t> </w:t>
            </w:r>
            <w:bookmarkStart w:id="1375" w:name="xdx_404_eus-gaap--DepreciationDepletionA"/>
            <w:bookmarkEnd w:id="1375"/>
          </w:p>
        </w:tc>
      </w:tr>
      <w:tr>
        <w:trPr/>
        <w:tc>
          <w:tcPr>
            <w:tcW w:w="431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247</w:t>
            </w:r>
          </w:p>
        </w:tc>
        <w:tc>
          <w:tcPr>
            <w:tcW w:w="110" w:type="dxa"/>
            <w:tcBorders/>
            <w:shd w:fill="CCEEFF" w:val="clear"/>
            <w:vAlign w:val="center"/>
          </w:tcPr>
          <w:p>
            <w:pPr>
              <w:pStyle w:val="TableContents"/>
              <w:bidi w:val="0"/>
              <w:spacing w:before="0" w:after="283"/>
              <w:jc w:val="left"/>
              <w:rPr/>
            </w:pPr>
            <w:r>
              <w:rPr/>
              <w:t> </w:t>
            </w:r>
            <w:bookmarkStart w:id="1376" w:name="xdx_40D_eus-gaap--GainsLossesOnExtinguis"/>
            <w:bookmarkEnd w:id="1376"/>
          </w:p>
        </w:tc>
      </w:tr>
      <w:tr>
        <w:trPr/>
        <w:tc>
          <w:tcPr>
            <w:tcW w:w="4310" w:type="dxa"/>
            <w:tcBorders/>
            <w:shd w:fill="FFFFFF" w:val="clear"/>
            <w:vAlign w:val="center"/>
          </w:tcPr>
          <w:p>
            <w:pPr>
              <w:pStyle w:val="TableContents"/>
              <w:bidi w:val="0"/>
              <w:spacing w:before="0" w:after="283"/>
              <w:jc w:val="left"/>
              <w:rPr/>
            </w:pPr>
            <w:r>
              <w:rPr/>
              <w:t>Gain on extinguishment of liabilities, net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(2,573</w:t>
            </w:r>
          </w:p>
        </w:tc>
        <w:tc>
          <w:tcPr>
            <w:tcW w:w="110" w:type="dxa"/>
            <w:tcBorders/>
            <w:shd w:fill="FFFFFF" w:val="clear"/>
            <w:vAlign w:val="center"/>
          </w:tcPr>
          <w:p>
            <w:pPr>
              <w:pStyle w:val="TableContents"/>
              <w:bidi w:val="0"/>
              <w:spacing w:before="0" w:after="283"/>
              <w:jc w:val="left"/>
              <w:rPr/>
            </w:pPr>
            <w:r>
              <w:rPr/>
              <w:t>)</w:t>
            </w:r>
            <w:bookmarkStart w:id="1377" w:name="xdx_404_ecustom--LossOnYorkvilleSepaAdva"/>
            <w:bookmarkEnd w:id="1377"/>
          </w:p>
        </w:tc>
      </w:tr>
      <w:tr>
        <w:trPr/>
        <w:tc>
          <w:tcPr>
            <w:tcW w:w="431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385</w:t>
            </w:r>
          </w:p>
        </w:tc>
        <w:tc>
          <w:tcPr>
            <w:tcW w:w="110" w:type="dxa"/>
            <w:tcBorders/>
            <w:shd w:fill="CCEEFF" w:val="clear"/>
            <w:vAlign w:val="center"/>
          </w:tcPr>
          <w:p>
            <w:pPr>
              <w:pStyle w:val="TableContents"/>
              <w:bidi w:val="0"/>
              <w:spacing w:before="0" w:after="283"/>
              <w:jc w:val="left"/>
              <w:rPr/>
            </w:pPr>
            <w:r>
              <w:rPr/>
              <w:t> </w:t>
            </w:r>
            <w:bookmarkStart w:id="1378" w:name="xdx_400_ecustom--GainsLossesOnDebtIssuan"/>
            <w:bookmarkEnd w:id="1378"/>
          </w:p>
        </w:tc>
      </w:tr>
      <w:tr>
        <w:trPr/>
        <w:tc>
          <w:tcPr>
            <w:tcW w:w="4310"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bookmarkStart w:id="1379" w:name="xdx_40F_ecustom--ChangesInFairValueOfFin"/>
            <w:bookmarkEnd w:id="1379"/>
          </w:p>
        </w:tc>
      </w:tr>
      <w:tr>
        <w:trPr/>
        <w:tc>
          <w:tcPr>
            <w:tcW w:w="4310" w:type="dxa"/>
            <w:tcBorders/>
            <w:shd w:fill="CCEEFF" w:val="clear"/>
            <w:vAlign w:val="center"/>
          </w:tcPr>
          <w:p>
            <w:pPr>
              <w:pStyle w:val="TableContents"/>
              <w:bidi w:val="0"/>
              <w:spacing w:before="0" w:after="283"/>
              <w:jc w:val="left"/>
              <w:rPr/>
            </w:pPr>
            <w:r>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bookmarkStart w:id="1380" w:name="xdx_40E_eus-gaap--SegmentReportingOtherI"/>
            <w:bookmarkEnd w:id="1380"/>
          </w:p>
        </w:tc>
      </w:tr>
      <w:tr>
        <w:trPr/>
        <w:tc>
          <w:tcPr>
            <w:tcW w:w="43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w:t>
            </w:r>
            <w:bookmarkStart w:id="1381" w:name="xdx_40F_eus-gaap--IncomeLossFromContinui"/>
            <w:bookmarkEnd w:id="1381"/>
          </w:p>
        </w:tc>
      </w:tr>
      <w:tr>
        <w:trPr/>
        <w:tc>
          <w:tcPr>
            <w:tcW w:w="431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(3,570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82" w:name="xdx_8A1_zqFeb92AWS6k"/>
      <w:bookmarkEnd w:id="138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83" w:name="xdx_89A_eus-gaap--ScheduleOfEntityWideIn"/>
      <w:bookmarkEnd w:id="1383"/>
      <w:r>
        <w:rPr>
          <w:rFonts w:ascii="Times New Roman;Times;Serif" w:hAnsi="Times New Roman;Times;Serif"/>
          <w:b w:val="false"/>
          <w:i w:val="false"/>
          <w:caps w:val="false"/>
          <w:smallCaps w:val="false"/>
          <w:sz w:val="20"/>
        </w:rPr>
        <w:t>The following table presents the Company’s percentage of revenue generated by SaaS product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bookmarkStart w:id="1384" w:name="xdx_8B2_zUjCLkKy3iOd"/>
      <w:bookmarkEnd w:id="1384"/>
      <w:r>
        <w:rPr>
          <w:rFonts w:ascii="Times New Roman;Times;Serif" w:hAnsi="Times New Roman;Times;Serif"/>
          <w:b w:val="false"/>
          <w:i w:val="false"/>
          <w:caps w:val="false"/>
          <w:smallCaps w:val="false"/>
          <w:sz w:val="20"/>
        </w:rPr>
        <w:t>Summary of Company's Percentage of Revenue Generated by Saas Product </w:t>
      </w:r>
    </w:p>
    <w:tbl>
      <w:tblPr>
        <w:tblW w:w="5711" w:type="dxa"/>
        <w:jc w:val="left"/>
        <w:tblInd w:w="0" w:type="dxa"/>
        <w:tblLayout w:type="fixed"/>
        <w:tblCellMar>
          <w:top w:w="0" w:type="dxa"/>
          <w:left w:w="0" w:type="dxa"/>
          <w:bottom w:w="0" w:type="dxa"/>
          <w:right w:w="0" w:type="dxa"/>
        </w:tblCellMar>
      </w:tblPr>
      <w:tblGrid>
        <w:gridCol w:w="2225"/>
        <w:gridCol w:w="60"/>
        <w:gridCol w:w="126"/>
        <w:gridCol w:w="1182"/>
        <w:gridCol w:w="454"/>
        <w:gridCol w:w="126"/>
        <w:gridCol w:w="126"/>
        <w:gridCol w:w="1182"/>
        <w:gridCol w:w="230"/>
      </w:tblGrid>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bookmarkStart w:id="1385" w:name="xdx_493_20260101__20260331_zXydSEUbu67i"/>
            <w:bookmarkEnd w:id="1385"/>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bookmarkStart w:id="1386" w:name="xdx_49B_20250101__20250331_zXTdDVKZkVRf"/>
            <w:bookmarkEnd w:id="1386"/>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bookmarkStart w:id="1387" w:name="xdx_40E_eus-gaap--ConcentrationRiskPerce"/>
            <w:bookmarkEnd w:id="1387"/>
          </w:p>
        </w:tc>
      </w:tr>
      <w:tr>
        <w:trPr/>
        <w:tc>
          <w:tcPr>
            <w:tcW w:w="2225" w:type="dxa"/>
            <w:tcBorders/>
            <w:shd w:fill="CCEEFF" w:val="clear"/>
            <w:vAlign w:val="center"/>
          </w:tcPr>
          <w:p>
            <w:pPr>
              <w:pStyle w:val="TableContents"/>
              <w:bidi w:val="0"/>
              <w:spacing w:before="0" w:after="283"/>
              <w:jc w:val="left"/>
              <w:rPr/>
            </w:pPr>
            <w:r>
              <w:rPr/>
              <w:t>Reach</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w:t>
            </w:r>
          </w:p>
        </w:tc>
        <w:tc>
          <w:tcPr>
            <w:tcW w:w="230" w:type="dxa"/>
            <w:tcBorders/>
            <w:shd w:fill="CCEEFF" w:val="clear"/>
            <w:vAlign w:val="center"/>
          </w:tcPr>
          <w:p>
            <w:pPr>
              <w:pStyle w:val="TableContents"/>
              <w:bidi w:val="0"/>
              <w:spacing w:before="0" w:after="283"/>
              <w:jc w:val="left"/>
              <w:rPr/>
            </w:pPr>
            <w:r>
              <w:rPr/>
              <w:t>%</w:t>
            </w:r>
            <w:bookmarkStart w:id="1388" w:name="xdx_401_eus-gaap--ConcentrationRiskPerce"/>
            <w:bookmarkEnd w:id="1388"/>
          </w:p>
        </w:tc>
      </w:tr>
      <w:tr>
        <w:trPr/>
        <w:tc>
          <w:tcPr>
            <w:tcW w:w="2225" w:type="dxa"/>
            <w:tcBorders/>
            <w:shd w:fill="FFFFFF" w:val="clear"/>
            <w:vAlign w:val="center"/>
          </w:tcPr>
          <w:p>
            <w:pPr>
              <w:pStyle w:val="TableContents"/>
              <w:bidi w:val="0"/>
              <w:spacing w:before="0" w:after="283"/>
              <w:jc w:val="left"/>
              <w:rPr/>
            </w:pPr>
            <w:r>
              <w:rPr/>
              <w:t>Demio</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34.2</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91.0</w:t>
            </w:r>
          </w:p>
        </w:tc>
        <w:tc>
          <w:tcPr>
            <w:tcW w:w="230" w:type="dxa"/>
            <w:tcBorders/>
            <w:shd w:fill="FFFFFF" w:val="clear"/>
            <w:vAlign w:val="center"/>
          </w:tcPr>
          <w:p>
            <w:pPr>
              <w:pStyle w:val="TableContents"/>
              <w:bidi w:val="0"/>
              <w:spacing w:before="0" w:after="283"/>
              <w:jc w:val="left"/>
              <w:rPr/>
            </w:pPr>
            <w:r>
              <w:rPr/>
              <w:t>%</w:t>
            </w:r>
            <w:bookmarkStart w:id="1389" w:name="xdx_404_eus-gaap--ConcentrationRiskPerce"/>
            <w:bookmarkEnd w:id="1389"/>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45.0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bookmarkStart w:id="1390" w:name="xdx_403_eus-gaap--ConcentrationRiskPerce"/>
            <w:bookmarkEnd w:id="1390"/>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bookmarkStart w:id="1391" w:name="xdx_409_eus-gaap--ConcentrationRiskPerce"/>
            <w:bookmarkEnd w:id="1391"/>
          </w:p>
        </w:tc>
      </w:tr>
      <w:tr>
        <w:trPr/>
        <w:tc>
          <w:tcPr>
            <w:tcW w:w="22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bookmarkStart w:id="1392" w:name="xdx_402_eus-gaap--ConcentrationRiskPerce"/>
            <w:bookmarkEnd w:id="1392"/>
          </w:p>
        </w:tc>
      </w:tr>
      <w:tr>
        <w:trPr/>
        <w:tc>
          <w:tcPr>
            <w:tcW w:w="2225" w:type="dxa"/>
            <w:tcBorders/>
            <w:shd w:fill="CCEEFF" w:val="clear"/>
            <w:vAlign w:val="center"/>
          </w:tcPr>
          <w:p>
            <w:pPr>
              <w:pStyle w:val="TableContents"/>
              <w:bidi w:val="0"/>
              <w:spacing w:before="0" w:after="283"/>
              <w:jc w:val="left"/>
              <w:rPr/>
            </w:pPr>
            <w:r>
              <w:rPr/>
              <w:t>Percentage of Revenue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393" w:name="xdx_8A2_z5ODOc11sMM1"/>
      <w:bookmarkEnd w:id="13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94" w:name="xdx_807_eus-gaap--SubsequentEventsTextBl"/>
      <w:bookmarkEnd w:id="1394"/>
      <w:r>
        <w:rPr>
          <w:rFonts w:ascii="Times New Roman;Times;Serif" w:hAnsi="Times New Roman;Times;Serif"/>
          <w:b/>
          <w:i w:val="false"/>
          <w:caps w:val="false"/>
          <w:smallCaps w:val="false"/>
          <w:sz w:val="20"/>
        </w:rPr>
        <w:t xml:space="preserve">18. </w:t>
      </w:r>
      <w:bookmarkStart w:id="1395" w:name="xdx_820_z3l1hWoCtpf5"/>
      <w:bookmarkEnd w:id="139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96" w:name="xdx_90F_eus-gaap--StockholdersEquityReve"/>
      <w:bookmarkEnd w:id="1396"/>
      <w:r>
        <w:rPr>
          <w:rFonts w:ascii="Times New Roman;Times;Serif" w:hAnsi="Times New Roman;Times;Serif"/>
          <w:b w:val="false"/>
          <w:i w:val="false"/>
          <w:caps w:val="false"/>
          <w:smallCaps w:val="false"/>
          <w:sz w:val="20"/>
        </w:rPr>
        <w:t xml:space="preserve">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w:t>
      </w:r>
      <w:bookmarkStart w:id="1397" w:name="xdx_904_eus-gaap--StockholdersEquityNote"/>
      <w:bookmarkEnd w:id="1397"/>
      <w:r>
        <w:rPr>
          <w:rFonts w:ascii="Times New Roman;Times;Serif" w:hAnsi="Times New Roman;Times;Serif"/>
          <w:b w:val="false"/>
          <w:i w:val="false"/>
          <w:caps w:val="false"/>
          <w:smallCaps w:val="false"/>
          <w:sz w:val="20"/>
        </w:rPr>
        <w:t>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March 31, 2026, on April 15, 2026, April 29, 2026 and May 8, 2026, the Company entered into exchange agreements with Agile on substantially similar terms as the Agile Exchange Agreement pursuant to which the Company issued an aggregate of approximately </w:t>
      </w:r>
      <w:bookmarkStart w:id="1398" w:name="xdx_908_eus-gaap--StockIssuedDuringPerio"/>
      <w:bookmarkStart w:id="1399" w:name="xdx_902_eus-gaap--StockIssuedDuringPerio"/>
      <w:bookmarkStart w:id="1400" w:name="xdx_900_eus-gaap--StockIssuedDuringPerio"/>
      <w:bookmarkEnd w:id="1398"/>
      <w:bookmarkEnd w:id="1399"/>
      <w:bookmarkEnd w:id="1400"/>
      <w:r>
        <w:rPr>
          <w:rFonts w:ascii="Times New Roman;Times;Serif" w:hAnsi="Times New Roman;Times;Serif"/>
          <w:b w:val="false"/>
          <w:i w:val="false"/>
          <w:caps w:val="false"/>
          <w:smallCaps w:val="false"/>
          <w:sz w:val="20"/>
        </w:rPr>
        <w:t>74,948 shares of its Class A Common Stock at conversion prices per share of $</w:t>
      </w:r>
      <w:bookmarkStart w:id="1401" w:name="xdx_906_eus-gaap--DebtInstrumentConverti"/>
      <w:bookmarkStart w:id="1402" w:name="xdx_90F_eus-gaap--DebtInstrumentConverti"/>
      <w:bookmarkStart w:id="1403" w:name="xdx_905_eus-gaap--DebtInstrumentConverti"/>
      <w:bookmarkEnd w:id="1401"/>
      <w:bookmarkEnd w:id="1402"/>
      <w:bookmarkEnd w:id="1403"/>
      <w:r>
        <w:rPr>
          <w:rFonts w:ascii="Times New Roman;Times;Serif" w:hAnsi="Times New Roman;Times;Serif"/>
          <w:b w:val="false"/>
          <w:i w:val="false"/>
          <w:caps w:val="false"/>
          <w:smallCaps w:val="false"/>
          <w:sz w:val="20"/>
        </w:rPr>
        <w:t>5.82 and $</w:t>
      </w:r>
      <w:bookmarkStart w:id="1404" w:name="xdx_90F_eus-gaap--DebtInstrumentConverti"/>
      <w:bookmarkStart w:id="1405" w:name="xdx_902_eus-gaap--DebtInstrumentConverti"/>
      <w:bookmarkStart w:id="1406" w:name="xdx_900_eus-gaap--DebtInstrumentConverti"/>
      <w:bookmarkEnd w:id="1404"/>
      <w:bookmarkEnd w:id="1405"/>
      <w:bookmarkEnd w:id="1406"/>
      <w:r>
        <w:rPr>
          <w:rFonts w:ascii="Times New Roman;Times;Serif" w:hAnsi="Times New Roman;Times;Serif"/>
          <w:b w:val="false"/>
          <w:i w:val="false"/>
          <w:caps w:val="false"/>
          <w:smallCaps w:val="false"/>
          <w:sz w:val="20"/>
        </w:rPr>
        <w:t>12.40, respectively, in exchange for aggregate reductions of approximately $</w:t>
      </w:r>
      <w:bookmarkStart w:id="1407" w:name="xdx_901_ecustom--AggregateReductionsOfIn"/>
      <w:bookmarkStart w:id="1408" w:name="xdx_908_ecustom--AggregateReductionsOfIn"/>
      <w:bookmarkStart w:id="1409" w:name="xdx_90C_ecustom--AggregateReductionsOfIn"/>
      <w:bookmarkEnd w:id="1407"/>
      <w:bookmarkEnd w:id="1408"/>
      <w:bookmarkEnd w:id="1409"/>
      <w:r>
        <w:rPr>
          <w:rFonts w:ascii="Times New Roman;Times;Serif" w:hAnsi="Times New Roman;Times;Serif"/>
          <w:b w:val="false"/>
          <w:i w:val="false"/>
          <w:caps w:val="false"/>
          <w:smallCaps w:val="false"/>
          <w:sz w:val="20"/>
        </w:rPr>
        <w:t>540 in the outstanding balance of the March Agile Note. Following these exchanges, the outstanding balance of the March Agile Note was reduced to approximately $</w:t>
      </w:r>
      <w:bookmarkStart w:id="1410" w:name="xdx_90B_eus-gaap--LongTermNotesPayable_i"/>
      <w:bookmarkEnd w:id="1410"/>
      <w:r>
        <w:rPr>
          <w:rFonts w:ascii="Times New Roman;Times;Serif" w:hAnsi="Times New Roman;Times;Serif"/>
          <w:b w:val="false"/>
          <w:i w:val="false"/>
          <w:caps w:val="false"/>
          <w:smallCaps w:val="false"/>
          <w:sz w:val="20"/>
        </w:rPr>
        <w:t>639.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 modified the terms of the CEO Award and issued </w:t>
      </w:r>
      <w:bookmarkStart w:id="1411" w:name="xdx_90D_eus-gaap--ShareBasedCompensation"/>
      <w:bookmarkEnd w:id="1411"/>
      <w:r>
        <w:rPr>
          <w:rFonts w:ascii="Times New Roman;Times;Serif" w:hAnsi="Times New Roman;Times;Serif"/>
          <w:b w:val="false"/>
          <w:i w:val="false"/>
          <w:caps w:val="false"/>
          <w:smallCaps w:val="false"/>
          <w:sz w:val="20"/>
        </w:rPr>
        <w:t xml:space="preserve">22,300 shares of Class B Common Stock to the Company’s CEO, of which, approximately </w:t>
      </w:r>
      <w:bookmarkStart w:id="1412" w:name="xdx_90C_eus-gaap--ShareBasedCompensation"/>
      <w:bookmarkEnd w:id="1412"/>
      <w:r>
        <w:rPr>
          <w:rFonts w:ascii="Times New Roman;Times;Serif" w:hAnsi="Times New Roman;Times;Serif"/>
          <w:b w:val="false"/>
          <w:i w:val="false"/>
          <w:caps w:val="false"/>
          <w:smallCaps w:val="false"/>
          <w:sz w:val="20"/>
        </w:rPr>
        <w:t xml:space="preserve">14,867 shares relate to a tranche of the CEO Award vesting upon achieving a market capitalization threshold, and the remaining </w:t>
      </w:r>
      <w:bookmarkStart w:id="1413" w:name="xdx_903_eus-gaap--ShareBasedCompensation"/>
      <w:bookmarkEnd w:id="1413"/>
      <w:r>
        <w:rPr>
          <w:rFonts w:ascii="Times New Roman;Times;Serif" w:hAnsi="Times New Roman;Times;Serif"/>
          <w:b w:val="false"/>
          <w:i w:val="false"/>
          <w:caps w:val="false"/>
          <w:smallCaps w:val="false"/>
          <w:sz w:val="20"/>
        </w:rPr>
        <w:t xml:space="preserve">7,433 shares relate to the CEO’s 2025 bonus payment. See </w:t>
      </w:r>
      <w:r>
        <w:rPr>
          <w:rFonts w:ascii="Times New Roman;Times;Serif" w:hAnsi="Times New Roman;Times;Serif"/>
          <w:b w:val="false"/>
          <w:i/>
          <w:caps w:val="false"/>
          <w:smallCaps w:val="false"/>
          <w:sz w:val="20"/>
        </w:rPr>
        <w:t>Note 15 –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24, 2026 and May 6, 2026, the Company issued Advance Notices to Yorkville pursuant to the SEPA in which the Company requested the purchase of approximately </w:t>
      </w:r>
      <w:bookmarkStart w:id="1414" w:name="xdx_90D_eus-gaap--StockIssuedDuringPerio"/>
      <w:bookmarkEnd w:id="1414"/>
      <w:r>
        <w:rPr>
          <w:rFonts w:ascii="Times New Roman;Times;Serif" w:hAnsi="Times New Roman;Times;Serif"/>
          <w:b w:val="false"/>
          <w:i w:val="false"/>
          <w:caps w:val="false"/>
          <w:smallCaps w:val="false"/>
          <w:sz w:val="20"/>
        </w:rPr>
        <w:t>155,000 shares of the Company’s Class A Common Stock at an aggregate gross value of approximately $</w:t>
      </w:r>
      <w:bookmarkStart w:id="1415" w:name="xdx_90B_eus-gaap--SaleOfStockConsiderati"/>
      <w:bookmarkEnd w:id="1415"/>
      <w:r>
        <w:rPr>
          <w:rFonts w:ascii="Times New Roman;Times;Serif" w:hAnsi="Times New Roman;Times;Serif"/>
          <w:b w:val="false"/>
          <w:i w:val="false"/>
          <w:caps w:val="false"/>
          <w:smallCaps w:val="false"/>
          <w:sz w:val="20"/>
        </w:rPr>
        <w:t>896, and net proceeds of approximately $</w:t>
      </w:r>
      <w:bookmarkStart w:id="1416" w:name="xdx_90D_eus-gaap--ProceedsFromIssuanceOr"/>
      <w:bookmarkEnd w:id="1416"/>
      <w:r>
        <w:rPr>
          <w:rFonts w:ascii="Times New Roman;Times;Serif" w:hAnsi="Times New Roman;Times;Serif"/>
          <w:b w:val="false"/>
          <w:i w:val="false"/>
          <w:caps w:val="false"/>
          <w:smallCaps w:val="false"/>
          <w:sz w:val="20"/>
        </w:rPr>
        <w:t>368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w:t>
      </w:r>
      <w:bookmarkStart w:id="1417" w:name="xdx_90E_eus-gaap--StockholdersEquityReve"/>
      <w:bookmarkEnd w:id="1417"/>
      <w:r>
        <w:rPr>
          <w:rFonts w:ascii="Times New Roman;Times;Serif" w:hAnsi="Times New Roman;Times;Serif"/>
          <w:b w:val="false"/>
          <w:i w:val="false"/>
          <w:caps w:val="false"/>
          <w:smallCaps w:val="false"/>
          <w:sz w:val="20"/>
        </w:rPr>
        <w:t xml:space="preserve">Pursuant to the Floor Price Amendment, the Floor Price applicable to the Conversion Price under the Note was reduced from $50.00 (as adjusted for the Reverse Stock Split) to $4.50 (on a post-Reverse Stock Split basis). For the avoidance of doubt, the Conversion Price remains equal to </w:t>
      </w:r>
      <w:bookmarkStart w:id="1418" w:name="xdx_908_eus-gaap--DebtConversionConverte"/>
      <w:bookmarkEnd w:id="1418"/>
      <w:r>
        <w:rPr>
          <w:rFonts w:ascii="Times New Roman;Times;Serif" w:hAnsi="Times New Roman;Times;Serif"/>
          <w:b w:val="false"/>
          <w:i w:val="false"/>
          <w:caps w:val="false"/>
          <w:smallCaps w:val="false"/>
          <w:sz w:val="20"/>
        </w:rPr>
        <w:t>95% of the price of the Class A Common Stock on the Trading Day immediately preceding delivery of any Conversion Notice, subject to the Floor Price as amended by the Floor Price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w:t>
      </w:r>
      <w:bookmarkStart w:id="1419" w:name="xdx_902_eus-gaap--DebtInstrumentFaceAmou"/>
      <w:bookmarkEnd w:id="1419"/>
      <w:r>
        <w:rPr>
          <w:rFonts w:ascii="Times New Roman;Times;Serif" w:hAnsi="Times New Roman;Times;Serif"/>
          <w:b w:val="false"/>
          <w:i w:val="false"/>
          <w:caps w:val="false"/>
          <w:smallCaps w:val="false"/>
          <w:sz w:val="20"/>
        </w:rPr>
        <w:t>206 and received net proceeds of approximately $</w:t>
      </w:r>
      <w:bookmarkStart w:id="1420" w:name="xdx_901_eus-gaap--ProceedsFromIssuanceOf"/>
      <w:bookmarkEnd w:id="1420"/>
      <w:r>
        <w:rPr>
          <w:rFonts w:ascii="Times New Roman;Times;Serif" w:hAnsi="Times New Roman;Times;Serif"/>
          <w:b w:val="false"/>
          <w:i w:val="false"/>
          <w:caps w:val="false"/>
          <w:smallCaps w:val="false"/>
          <w:sz w:val="20"/>
        </w:rPr>
        <w:t xml:space="preserve">150, after discount and transaction fees. The note has a maturity date of </w:t>
      </w:r>
      <w:bookmarkStart w:id="1421" w:name="xdx_900_eus-gaap--DebtInstrumentMaturity"/>
      <w:bookmarkEnd w:id="1421"/>
      <w:r>
        <w:rPr>
          <w:rFonts w:ascii="Times New Roman;Times;Serif" w:hAnsi="Times New Roman;Times;Serif"/>
          <w:b w:val="false"/>
          <w:i w:val="false"/>
          <w:caps w:val="false"/>
          <w:smallCaps w:val="false"/>
          <w:sz w:val="20"/>
        </w:rPr>
        <w:t xml:space="preserve">January 30, 2027, and bears interest at </w:t>
      </w:r>
      <w:bookmarkStart w:id="1422" w:name="xdx_90B_eus-gaap--DebtInstrumentInterest"/>
      <w:bookmarkEnd w:id="1422"/>
      <w:r>
        <w:rPr>
          <w:rFonts w:ascii="Times New Roman;Times;Serif" w:hAnsi="Times New Roman;Times;Serif"/>
          <w:b w:val="false"/>
          <w:i w:val="false"/>
          <w:caps w:val="false"/>
          <w:smallCaps w:val="false"/>
          <w:sz w:val="2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Venture Issuance and Payoff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w:t>
      </w:r>
      <w:bookmarkStart w:id="1423" w:name="xdx_903_eus-gaap--DebtInstrumentFaceAmou"/>
      <w:bookmarkEnd w:id="1423"/>
      <w:r>
        <w:rPr>
          <w:rFonts w:ascii="Times New Roman;Times;Serif" w:hAnsi="Times New Roman;Times;Serif"/>
          <w:b w:val="false"/>
          <w:i w:val="false"/>
          <w:caps w:val="false"/>
          <w:smallCaps w:val="false"/>
          <w:sz w:val="20"/>
        </w:rPr>
        <w:t>487 and on April 8, 2026 received net proceeds of approximately $</w:t>
      </w:r>
      <w:bookmarkStart w:id="1424" w:name="xdx_90C_eus-gaap--ProceedsFromIssuanceOf"/>
      <w:bookmarkEnd w:id="1424"/>
      <w:r>
        <w:rPr>
          <w:rFonts w:ascii="Times New Roman;Times;Serif" w:hAnsi="Times New Roman;Times;Serif"/>
          <w:b w:val="false"/>
          <w:i w:val="false"/>
          <w:caps w:val="false"/>
          <w:smallCaps w:val="false"/>
          <w:sz w:val="20"/>
        </w:rPr>
        <w:t xml:space="preserve">333, after discount and transaction fees. The note has a maturity date of </w:t>
      </w:r>
      <w:bookmarkStart w:id="1425" w:name="xdx_904_eus-gaap--DebtInstrumentMaturity"/>
      <w:bookmarkEnd w:id="1425"/>
      <w:r>
        <w:rPr>
          <w:rFonts w:ascii="Times New Roman;Times;Serif" w:hAnsi="Times New Roman;Times;Serif"/>
          <w:b w:val="false"/>
          <w:i w:val="false"/>
          <w:caps w:val="false"/>
          <w:smallCaps w:val="false"/>
          <w:sz w:val="20"/>
        </w:rPr>
        <w:t xml:space="preserve">August 18, 2026, and bears interest at </w:t>
      </w:r>
      <w:bookmarkStart w:id="1426" w:name="xdx_904_eus-gaap--DebtInstrumentInterest"/>
      <w:bookmarkEnd w:id="1426"/>
      <w:r>
        <w:rPr>
          <w:rFonts w:ascii="Times New Roman;Times;Serif" w:hAnsi="Times New Roman;Times;Serif"/>
          <w:b w:val="false"/>
          <w:i w:val="false"/>
          <w:caps w:val="false"/>
          <w:smallCaps w:val="false"/>
          <w:sz w:val="20"/>
        </w:rPr>
        <w:t xml:space="preserve">198.5% per annum. The Company paid off this note on </w:t>
      </w:r>
      <w:bookmarkStart w:id="1427" w:name="xdx_901_ecustom--NotePayOffDate_dd_c2026"/>
      <w:bookmarkEnd w:id="1427"/>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TVT Capital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w:t>
      </w:r>
      <w:bookmarkStart w:id="1428" w:name="xdx_909_eus-gaap--DebtInstrumentFaceAmou"/>
      <w:bookmarkEnd w:id="1428"/>
      <w:r>
        <w:rPr>
          <w:rFonts w:ascii="Times New Roman;Times;Serif" w:hAnsi="Times New Roman;Times;Serif"/>
          <w:b w:val="false"/>
          <w:i w:val="false"/>
          <w:caps w:val="false"/>
          <w:smallCaps w:val="false"/>
          <w:sz w:val="20"/>
        </w:rPr>
        <w:t>834 and received net proceeds of approximately $</w:t>
      </w:r>
      <w:bookmarkStart w:id="1429" w:name="xdx_904_eus-gaap--ProceedsFromIssuanceOf"/>
      <w:bookmarkEnd w:id="1429"/>
      <w:r>
        <w:rPr>
          <w:rFonts w:ascii="Times New Roman;Times;Serif" w:hAnsi="Times New Roman;Times;Serif"/>
          <w:b w:val="false"/>
          <w:i w:val="false"/>
          <w:caps w:val="false"/>
          <w:smallCaps w:val="false"/>
          <w:sz w:val="20"/>
        </w:rPr>
        <w:t xml:space="preserve">579, after discount and transaction fees. The note has a maturity date of </w:t>
      </w:r>
      <w:bookmarkStart w:id="1430" w:name="xdx_904_eus-gaap--DebtInstrumentMaturity"/>
      <w:bookmarkEnd w:id="1430"/>
      <w:r>
        <w:rPr>
          <w:rFonts w:ascii="Times New Roman;Times;Serif" w:hAnsi="Times New Roman;Times;Serif"/>
          <w:b w:val="false"/>
          <w:i w:val="false"/>
          <w:caps w:val="false"/>
          <w:smallCaps w:val="false"/>
          <w:sz w:val="20"/>
        </w:rPr>
        <w:t xml:space="preserve">January 5, 2027, and bears interest at </w:t>
      </w:r>
      <w:bookmarkStart w:id="1431" w:name="xdx_908_eus-gaap--DebtInstrumentInterest"/>
      <w:bookmarkEnd w:id="1431"/>
      <w:r>
        <w:rPr>
          <w:rFonts w:ascii="Times New Roman;Times;Serif" w:hAnsi="Times New Roman;Times;Serif"/>
          <w:b w:val="false"/>
          <w:i w:val="false"/>
          <w:caps w:val="false"/>
          <w:smallCaps w:val="false"/>
          <w:sz w:val="20"/>
        </w:rPr>
        <w:t>106.71%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2, 2026 and May 12, 2026, the Buyer exercised its contractual conversion option multiple times under the February 3i Note and received an aggregate of approximately </w:t>
      </w:r>
      <w:bookmarkStart w:id="1432" w:name="xdx_90A_eus-gaap--DebtConversionConverte"/>
      <w:bookmarkEnd w:id="1432"/>
      <w:r>
        <w:rPr>
          <w:rFonts w:ascii="Times New Roman;Times;Serif" w:hAnsi="Times New Roman;Times;Serif"/>
          <w:b w:val="false"/>
          <w:i w:val="false"/>
          <w:caps w:val="false"/>
          <w:smallCaps w:val="false"/>
          <w:sz w:val="20"/>
        </w:rPr>
        <w:t>145 thousand shares of Class A Common Stock at conversion prices per share ranging from $</w:t>
      </w:r>
      <w:bookmarkStart w:id="1433" w:name="xdx_906_eus-gaap--DebtInstrumentConverti"/>
      <w:bookmarkEnd w:id="1433"/>
      <w:r>
        <w:rPr>
          <w:rFonts w:ascii="Times New Roman;Times;Serif" w:hAnsi="Times New Roman;Times;Serif"/>
          <w:b w:val="false"/>
          <w:i w:val="false"/>
          <w:caps w:val="false"/>
          <w:smallCaps w:val="false"/>
          <w:sz w:val="20"/>
        </w:rPr>
        <w:t>5.08 to $</w:t>
      </w:r>
      <w:bookmarkStart w:id="1434" w:name="xdx_907_eus-gaap--DebtInstrumentConverti"/>
      <w:bookmarkEnd w:id="1434"/>
      <w:r>
        <w:rPr>
          <w:rFonts w:ascii="Times New Roman;Times;Serif" w:hAnsi="Times New Roman;Times;Serif"/>
          <w:b w:val="false"/>
          <w:i w:val="false"/>
          <w:caps w:val="false"/>
          <w:smallCaps w:val="false"/>
          <w:sz w:val="20"/>
        </w:rPr>
        <w:t>15.39 in satisfaction of approximately $</w:t>
      </w:r>
      <w:bookmarkStart w:id="1435" w:name="xdx_90F_eus-gaap--DebtInstrumentCarrying"/>
      <w:bookmarkEnd w:id="1435"/>
      <w:r>
        <w:rPr>
          <w:rFonts w:ascii="Times New Roman;Times;Serif" w:hAnsi="Times New Roman;Times;Serif"/>
          <w:b w:val="false"/>
          <w:i w:val="false"/>
          <w:caps w:val="false"/>
          <w:smallCaps w:val="false"/>
          <w:sz w:val="20"/>
        </w:rPr>
        <w:t>1.2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May 5, 2026 and May 11, 2026, the Lender exercised its contractual conversion option multiple times under the November 1800 Diagonal Note and September 1800 Diagonal Note and received an aggregate of approximately </w:t>
      </w:r>
      <w:bookmarkStart w:id="1436" w:name="xdx_90C_eus-gaap--DebtConversionConverte"/>
      <w:bookmarkEnd w:id="1436"/>
      <w:r>
        <w:rPr>
          <w:rFonts w:ascii="Times New Roman;Times;Serif" w:hAnsi="Times New Roman;Times;Serif"/>
          <w:b w:val="false"/>
          <w:i w:val="false"/>
          <w:caps w:val="false"/>
          <w:smallCaps w:val="false"/>
          <w:sz w:val="20"/>
        </w:rPr>
        <w:t>36 thousand shares of Class A Common Stock at conversion prices ranging from $</w:t>
      </w:r>
      <w:bookmarkStart w:id="1437" w:name="xdx_905_eus-gaap--DebtInstrumentConverti"/>
      <w:bookmarkEnd w:id="1437"/>
      <w:r>
        <w:rPr>
          <w:rFonts w:ascii="Times New Roman;Times;Serif" w:hAnsi="Times New Roman;Times;Serif"/>
          <w:b w:val="false"/>
          <w:i w:val="false"/>
          <w:caps w:val="false"/>
          <w:smallCaps w:val="false"/>
          <w:sz w:val="20"/>
        </w:rPr>
        <w:t>3.303 to $</w:t>
      </w:r>
      <w:bookmarkStart w:id="1438" w:name="xdx_907_eus-gaap--DebtInstrumentConverti"/>
      <w:bookmarkEnd w:id="1438"/>
      <w:r>
        <w:rPr>
          <w:rFonts w:ascii="Times New Roman;Times;Serif" w:hAnsi="Times New Roman;Times;Serif"/>
          <w:b w:val="false"/>
          <w:i w:val="false"/>
          <w:caps w:val="false"/>
          <w:smallCaps w:val="false"/>
          <w:sz w:val="20"/>
        </w:rPr>
        <w:t>4.520 in satisfaction of approximately $</w:t>
      </w:r>
      <w:bookmarkStart w:id="1439" w:name="xdx_905_eus-gaap--DebtInstrumentCarrying"/>
      <w:bookmarkEnd w:id="1439"/>
      <w:r>
        <w:rPr>
          <w:rFonts w:ascii="Times New Roman;Times;Serif" w:hAnsi="Times New Roman;Times;Serif"/>
          <w:b w:val="false"/>
          <w:i w:val="false"/>
          <w:caps w:val="false"/>
          <w:smallCaps w:val="false"/>
          <w:sz w:val="20"/>
        </w:rPr>
        <w:t>136 thousand of the Company’s obligations under the respective Notes.</w:t>
      </w:r>
    </w:p>
    <w:p>
      <w:pPr>
        <w:pStyle w:val="TextBody"/>
        <w:bidi w:val="0"/>
        <w:spacing w:before="0" w:after="0"/>
        <w:ind w:left="0" w:right="0" w:hanging="0"/>
        <w:jc w:val="both"/>
        <w:rPr>
          <w:caps w:val="false"/>
          <w:smallCaps w:val="false"/>
        </w:rPr>
      </w:pPr>
      <w:bookmarkStart w:id="1440" w:name="xdx_81F_znjOGlXvc7U1"/>
      <w:bookmarkEnd w:id="1440"/>
      <w:r>
        <w:rPr>
          <w:caps w:val="false"/>
          <w:smallCaps w:val="false"/>
        </w:rPr>
        <w:t> </w:t>
      </w:r>
    </w:p>
    <w:p>
      <w:pPr>
        <w:pStyle w:val="TextBody"/>
        <w:bidi w:val="0"/>
        <w:spacing w:before="0" w:after="0"/>
        <w:ind w:left="0" w:right="0" w:hanging="0"/>
        <w:jc w:val="both"/>
        <w:rPr>
          <w:caps w:val="false"/>
          <w:smallCaps w:val="false"/>
        </w:rPr>
      </w:pPr>
      <w:bookmarkStart w:id="1441" w:name="xdx_049_zFkQy8oSudK6"/>
      <w:bookmarkEnd w:id="144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42" w:name="ta_001"/>
      <w:bookmarkEnd w:id="144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financial statements, the Company effected a stock split as of May 08, 2026. We also have audited the adjustments necessary to update the December 31, 2024 financial statements to retrospectively apply the stock split, as provided in Note 1. In our opinion, such adjustments are appropriate and have been properly applied. We were not engaged to audit, review or apply any procedures to the December 31, 2024 financial statements of the Company other than with respect to the adjustments and, accordingly, we do not express an opinion or any other form of assurance on the December 31, 2024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Vidello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accounting for the acquisition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 the transaction structure, acquisition date, and identify the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the total consideration (cash, shares, warrants, contingent/earn-out) to transaction documents and records.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accounting and fair-value measurement of contingent/earn-out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 identification and fair-value allocation of identifiable assets (PP&amp;E, intangibles) and liabilities assumed.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key assumptions (growth rates, discount rates, multiples, terminal value) in the client’s valuation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underlying financial data (revenue, EBITDA, working capital) used in the valuation against Vidello’s financials.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the Stock Purchase Agreement and related documents to understand the terms and conditions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management’s calculations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adequacy of the Company’s disclosures related to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of Level 3 Financial Instruments and Acquisition-Related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7 to the consolidated financial statements, the Company has issued multiple debt and financing instruments, including convertible notes, warrants, and acquisition-related goodwill and 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and assessing the terms of the relevant agreements to confirm terms driving valuation inputs.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key valuation inputs by comparing management’s assumptions to observable market data, including interest rates, volatility benchmarks, and credit-risk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independently developing fair value estimates to compare with management’s recorded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in the valuation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related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Note 1 (stock split adjustment), as to which the date is June 4,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6797</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43" w:name="ta_002"/>
      <w:bookmarkEnd w:id="144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retrospective adjustments related to the 1-for-20 reverse stock split of Banzai International, Inc.’s Class A and Class B common stock, effective May 8, 2026, as disclosed in Note 1 to the consolidated financial statements,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before the effects of the retrospective adjustments related to the 1-for-20 reverse stock split of the Company’s Class A and Class B common stock, effective May 8, 2026, as disclosed in Note 1 to the financial statements,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retrospective adjustments related to the 1-for-20 reverse stock split of the Company’s Class A and Class B common stock, as disclosed in Note 1 to the financial statements, and accordingly, we do not express an opinion or any form of assurance about whether such adjustments are appropriate and have been properly applied. Those adjustments were audited by 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 except for Note 1 as to which the date is September 12,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44" w:name="ta_003"/>
      <w:bookmarkEnd w:id="1444"/>
      <w:r>
        <w:rPr>
          <w:rFonts w:ascii="Times New Roman;Times;Serif" w:hAnsi="Times New Roman;Times;Serif"/>
          <w:b/>
          <w:i w:val="false"/>
          <w:caps w:val="false"/>
          <w:smallCaps w:val="false"/>
          <w:sz w:val="20"/>
        </w:rPr>
        <w:t>PART I</w:t>
      </w:r>
      <w:r>
        <w:rPr>
          <w:rFonts w:ascii="Times New Roman;Times;Serif" w:hAnsi="Times New Roman;Times;Serif"/>
          <w:b/>
          <w:i w:val="false"/>
          <w:caps w:val="false"/>
          <w:smallCaps w:val="false"/>
          <w:sz w:val="20"/>
          <w:shd w:fill="FFFFFF" w:val="clear"/>
        </w:rPr>
        <w:t>—FINANCIAL INFORMATION</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45" w:name="xdx_30C_111_zSfsE8Nia5fk"/>
      <w:bookmarkStart w:id="1446" w:name="xdx_30C_111_zSfsE8Nia5fk"/>
      <w:bookmarkEnd w:id="1446"/>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47" w:name="xdx_49B_20251231_z9looKPgDyF2"/>
            <w:bookmarkEnd w:id="1447"/>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8" w:name="xdx_49B_20241231_zvNfVIGZ0Rhg"/>
            <w:bookmarkEnd w:id="1448"/>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1449" w:name="xdx_409_eus-gaap--AssetsAbstract_iB_zLw8"/>
            <w:bookmarkEnd w:id="144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50" w:name="xdx_40C_eus-gaap--AssetsCurrentAbstract_"/>
            <w:bookmarkEnd w:id="145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51" w:name="xdx_408_eus-gaap--CashAndCashEquivalents"/>
            <w:bookmarkEnd w:id="1451"/>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0" w:type="dxa"/>
            <w:tcBorders/>
            <w:shd w:fill="CCEEFF" w:val="clear"/>
            <w:vAlign w:val="center"/>
          </w:tcPr>
          <w:p>
            <w:pPr>
              <w:pStyle w:val="TableContents"/>
              <w:bidi w:val="0"/>
              <w:spacing w:before="0" w:after="283"/>
              <w:jc w:val="left"/>
              <w:rPr/>
            </w:pPr>
            <w:r>
              <w:rPr/>
              <w:t> </w:t>
            </w:r>
            <w:bookmarkStart w:id="1452" w:name="xdx_400_eus-gaap--AccountsReceivableNetC"/>
            <w:bookmarkEnd w:id="145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w:t>
            </w:r>
            <w:bookmarkStart w:id="1453" w:name="xdx_90B_eus-gaap--AllowanceForDoubtfulAc"/>
            <w:bookmarkEnd w:id="1453"/>
            <w:r>
              <w:rPr>
                <w:rFonts w:ascii="Times New Roman;Times;Serif" w:hAnsi="Times New Roman;Times;Serif"/>
              </w:rPr>
              <w:t>41,341 and $</w:t>
            </w:r>
            <w:bookmarkStart w:id="1454" w:name="xdx_903_eus-gaap--AllowanceForDoubtfulAc"/>
            <w:bookmarkEnd w:id="1454"/>
            <w:r>
              <w:rPr>
                <w:rFonts w:ascii="Times New Roman;Times;Serif" w:hAnsi="Times New Roman;Times;Serif"/>
              </w:rPr>
              <w:t>24,210,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110" w:type="dxa"/>
            <w:tcBorders/>
            <w:shd w:fill="FFFFFF" w:val="clear"/>
            <w:vAlign w:val="center"/>
          </w:tcPr>
          <w:p>
            <w:pPr>
              <w:pStyle w:val="TableContents"/>
              <w:bidi w:val="0"/>
              <w:spacing w:before="0" w:after="283"/>
              <w:jc w:val="left"/>
              <w:rPr/>
            </w:pPr>
            <w:r>
              <w:rPr/>
              <w:t> </w:t>
            </w:r>
            <w:bookmarkStart w:id="1455" w:name="xdx_401_eus-gaap--PrepaidExpenseAndOther"/>
            <w:bookmarkEnd w:id="1455"/>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110" w:type="dxa"/>
            <w:tcBorders/>
            <w:shd w:fill="CCEEFF" w:val="clear"/>
            <w:vAlign w:val="center"/>
          </w:tcPr>
          <w:p>
            <w:pPr>
              <w:pStyle w:val="TableContents"/>
              <w:bidi w:val="0"/>
              <w:spacing w:before="0" w:after="283"/>
              <w:jc w:val="left"/>
              <w:rPr/>
            </w:pPr>
            <w:r>
              <w:rPr/>
              <w:t> </w:t>
            </w:r>
            <w:bookmarkStart w:id="1456" w:name="xdx_405_eus-gaap--AssetsCurrent_i02TI_mt"/>
            <w:bookmarkEnd w:id="1456"/>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2,667,492</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57" w:name="xdx_403_eus-gaap--PropertyPlantAndEquipm"/>
            <w:bookmarkEnd w:id="1457"/>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FFFFFF" w:val="clear"/>
            <w:vAlign w:val="center"/>
          </w:tcPr>
          <w:p>
            <w:pPr>
              <w:pStyle w:val="TableContents"/>
              <w:bidi w:val="0"/>
              <w:spacing w:before="0" w:after="283"/>
              <w:jc w:val="left"/>
              <w:rPr/>
            </w:pPr>
            <w:r>
              <w:rPr/>
              <w:t> </w:t>
            </w:r>
            <w:bookmarkStart w:id="1458" w:name="xdx_400_eus-gaap--IntangibleAssetsNetExc"/>
            <w:bookmarkEnd w:id="1458"/>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110" w:type="dxa"/>
            <w:tcBorders/>
            <w:shd w:fill="CCEEFF" w:val="clear"/>
            <w:vAlign w:val="center"/>
          </w:tcPr>
          <w:p>
            <w:pPr>
              <w:pStyle w:val="TableContents"/>
              <w:bidi w:val="0"/>
              <w:spacing w:before="0" w:after="283"/>
              <w:jc w:val="left"/>
              <w:rPr/>
            </w:pPr>
            <w:r>
              <w:rPr/>
              <w:t> </w:t>
            </w:r>
            <w:bookmarkStart w:id="1459" w:name="xdx_402_eus-gaap--Goodwill_i01I_maAzOdz_"/>
            <w:bookmarkEnd w:id="1459"/>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110" w:type="dxa"/>
            <w:tcBorders/>
            <w:shd w:fill="FFFFFF" w:val="clear"/>
            <w:vAlign w:val="center"/>
          </w:tcPr>
          <w:p>
            <w:pPr>
              <w:pStyle w:val="TableContents"/>
              <w:bidi w:val="0"/>
              <w:spacing w:before="0" w:after="283"/>
              <w:jc w:val="left"/>
              <w:rPr/>
            </w:pPr>
            <w:r>
              <w:rPr/>
              <w:t> </w:t>
            </w:r>
            <w:bookmarkStart w:id="1460" w:name="xdx_407_eus-gaap--OperatingLeaseRightOfU"/>
            <w:bookmarkEnd w:id="1460"/>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110" w:type="dxa"/>
            <w:tcBorders/>
            <w:shd w:fill="CCEEFF" w:val="clear"/>
            <w:vAlign w:val="center"/>
          </w:tcPr>
          <w:p>
            <w:pPr>
              <w:pStyle w:val="TableContents"/>
              <w:bidi w:val="0"/>
              <w:spacing w:before="0" w:after="283"/>
              <w:jc w:val="left"/>
              <w:rPr/>
            </w:pPr>
            <w:r>
              <w:rPr/>
              <w:t> </w:t>
            </w:r>
            <w:bookmarkStart w:id="1461" w:name="xdx_408_eus-gaap--EmbeddedDerivativeFair"/>
            <w:bookmarkEnd w:id="146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FFFFFF" w:val="clear"/>
            <w:vAlign w:val="center"/>
          </w:tcPr>
          <w:p>
            <w:pPr>
              <w:pStyle w:val="TableContents"/>
              <w:bidi w:val="0"/>
              <w:spacing w:before="0" w:after="283"/>
              <w:jc w:val="left"/>
              <w:rPr/>
            </w:pPr>
            <w:r>
              <w:rPr/>
              <w:t> </w:t>
            </w:r>
            <w:bookmarkStart w:id="1462" w:name="xdx_404_ecustom--DeferredOfferingCostsNo"/>
            <w:bookmarkEnd w:id="1462"/>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63" w:name="xdx_404_eus-gaap--OtherAssets_i01I_maAzO"/>
            <w:bookmarkEnd w:id="146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w:t>
            </w:r>
          </w:p>
        </w:tc>
        <w:tc>
          <w:tcPr>
            <w:tcW w:w="110" w:type="dxa"/>
            <w:tcBorders/>
            <w:shd w:fill="FFFFFF" w:val="clear"/>
            <w:vAlign w:val="center"/>
          </w:tcPr>
          <w:p>
            <w:pPr>
              <w:pStyle w:val="TableContents"/>
              <w:bidi w:val="0"/>
              <w:spacing w:before="0" w:after="283"/>
              <w:jc w:val="left"/>
              <w:rPr/>
            </w:pPr>
            <w:r>
              <w:rPr/>
              <w:t> </w:t>
            </w:r>
            <w:bookmarkStart w:id="1464" w:name="xdx_400_ecustom--Asset_i01TI_mtAzOdz_zbL"/>
            <w:bookmarkEnd w:id="146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5" w:name="xdx_402_eus-gaap--LiabilitiesAndStockhol"/>
            <w:bookmarkEnd w:id="1465"/>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6" w:name="xdx_405_eus-gaap--LiabilitiesCurrentAbst"/>
            <w:bookmarkEnd w:id="1466"/>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67" w:name="xdx_406_eus-gaap--AccountsPayableCurrent"/>
            <w:bookmarkEnd w:id="1467"/>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7,782,746</w:t>
            </w:r>
          </w:p>
        </w:tc>
        <w:tc>
          <w:tcPr>
            <w:tcW w:w="110" w:type="dxa"/>
            <w:tcBorders/>
            <w:shd w:fill="CCEEFF" w:val="clear"/>
            <w:vAlign w:val="center"/>
          </w:tcPr>
          <w:p>
            <w:pPr>
              <w:pStyle w:val="TableContents"/>
              <w:bidi w:val="0"/>
              <w:spacing w:before="0" w:after="283"/>
              <w:jc w:val="left"/>
              <w:rPr/>
            </w:pPr>
            <w:r>
              <w:rPr/>
              <w:t> </w:t>
            </w:r>
            <w:bookmarkStart w:id="1468" w:name="xdx_405_eus-gaap--AccountsPayableAndOthe"/>
            <w:bookmarkEnd w:id="146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110" w:type="dxa"/>
            <w:tcBorders/>
            <w:shd w:fill="FFFFFF" w:val="clear"/>
            <w:vAlign w:val="center"/>
          </w:tcPr>
          <w:p>
            <w:pPr>
              <w:pStyle w:val="TableContents"/>
              <w:bidi w:val="0"/>
              <w:spacing w:before="0" w:after="283"/>
              <w:jc w:val="left"/>
              <w:rPr/>
            </w:pPr>
            <w:r>
              <w:rPr/>
              <w:t> </w:t>
            </w:r>
            <w:bookmarkStart w:id="1469" w:name="xdx_40A_eus-gaap--ConvertibleDebtCurrent"/>
            <w:bookmarkEnd w:id="146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bookmarkStart w:id="1470" w:name="xdx_40B_eus-gaap--ConvertibleDebtCurrent"/>
            <w:bookmarkEnd w:id="147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bookmarkStart w:id="1471" w:name="xdx_40D_eus-gaap--ConvertibleDebtCurrent"/>
            <w:bookmarkEnd w:id="147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bookmarkStart w:id="1472" w:name="xdx_40D_ecustom--ConvertibleNotesCarried"/>
            <w:bookmarkEnd w:id="1472"/>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73" w:name="xdx_406_ecustom--ConvertibleDebtCurrents"/>
            <w:bookmarkEnd w:id="147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74" w:name="xdx_403_ecustom--NotesPayableCarriedAtFa"/>
            <w:bookmarkEnd w:id="147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3,575,000</w:t>
            </w:r>
          </w:p>
        </w:tc>
        <w:tc>
          <w:tcPr>
            <w:tcW w:w="110" w:type="dxa"/>
            <w:tcBorders/>
            <w:shd w:fill="CCEEFF" w:val="clear"/>
            <w:vAlign w:val="center"/>
          </w:tcPr>
          <w:p>
            <w:pPr>
              <w:pStyle w:val="TableContents"/>
              <w:bidi w:val="0"/>
              <w:spacing w:before="0" w:after="283"/>
              <w:jc w:val="left"/>
              <w:rPr/>
            </w:pPr>
            <w:r>
              <w:rPr/>
              <w:t> </w:t>
            </w:r>
            <w:bookmarkStart w:id="1475" w:name="xdx_40A_ecustom--WarrantLiabilityCurrent"/>
            <w:bookmarkEnd w:id="147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FFFFFF" w:val="clear"/>
            <w:vAlign w:val="center"/>
          </w:tcPr>
          <w:p>
            <w:pPr>
              <w:pStyle w:val="TableContents"/>
              <w:bidi w:val="0"/>
              <w:spacing w:before="0" w:after="283"/>
              <w:jc w:val="left"/>
              <w:rPr/>
            </w:pPr>
            <w:r>
              <w:rPr/>
              <w:t> </w:t>
            </w:r>
            <w:bookmarkStart w:id="1476" w:name="xdx_40A_ecustom--WarrantLiabilityCurrent"/>
            <w:bookmarkEnd w:id="147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1477" w:name="xdx_405_ecustom--WarrantLiabilityCurrent"/>
            <w:bookmarkEnd w:id="1477"/>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1478" w:name="xdx_409_ecustom--PrivatePlacementWarrant"/>
            <w:bookmarkEnd w:id="147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79" w:name="xdx_40B_ecustom--EarnoutLiabilityCurrent"/>
            <w:bookmarkEnd w:id="1479"/>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110" w:type="dxa"/>
            <w:tcBorders/>
            <w:shd w:fill="CCEEFF" w:val="clear"/>
            <w:vAlign w:val="center"/>
          </w:tcPr>
          <w:p>
            <w:pPr>
              <w:pStyle w:val="TableContents"/>
              <w:bidi w:val="0"/>
              <w:spacing w:before="0" w:after="283"/>
              <w:jc w:val="left"/>
              <w:rPr/>
            </w:pPr>
            <w:r>
              <w:rPr/>
              <w:t> </w:t>
            </w:r>
            <w:bookmarkStart w:id="1480" w:name="xdx_40F_ecustom--RelatedPartiesCurrent_i"/>
            <w:bookmarkEnd w:id="1480"/>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167,118</w:t>
            </w:r>
          </w:p>
        </w:tc>
        <w:tc>
          <w:tcPr>
            <w:tcW w:w="110" w:type="dxa"/>
            <w:tcBorders/>
            <w:shd w:fill="FFFFFF" w:val="clear"/>
            <w:vAlign w:val="center"/>
          </w:tcPr>
          <w:p>
            <w:pPr>
              <w:pStyle w:val="TableContents"/>
              <w:bidi w:val="0"/>
              <w:spacing w:before="0" w:after="283"/>
              <w:jc w:val="left"/>
              <w:rPr/>
            </w:pPr>
            <w:r>
              <w:rPr/>
              <w:t> </w:t>
            </w:r>
            <w:bookmarkStart w:id="1481" w:name="xdx_400_ecustom--DeferredRevenueCurrents"/>
            <w:bookmarkEnd w:id="1481"/>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3,934,627</w:t>
            </w:r>
          </w:p>
        </w:tc>
        <w:tc>
          <w:tcPr>
            <w:tcW w:w="110" w:type="dxa"/>
            <w:tcBorders/>
            <w:shd w:fill="CCEEFF" w:val="clear"/>
            <w:vAlign w:val="center"/>
          </w:tcPr>
          <w:p>
            <w:pPr>
              <w:pStyle w:val="TableContents"/>
              <w:bidi w:val="0"/>
              <w:spacing w:before="0" w:after="283"/>
              <w:jc w:val="left"/>
              <w:rPr/>
            </w:pPr>
            <w:r>
              <w:rPr/>
              <w:t> </w:t>
            </w:r>
            <w:bookmarkStart w:id="1482" w:name="xdx_409_eus-gaap--OperatingLeaseLiabilit"/>
            <w:bookmarkEnd w:id="148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110" w:type="dxa"/>
            <w:tcBorders/>
            <w:shd w:fill="FFFFFF" w:val="clear"/>
            <w:vAlign w:val="center"/>
          </w:tcPr>
          <w:p>
            <w:pPr>
              <w:pStyle w:val="TableContents"/>
              <w:bidi w:val="0"/>
              <w:spacing w:before="0" w:after="283"/>
              <w:jc w:val="left"/>
              <w:rPr/>
            </w:pPr>
            <w:r>
              <w:rPr/>
              <w:t> </w:t>
            </w:r>
            <w:bookmarkStart w:id="1483" w:name="xdx_403_ecustom--LiabilitiesCurrents_i02"/>
            <w:bookmarkEnd w:id="1483"/>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22,370,810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28,260,148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4" w:name="xdx_404_eus-gaap--DeferredRevenueNoncurr"/>
            <w:bookmarkEnd w:id="148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117,643</w:t>
            </w:r>
          </w:p>
        </w:tc>
        <w:tc>
          <w:tcPr>
            <w:tcW w:w="110" w:type="dxa"/>
            <w:tcBorders/>
            <w:shd w:fill="CCEEFF" w:val="clear"/>
            <w:vAlign w:val="center"/>
          </w:tcPr>
          <w:p>
            <w:pPr>
              <w:pStyle w:val="TableContents"/>
              <w:bidi w:val="0"/>
              <w:spacing w:before="0" w:after="283"/>
              <w:jc w:val="left"/>
              <w:rPr/>
            </w:pPr>
            <w:r>
              <w:rPr/>
              <w:t> </w:t>
            </w:r>
            <w:bookmarkStart w:id="1485" w:name="xdx_408_eus-gaap--DeferredIncomeTaxLiabi"/>
            <w:bookmarkEnd w:id="148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0" w:type="dxa"/>
            <w:tcBorders/>
            <w:shd w:fill="FFFFFF" w:val="clear"/>
            <w:vAlign w:val="center"/>
          </w:tcPr>
          <w:p>
            <w:pPr>
              <w:pStyle w:val="TableContents"/>
              <w:bidi w:val="0"/>
              <w:spacing w:before="0" w:after="283"/>
              <w:jc w:val="left"/>
              <w:rPr/>
            </w:pPr>
            <w:r>
              <w:rPr/>
              <w:t> </w:t>
            </w:r>
            <w:bookmarkStart w:id="1486" w:name="xdx_40A_eus-gaap--OperatingLeaseLiabilit"/>
            <w:bookmarkEnd w:id="148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110" w:type="dxa"/>
            <w:tcBorders/>
            <w:shd w:fill="CCEEFF" w:val="clear"/>
            <w:vAlign w:val="center"/>
          </w:tcPr>
          <w:p>
            <w:pPr>
              <w:pStyle w:val="TableContents"/>
              <w:bidi w:val="0"/>
              <w:spacing w:before="0" w:after="283"/>
              <w:jc w:val="left"/>
              <w:rPr/>
            </w:pPr>
            <w:r>
              <w:rPr/>
              <w:t> </w:t>
            </w:r>
            <w:bookmarkStart w:id="1487" w:name="xdx_408_ecustom--Liabilitiestotal_i01TI_"/>
            <w:bookmarkEnd w:id="1487"/>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28,437,880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8" w:name="xdx_40E_eus-gaap--CommitmentsAndContinge"/>
            <w:bookmarkEnd w:id="1488"/>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89" w:name="xdx_40D_eus-gaap--StockholdersEquityAbst"/>
            <w:bookmarkEnd w:id="1489"/>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0" w:name="xdx_401_ecustom--CommonStock_i02I_pid_zs"/>
            <w:bookmarkEnd w:id="1490"/>
          </w:p>
        </w:tc>
      </w:tr>
      <w:tr>
        <w:trPr/>
        <w:tc>
          <w:tcPr>
            <w:tcW w:w="7130" w:type="dxa"/>
            <w:tcBorders/>
            <w:shd w:fill="CCEEFF" w:val="clear"/>
            <w:vAlign w:val="center"/>
          </w:tcPr>
          <w:p>
            <w:pPr>
              <w:pStyle w:val="TableContents"/>
              <w:bidi w:val="0"/>
              <w:spacing w:before="0" w:after="283"/>
              <w:jc w:val="left"/>
              <w:rPr/>
            </w:pPr>
            <w:r>
              <w:rPr>
                <w:rFonts w:ascii="Times New Roman;Times;Serif" w:hAnsi="Times New Roman;Times;Serif"/>
              </w:rPr>
              <w:t>Common stock, $</w:t>
            </w:r>
            <w:bookmarkStart w:id="1491" w:name="xdx_903_eus-gaap--CommonStockParOrStated"/>
            <w:bookmarkStart w:id="1492" w:name="xdx_902_eus-gaap--CommonStockParOrStated"/>
            <w:bookmarkEnd w:id="1491"/>
            <w:bookmarkEnd w:id="1492"/>
            <w:r>
              <w:rPr>
                <w:rFonts w:ascii="Times New Roman;Times;Serif" w:hAnsi="Times New Roman;Times;Serif"/>
              </w:rPr>
              <w:t>0.0001</w:t>
            </w:r>
            <w:r>
              <w:rPr/>
              <w:t xml:space="preserve"> </w:t>
            </w:r>
            <w:r>
              <w:rPr>
                <w:rFonts w:ascii="Times New Roman;Times;Serif" w:hAnsi="Times New Roman;Times;Serif"/>
              </w:rPr>
              <w:t xml:space="preserve">par value, </w:t>
            </w:r>
            <w:bookmarkStart w:id="1493" w:name="xdx_901_eus-gaap--CommonStockSharesAutho"/>
            <w:bookmarkStart w:id="1494" w:name="xdx_907_eus-gaap--CommonStockSharesAutho"/>
            <w:bookmarkEnd w:id="1493"/>
            <w:bookmarkEnd w:id="1494"/>
            <w:r>
              <w:rPr>
                <w:rFonts w:ascii="Times New Roman;Times;Serif" w:hAnsi="Times New Roman;Times;Serif"/>
              </w:rPr>
              <w:t>275,000,000</w:t>
            </w:r>
            <w:r>
              <w:rPr/>
              <w:t xml:space="preserve"> </w:t>
            </w:r>
            <w:r>
              <w:rPr>
                <w:rFonts w:ascii="Times New Roman;Times;Serif" w:hAnsi="Times New Roman;Times;Serif"/>
              </w:rPr>
              <w:t>(</w:t>
            </w:r>
            <w:bookmarkStart w:id="1495" w:name="xdx_907_eus-gaap--CommonStockSharesAutho"/>
            <w:bookmarkStart w:id="1496" w:name="xdx_903_eus-gaap--CommonStockSharesAutho"/>
            <w:bookmarkEnd w:id="1495"/>
            <w:bookmarkEnd w:id="1496"/>
            <w:r>
              <w:rPr>
                <w:rFonts w:ascii="Times New Roman;Times;Serif" w:hAnsi="Times New Roman;Times;Serif"/>
              </w:rPr>
              <w:t>250,000,000</w:t>
            </w:r>
            <w:r>
              <w:rPr/>
              <w:t xml:space="preserve"> </w:t>
            </w:r>
            <w:r>
              <w:rPr>
                <w:rFonts w:ascii="Times New Roman;Times;Serif" w:hAnsi="Times New Roman;Times;Serif"/>
              </w:rPr>
              <w:t xml:space="preserve">Class A and </w:t>
            </w:r>
            <w:bookmarkStart w:id="1497" w:name="xdx_906_eus-gaap--CommonStockSharesAutho"/>
            <w:bookmarkStart w:id="1498" w:name="xdx_905_eus-gaap--CommonStockSharesAutho"/>
            <w:bookmarkEnd w:id="1497"/>
            <w:bookmarkEnd w:id="1498"/>
            <w:r>
              <w:rPr>
                <w:rFonts w:ascii="Times New Roman;Times;Serif" w:hAnsi="Times New Roman;Times;Serif"/>
              </w:rPr>
              <w:t>25,000,000</w:t>
            </w:r>
            <w:r>
              <w:rPr/>
              <w:t xml:space="preserve"> </w:t>
            </w:r>
            <w:r>
              <w:rPr>
                <w:rFonts w:ascii="Times New Roman;Times;Serif" w:hAnsi="Times New Roman;Times;Serif"/>
              </w:rPr>
              <w:t xml:space="preserve">Class B) shares authorized and </w:t>
            </w:r>
            <w:bookmarkStart w:id="1499" w:name="xdx_90E_eus-gaap--CommonStockSharesOutst"/>
            <w:bookmarkStart w:id="1500" w:name="xdx_90F_eus-gaap--CommonStockSharesIssue"/>
            <w:bookmarkEnd w:id="1499"/>
            <w:bookmarkEnd w:id="1500"/>
            <w:r>
              <w:rPr>
                <w:rFonts w:ascii="Times New Roman;Times;Serif" w:hAnsi="Times New Roman;Times;Serif"/>
              </w:rPr>
              <w:t>527,317</w:t>
            </w:r>
            <w:r>
              <w:rPr/>
              <w:t xml:space="preserve"> </w:t>
            </w:r>
            <w:r>
              <w:rPr>
                <w:rFonts w:ascii="Times New Roman;Times;Serif" w:hAnsi="Times New Roman;Times;Serif"/>
              </w:rPr>
              <w:t>(</w:t>
            </w:r>
            <w:bookmarkStart w:id="1501" w:name="xdx_900_eus-gaap--CommonStockSharesOutst"/>
            <w:bookmarkStart w:id="1502" w:name="xdx_904_eus-gaap--CommonStockSharesIssue"/>
            <w:bookmarkEnd w:id="1501"/>
            <w:bookmarkEnd w:id="1502"/>
            <w:r>
              <w:rPr>
                <w:rFonts w:ascii="Times New Roman;Times;Serif" w:hAnsi="Times New Roman;Times;Serif"/>
              </w:rPr>
              <w:t>515,761</w:t>
            </w:r>
            <w:r>
              <w:rPr/>
              <w:t xml:space="preserve"> </w:t>
            </w:r>
            <w:r>
              <w:rPr>
                <w:rFonts w:ascii="Times New Roman;Times;Serif" w:hAnsi="Times New Roman;Times;Serif"/>
              </w:rPr>
              <w:t xml:space="preserve">Class A and </w:t>
            </w:r>
            <w:bookmarkStart w:id="1503" w:name="xdx_90A_eus-gaap--CommonStockSharesOutst"/>
            <w:bookmarkStart w:id="1504" w:name="xdx_906_eus-gaap--CommonStockSharesIssue"/>
            <w:bookmarkEnd w:id="1503"/>
            <w:bookmarkEnd w:id="1504"/>
            <w:r>
              <w:rPr>
                <w:rFonts w:ascii="Times New Roman;Times;Serif" w:hAnsi="Times New Roman;Times;Serif"/>
              </w:rPr>
              <w:t>11,556</w:t>
            </w:r>
            <w:r>
              <w:rPr/>
              <w:t xml:space="preserve"> </w:t>
            </w:r>
            <w:r>
              <w:rPr>
                <w:rFonts w:ascii="Times New Roman;Times;Serif" w:hAnsi="Times New Roman;Times;Serif"/>
              </w:rPr>
              <w:t xml:space="preserve">Class B) and </w:t>
            </w:r>
            <w:bookmarkStart w:id="1505" w:name="xdx_907_eus-gaap--CommonStockSharesOutst"/>
            <w:bookmarkStart w:id="1506" w:name="xdx_906_eus-gaap--CommonStockSharesIssue"/>
            <w:bookmarkEnd w:id="1505"/>
            <w:bookmarkEnd w:id="1506"/>
            <w:r>
              <w:rPr>
                <w:rFonts w:ascii="Times New Roman;Times;Serif" w:hAnsi="Times New Roman;Times;Serif"/>
              </w:rPr>
              <w:t>40,976</w:t>
            </w:r>
            <w:r>
              <w:rPr/>
              <w:t xml:space="preserve"> </w:t>
            </w:r>
            <w:r>
              <w:rPr>
                <w:rFonts w:ascii="Times New Roman;Times;Serif" w:hAnsi="Times New Roman;Times;Serif"/>
              </w:rPr>
              <w:t>(</w:t>
            </w:r>
            <w:bookmarkStart w:id="1507" w:name="xdx_904_eus-gaap--CommonStockSharesOutst"/>
            <w:bookmarkStart w:id="1508" w:name="xdx_908_eus-gaap--CommonStockSharesIssue"/>
            <w:bookmarkEnd w:id="1507"/>
            <w:bookmarkEnd w:id="1508"/>
            <w:r>
              <w:rPr>
                <w:rFonts w:ascii="Times New Roman;Times;Serif" w:hAnsi="Times New Roman;Times;Serif"/>
              </w:rPr>
              <w:t>29,420</w:t>
            </w:r>
            <w:r>
              <w:rPr/>
              <w:t xml:space="preserve"> </w:t>
            </w:r>
            <w:r>
              <w:rPr>
                <w:rFonts w:ascii="Times New Roman;Times;Serif" w:hAnsi="Times New Roman;Times;Serif"/>
              </w:rPr>
              <w:t xml:space="preserve">Class A and </w:t>
            </w:r>
            <w:bookmarkStart w:id="1509" w:name="xdx_90E_eus-gaap--CommonStockSharesOutst"/>
            <w:bookmarkStart w:id="1510" w:name="xdx_90A_eus-gaap--CommonStockSharesIssue"/>
            <w:bookmarkEnd w:id="1509"/>
            <w:bookmarkEnd w:id="1510"/>
            <w:r>
              <w:rPr>
                <w:rFonts w:ascii="Times New Roman;Times;Serif" w:hAnsi="Times New Roman;Times;Serif"/>
              </w:rPr>
              <w:t>11,556</w:t>
            </w:r>
            <w:r>
              <w:rPr/>
              <w:t xml:space="preserve"> </w:t>
            </w:r>
            <w:r>
              <w:rPr>
                <w:rFonts w:ascii="Times New Roman;Times;Serif" w:hAnsi="Times New Roman;Times;Serif"/>
              </w:rPr>
              <w:t>Class B)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pPr>
            <w:r>
              <w:rPr/>
              <w:t> </w:t>
            </w:r>
            <w:bookmarkStart w:id="1511" w:name="xdx_406_ecustom--CommonStock_i02I_pid_ma"/>
            <w:bookmarkEnd w:id="1511"/>
          </w:p>
        </w:tc>
      </w:tr>
      <w:tr>
        <w:trPr/>
        <w:tc>
          <w:tcPr>
            <w:tcW w:w="71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512" w:name="xdx_407_eus-gaap--PreferredStockValue_i0"/>
            <w:bookmarkEnd w:id="1512"/>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1513" w:name="xdx_905_eus-gaap--PreferredStockParOrSta"/>
            <w:bookmarkStart w:id="1514" w:name="xdx_90C_eus-gaap--PreferredStockParOrSta"/>
            <w:bookmarkEnd w:id="1513"/>
            <w:bookmarkEnd w:id="1514"/>
            <w:r>
              <w:rPr>
                <w:rFonts w:ascii="Times New Roman;Times;Serif" w:hAnsi="Times New Roman;Times;Serif"/>
              </w:rPr>
              <w:t xml:space="preserve">0.0001 par value, </w:t>
            </w:r>
            <w:bookmarkStart w:id="1515" w:name="xdx_907_eus-gaap--PreferredStockSharesAu"/>
            <w:bookmarkStart w:id="1516" w:name="xdx_903_eus-gaap--PreferredStockSharesAu"/>
            <w:bookmarkEnd w:id="1515"/>
            <w:bookmarkEnd w:id="1516"/>
            <w:r>
              <w:rPr>
                <w:rFonts w:ascii="Times New Roman;Times;Serif" w:hAnsi="Times New Roman;Times;Serif"/>
              </w:rPr>
              <w:t xml:space="preserve">75,000,000 shares authorized, </w:t>
            </w:r>
            <w:bookmarkStart w:id="1517" w:name="xdx_90B_eus-gaap--PreferredStockSharesOu"/>
            <w:bookmarkStart w:id="1518" w:name="xdx_903_eus-gaap--PreferredStockSharesIs"/>
            <w:bookmarkEnd w:id="1517"/>
            <w:bookmarkEnd w:id="1518"/>
            <w:r>
              <w:rPr>
                <w:rFonts w:ascii="Times New Roman;Times;Serif" w:hAnsi="Times New Roman;Times;Serif"/>
              </w:rPr>
              <w:t xml:space="preserve">1 and </w:t>
            </w:r>
            <w:bookmarkStart w:id="1519" w:name="xdx_904_eus-gaap--PreferredStockSharesOu"/>
            <w:bookmarkStart w:id="1520" w:name="xdx_908_eus-gaap--PreferredStockSharesIs"/>
            <w:bookmarkEnd w:id="1519"/>
            <w:bookmarkEnd w:id="1520"/>
            <w:r>
              <w:rPr>
                <w:rFonts w:ascii="Times New Roman;Times;Serif" w:hAnsi="Times New Roman;Times;Serif"/>
              </w:rPr>
              <w:t>1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21" w:name="xdx_40F_eus-gaap--PreferredStockValue_i0"/>
            <w:bookmarkEnd w:id="1521"/>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22" w:name="xdx_40C_eus-gaap--AdditionalPaidInCapita"/>
            <w:bookmarkEnd w:id="1522"/>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75,515,907</w:t>
            </w:r>
          </w:p>
        </w:tc>
        <w:tc>
          <w:tcPr>
            <w:tcW w:w="110" w:type="dxa"/>
            <w:tcBorders/>
            <w:shd w:fill="CCEEFF" w:val="clear"/>
            <w:vAlign w:val="center"/>
          </w:tcPr>
          <w:p>
            <w:pPr>
              <w:pStyle w:val="TableContents"/>
              <w:bidi w:val="0"/>
              <w:spacing w:before="0" w:after="283"/>
              <w:jc w:val="left"/>
              <w:rPr/>
            </w:pPr>
            <w:r>
              <w:rPr/>
              <w:t> </w:t>
            </w:r>
            <w:bookmarkStart w:id="1523" w:name="xdx_40B_eus-gaap--AccumulatedOtherCompre"/>
            <w:bookmarkEnd w:id="1523"/>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24" w:name="xdx_40E_ecustom--RetainedEarningsAccumul"/>
            <w:bookmarkEnd w:id="1524"/>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(100,771,787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(78,279,713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25" w:name="xdx_404_ecustom--StockholdersEquitys_i02"/>
            <w:bookmarkEnd w:id="1525"/>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26" w:name="xdx_405_ecustom--LiabilitiesAndStockhold"/>
            <w:bookmarkEnd w:id="1526"/>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27" w:name="ta_004"/>
      <w:bookmarkEnd w:id="152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28" w:name="xdx_30D_113_zPSmG7Anom9a"/>
      <w:bookmarkStart w:id="1529" w:name="xdx_30D_113_zPSmG7Anom9a"/>
      <w:bookmarkEnd w:id="1529"/>
    </w:p>
    <w:tbl>
      <w:tblPr>
        <w:tblW w:w="10205" w:type="dxa"/>
        <w:jc w:val="left"/>
        <w:tblInd w:w="0" w:type="dxa"/>
        <w:tblLayout w:type="fixed"/>
        <w:tblCellMar>
          <w:top w:w="0" w:type="dxa"/>
          <w:left w:w="0" w:type="dxa"/>
          <w:bottom w:w="0" w:type="dxa"/>
          <w:right w:w="0" w:type="dxa"/>
        </w:tblCellMar>
      </w:tblPr>
      <w:tblGrid>
        <w:gridCol w:w="6523"/>
        <w:gridCol w:w="60"/>
        <w:gridCol w:w="175"/>
        <w:gridCol w:w="1482"/>
        <w:gridCol w:w="119"/>
        <w:gridCol w:w="74"/>
        <w:gridCol w:w="175"/>
        <w:gridCol w:w="1482"/>
        <w:gridCol w:w="115"/>
      </w:tblGrid>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530" w:name="xdx_496_20250101__20251231_zsVLTiVBgTij"/>
            <w:bookmarkEnd w:id="1530"/>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bookmarkStart w:id="1531" w:name="xdx_499_20240101__20241231_zQHiAc70G1Wk"/>
            <w:bookmarkEnd w:id="1531"/>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bookmarkStart w:id="1532" w:name="xdx_402_eus-gaap--OperatingIncomeLossAbs"/>
            <w:bookmarkEnd w:id="1532"/>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33" w:name="xdx_40F_eus-gaap--RevenueFromContractWit"/>
            <w:bookmarkEnd w:id="1533"/>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5" w:type="dxa"/>
            <w:tcBorders/>
            <w:shd w:fill="FFFFFF" w:val="clear"/>
            <w:vAlign w:val="center"/>
          </w:tcPr>
          <w:p>
            <w:pPr>
              <w:pStyle w:val="TableContents"/>
              <w:bidi w:val="0"/>
              <w:spacing w:before="0" w:after="283"/>
              <w:jc w:val="left"/>
              <w:rPr/>
            </w:pPr>
            <w:r>
              <w:rPr/>
              <w:t> </w:t>
            </w:r>
            <w:bookmarkStart w:id="1534" w:name="xdx_409_eus-gaap--CostOfRevenue_i01_z63C"/>
            <w:bookmarkEnd w:id="1534"/>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5" w:type="dxa"/>
            <w:tcBorders/>
            <w:shd w:fill="CCEEFF" w:val="clear"/>
            <w:vAlign w:val="center"/>
          </w:tcPr>
          <w:p>
            <w:pPr>
              <w:pStyle w:val="TableContents"/>
              <w:bidi w:val="0"/>
              <w:spacing w:before="0" w:after="283"/>
              <w:jc w:val="left"/>
              <w:rPr/>
            </w:pPr>
            <w:r>
              <w:rPr/>
              <w:t> </w:t>
            </w:r>
            <w:bookmarkStart w:id="1535" w:name="xdx_400_eus-gaap--GrossProfit_i01T_zlWM3"/>
            <w:bookmarkEnd w:id="1535"/>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36" w:name="xdx_408_eus-gaap--GeneralAndAdministrati"/>
            <w:bookmarkEnd w:id="1536"/>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27,287,345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16,548,902</w:t>
            </w:r>
          </w:p>
        </w:tc>
        <w:tc>
          <w:tcPr>
            <w:tcW w:w="115" w:type="dxa"/>
            <w:tcBorders/>
            <w:shd w:fill="CCEEFF" w:val="clear"/>
            <w:vAlign w:val="center"/>
          </w:tcPr>
          <w:p>
            <w:pPr>
              <w:pStyle w:val="TableContents"/>
              <w:bidi w:val="0"/>
              <w:spacing w:before="0" w:after="283"/>
              <w:jc w:val="left"/>
              <w:rPr/>
            </w:pPr>
            <w:r>
              <w:rPr/>
              <w:t> </w:t>
            </w:r>
            <w:bookmarkStart w:id="1537" w:name="xdx_408_eus-gaap--DepreciationAndAmortiz"/>
            <w:bookmarkEnd w:id="1537"/>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5" w:type="dxa"/>
            <w:tcBorders/>
            <w:shd w:fill="FFFFFF" w:val="clear"/>
            <w:vAlign w:val="center"/>
          </w:tcPr>
          <w:p>
            <w:pPr>
              <w:pStyle w:val="TableContents"/>
              <w:bidi w:val="0"/>
              <w:spacing w:before="0" w:after="283"/>
              <w:jc w:val="left"/>
              <w:rPr/>
            </w:pPr>
            <w:r>
              <w:rPr/>
              <w:t> </w:t>
            </w:r>
            <w:bookmarkStart w:id="1538" w:name="xdx_401_eus-gaap--OperatingExpenses_i01T"/>
            <w:bookmarkEnd w:id="1538"/>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28,437,816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16,573,081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39" w:name="xdx_404_eus-gaap--OperatingIncomeLoss_iT"/>
            <w:bookmarkEnd w:id="153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(18,464,980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(13,467,744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40" w:name="xdx_406_eus-gaap--OperatingIncomeLossAbs"/>
            <w:bookmarkEnd w:id="1540"/>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41" w:name="xdx_405_ecustom--GemSettlementFeeExpense"/>
            <w:bookmarkEnd w:id="1541"/>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5" w:type="dxa"/>
            <w:tcBorders/>
            <w:shd w:fill="FFFFFF" w:val="clear"/>
            <w:vAlign w:val="center"/>
          </w:tcPr>
          <w:p>
            <w:pPr>
              <w:pStyle w:val="TableContents"/>
              <w:bidi w:val="0"/>
              <w:spacing w:before="0" w:after="283"/>
              <w:jc w:val="left"/>
              <w:rPr/>
            </w:pPr>
            <w:r>
              <w:rPr/>
              <w:t> </w:t>
            </w:r>
            <w:bookmarkStart w:id="1542" w:name="xdx_40F_eus-gaap--InvestmentIncomeIntere"/>
            <w:bookmarkEnd w:id="1542"/>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43" w:name="xdx_40F_eus-gaap--InterestExpenseNonoper"/>
            <w:bookmarkEnd w:id="1543"/>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1,227,509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44" w:name="xdx_408_eus-gaap--InterestExpenseNonoper"/>
            <w:bookmarkEnd w:id="1544"/>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5" w:type="dxa"/>
            <w:tcBorders/>
            <w:shd w:fill="CCEEFF" w:val="clear"/>
            <w:vAlign w:val="center"/>
          </w:tcPr>
          <w:p>
            <w:pPr>
              <w:pStyle w:val="TableContents"/>
              <w:bidi w:val="0"/>
              <w:spacing w:before="0" w:after="283"/>
              <w:jc w:val="left"/>
              <w:rPr/>
            </w:pPr>
            <w:r>
              <w:rPr/>
              <w:t> </w:t>
            </w:r>
            <w:bookmarkStart w:id="1545" w:name="xdx_40B_eus-gaap--InterestExpenseNonoper"/>
            <w:bookmarkEnd w:id="154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3,047,101</w:t>
            </w:r>
          </w:p>
        </w:tc>
        <w:tc>
          <w:tcPr>
            <w:tcW w:w="115" w:type="dxa"/>
            <w:tcBorders/>
            <w:shd w:fill="CCEEFF" w:val="clear"/>
            <w:vAlign w:val="center"/>
          </w:tcPr>
          <w:p>
            <w:pPr>
              <w:pStyle w:val="TableContents"/>
              <w:bidi w:val="0"/>
              <w:spacing w:before="0" w:after="283"/>
              <w:jc w:val="left"/>
              <w:rPr/>
            </w:pPr>
            <w:r>
              <w:rPr/>
              <w:t> </w:t>
            </w:r>
            <w:bookmarkStart w:id="1546" w:name="xdx_400_eus-gaap--GainsLossesOnExtinguis"/>
            <w:bookmarkEnd w:id="154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47" w:name="xdx_407_ecustom--GainLossOnReleaseOfReve"/>
            <w:bookmarkEnd w:id="1547"/>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48" w:name="xdx_40E_ecustom--LossOnDebtIssuance_i01_"/>
            <w:bookmarkEnd w:id="1548"/>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5" w:type="dxa"/>
            <w:tcBorders/>
            <w:shd w:fill="FFFFFF" w:val="clear"/>
            <w:vAlign w:val="center"/>
          </w:tcPr>
          <w:p>
            <w:pPr>
              <w:pStyle w:val="TableContents"/>
              <w:bidi w:val="0"/>
              <w:spacing w:before="0" w:after="283"/>
              <w:jc w:val="left"/>
              <w:rPr/>
            </w:pPr>
            <w:r>
              <w:rPr/>
              <w:t> </w:t>
            </w:r>
            <w:bookmarkStart w:id="1549" w:name="xdx_409_ecustom--LossOnPrivatePlacementI"/>
            <w:bookmarkEnd w:id="154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50" w:name="xdx_40E_ecustom--LossOnIssuanceOfTermNot"/>
            <w:bookmarkEnd w:id="155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51" w:name="xdx_400_ecustom--LossOnIssuanceOfConvert"/>
            <w:bookmarkEnd w:id="155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52" w:name="xdx_40A_ecustom--LossOnConversionAndSett"/>
            <w:bookmarkEnd w:id="155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5" w:type="dxa"/>
            <w:tcBorders/>
            <w:shd w:fill="FFFFFF" w:val="clear"/>
            <w:vAlign w:val="center"/>
          </w:tcPr>
          <w:p>
            <w:pPr>
              <w:pStyle w:val="TableContents"/>
              <w:bidi w:val="0"/>
              <w:spacing w:before="0" w:after="283"/>
              <w:jc w:val="left"/>
              <w:rPr/>
            </w:pPr>
            <w:r>
              <w:rPr/>
              <w:t> </w:t>
            </w:r>
            <w:bookmarkStart w:id="1553" w:name="xdx_40D_ecustom--LossOnConversionAndSett"/>
            <w:bookmarkEnd w:id="1553"/>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5" w:type="dxa"/>
            <w:tcBorders/>
            <w:shd w:fill="CCEEFF" w:val="clear"/>
            <w:vAlign w:val="center"/>
          </w:tcPr>
          <w:p>
            <w:pPr>
              <w:pStyle w:val="TableContents"/>
              <w:bidi w:val="0"/>
              <w:spacing w:before="0" w:after="283"/>
              <w:jc w:val="left"/>
              <w:rPr/>
            </w:pPr>
            <w:r>
              <w:rPr/>
              <w:t> </w:t>
            </w:r>
            <w:bookmarkStart w:id="1554" w:name="xdx_40B_ecustom--LossOnExtinguishmentOfD"/>
            <w:bookmarkEnd w:id="155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5" w:type="dxa"/>
            <w:tcBorders/>
            <w:shd w:fill="FFFFFF" w:val="clear"/>
            <w:vAlign w:val="center"/>
          </w:tcPr>
          <w:p>
            <w:pPr>
              <w:pStyle w:val="TableContents"/>
              <w:bidi w:val="0"/>
              <w:spacing w:before="0" w:after="283"/>
              <w:jc w:val="left"/>
              <w:rPr/>
            </w:pPr>
            <w:r>
              <w:rPr/>
              <w:t> </w:t>
            </w:r>
            <w:bookmarkStart w:id="1555" w:name="xdx_40D_eus-gaap--FairValueAdjustmentOfW"/>
            <w:bookmarkEnd w:id="155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6" w:name="xdx_402_eus-gaap--FairValueAdjustmentOfW"/>
            <w:bookmarkEnd w:id="155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7" w:name="xdx_406_eus-gaap--FairValueAdjustmentOfW"/>
            <w:bookmarkEnd w:id="1557"/>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(2,300</w:t>
            </w:r>
          </w:p>
        </w:tc>
        <w:tc>
          <w:tcPr>
            <w:tcW w:w="119"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(572,700</w:t>
            </w:r>
          </w:p>
        </w:tc>
        <w:tc>
          <w:tcPr>
            <w:tcW w:w="115" w:type="dxa"/>
            <w:tcBorders/>
            <w:shd w:fill="FFFFFF" w:val="clear"/>
            <w:vAlign w:val="center"/>
          </w:tcPr>
          <w:p>
            <w:pPr>
              <w:pStyle w:val="TableContents"/>
              <w:bidi w:val="0"/>
              <w:spacing w:before="0" w:after="283"/>
              <w:jc w:val="left"/>
              <w:rPr/>
            </w:pPr>
            <w:r>
              <w:rPr/>
              <w:t>)</w:t>
            </w:r>
            <w:bookmarkStart w:id="1558" w:name="xdx_405_eus-gaap--EmbeddedDerivativeGain"/>
            <w:bookmarkEnd w:id="1558"/>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59" w:name="xdx_40F_eus-gaap--EmbeddedDerivativeGain"/>
            <w:bookmarkEnd w:id="155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(51,000</w:t>
            </w:r>
          </w:p>
        </w:tc>
        <w:tc>
          <w:tcPr>
            <w:tcW w:w="115" w:type="dxa"/>
            <w:tcBorders/>
            <w:shd w:fill="CCEEFF" w:val="clear"/>
            <w:vAlign w:val="center"/>
          </w:tcPr>
          <w:p>
            <w:pPr>
              <w:pStyle w:val="TableContents"/>
              <w:bidi w:val="0"/>
              <w:spacing w:before="0" w:after="283"/>
              <w:jc w:val="left"/>
              <w:rPr/>
            </w:pPr>
            <w:r>
              <w:rPr/>
              <w:t>)</w:t>
            </w:r>
            <w:bookmarkStart w:id="1560" w:name="xdx_403_eus-gaap--FairValueOptionChanges"/>
            <w:bookmarkEnd w:id="156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5" w:type="dxa"/>
            <w:tcBorders/>
            <w:shd w:fill="FFFFFF" w:val="clear"/>
            <w:vAlign w:val="center"/>
          </w:tcPr>
          <w:p>
            <w:pPr>
              <w:pStyle w:val="TableContents"/>
              <w:bidi w:val="0"/>
              <w:spacing w:before="0" w:after="283"/>
              <w:jc w:val="left"/>
              <w:rPr/>
            </w:pPr>
            <w:r>
              <w:rPr/>
              <w:t> </w:t>
            </w:r>
            <w:bookmarkStart w:id="1561" w:name="xdx_403_ecustom--ChangeInFairValueOfTerm"/>
            <w:bookmarkEnd w:id="156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5" w:type="dxa"/>
            <w:tcBorders/>
            <w:shd w:fill="CCEEFF" w:val="clear"/>
            <w:vAlign w:val="center"/>
          </w:tcPr>
          <w:p>
            <w:pPr>
              <w:pStyle w:val="TableContents"/>
              <w:bidi w:val="0"/>
              <w:spacing w:before="0" w:after="283"/>
              <w:jc w:val="left"/>
              <w:rPr/>
            </w:pPr>
            <w:r>
              <w:rPr/>
              <w:t> </w:t>
            </w:r>
            <w:bookmarkStart w:id="1562" w:name="xdx_402_ecustom--ChangeInFairValueOfConv"/>
            <w:bookmarkEnd w:id="156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63" w:name="xdx_406_ecustom--YorkvillePrepaymentPrem"/>
            <w:bookmarkEnd w:id="1563"/>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5" w:type="dxa"/>
            <w:tcBorders/>
            <w:shd w:fill="CCEEFF" w:val="clear"/>
            <w:vAlign w:val="center"/>
          </w:tcPr>
          <w:p>
            <w:pPr>
              <w:pStyle w:val="TableContents"/>
              <w:bidi w:val="0"/>
              <w:spacing w:before="0" w:after="283"/>
              <w:jc w:val="left"/>
              <w:rPr/>
            </w:pPr>
            <w:r>
              <w:rPr/>
              <w:t> </w:t>
            </w:r>
            <w:bookmarkStart w:id="1564" w:name="xdx_40E_ecustom--LossOnYorkvilleSepaAdva"/>
            <w:bookmarkEnd w:id="156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65" w:name="xdx_40A_ecustom--VidelloEarnoutExpense_i"/>
            <w:bookmarkEnd w:id="1565"/>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66" w:name="xdx_40F_ecustom--FailedAcquisitionCosts_"/>
            <w:bookmarkEnd w:id="1566"/>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567" w:name="xdx_406_eus-gaap--GoodwillImpairmentLoss"/>
            <w:bookmarkEnd w:id="1567"/>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5" w:type="dxa"/>
            <w:tcBorders/>
            <w:shd w:fill="CCEEFF" w:val="clear"/>
            <w:vAlign w:val="center"/>
          </w:tcPr>
          <w:p>
            <w:pPr>
              <w:pStyle w:val="TableContents"/>
              <w:bidi w:val="0"/>
              <w:spacing w:before="0" w:after="283"/>
              <w:jc w:val="left"/>
              <w:rPr/>
            </w:pPr>
            <w:r>
              <w:rPr/>
              <w:t> </w:t>
            </w:r>
            <w:bookmarkStart w:id="1568" w:name="xdx_401_eus-gaap--OtherNonoperatingIncom"/>
            <w:bookmarkEnd w:id="1568"/>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88,329</w:t>
            </w:r>
          </w:p>
        </w:tc>
        <w:tc>
          <w:tcPr>
            <w:tcW w:w="115" w:type="dxa"/>
            <w:tcBorders/>
            <w:shd w:fill="FFFFFF" w:val="clear"/>
            <w:vAlign w:val="center"/>
          </w:tcPr>
          <w:p>
            <w:pPr>
              <w:pStyle w:val="TableContents"/>
              <w:bidi w:val="0"/>
              <w:spacing w:before="0" w:after="283"/>
              <w:jc w:val="left"/>
              <w:rPr/>
            </w:pPr>
            <w:r>
              <w:rPr/>
              <w:t> </w:t>
            </w:r>
            <w:bookmarkStart w:id="1569" w:name="xdx_403_eus-gaap--NonoperatingIncomeExpe"/>
            <w:bookmarkEnd w:id="1569"/>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5" w:type="dxa"/>
            <w:tcBorders/>
            <w:shd w:fill="CCEEFF" w:val="clear"/>
            <w:vAlign w:val="center"/>
          </w:tcPr>
          <w:p>
            <w:pPr>
              <w:pStyle w:val="TableContents"/>
              <w:bidi w:val="0"/>
              <w:spacing w:before="0" w:after="283"/>
              <w:jc w:val="left"/>
              <w:rPr/>
            </w:pPr>
            <w:r>
              <w:rPr/>
              <w:t> </w:t>
            </w:r>
            <w:bookmarkStart w:id="1570" w:name="xdx_403_eus-gaap--IncomeLossFromContinui"/>
            <w:bookmarkEnd w:id="1570"/>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(22,431,458</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71" w:name="xdx_40C_eus-gaap--IncomeTaxExpenseBenefi"/>
            <w:bookmarkEnd w:id="1571"/>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572" w:name="xdx_404_eus-gaap--NetIncomeLoss_iT_zrFMC"/>
            <w:bookmarkEnd w:id="1572"/>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73" w:name="xdx_405_ecustom--DeemedDividendWarrantMo"/>
            <w:bookmarkEnd w:id="1573"/>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 (net of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74" w:name="xdx_407_ecustom--NetIncomeLossAvailableT"/>
            <w:bookmarkEnd w:id="1574"/>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575" w:name="xdx_406_eus-gaap--EarningsPerShareBasicA"/>
            <w:bookmarkEnd w:id="1575"/>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76" w:name="xdx_902_eus-gaap--EarningsPerShareDilute"/>
            <w:bookmarkStart w:id="1577" w:name="xdx_90A_eus-gaap--EarningsPerShareBasic_"/>
            <w:bookmarkEnd w:id="1576"/>
            <w:bookmarkEnd w:id="1577"/>
            <w:r>
              <w:rPr>
                <w:rFonts w:ascii="Times New Roman;Times;Serif" w:hAnsi="Times New Roman;Times;Serif"/>
              </w:rPr>
              <w:t>(118.91</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78" w:name="xdx_901_eus-gaap--EarningsPerShareDilute"/>
            <w:bookmarkStart w:id="1579" w:name="xdx_907_eus-gaap--EarningsPerShareBasic_"/>
            <w:bookmarkEnd w:id="1578"/>
            <w:bookmarkEnd w:id="1579"/>
            <w:r>
              <w:rPr>
                <w:rFonts w:ascii="Times New Roman;Times;Serif" w:hAnsi="Times New Roman;Times;Serif"/>
              </w:rPr>
              <w:t>(1,394.94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580" w:name="xdx_405_eus-gaap--WeightedAverageNumberO"/>
            <w:bookmarkEnd w:id="1580"/>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581" w:name="xdx_904_eus-gaap--WeightedAverageNumberO"/>
            <w:bookmarkStart w:id="1582" w:name="xdx_90D_eus-gaap--WeightedAverageNumberO"/>
            <w:bookmarkEnd w:id="1581"/>
            <w:bookmarkEnd w:id="1582"/>
            <w:r>
              <w:rPr>
                <w:rFonts w:ascii="Times New Roman;Times;Serif" w:hAnsi="Times New Roman;Times;Serif"/>
              </w:rPr>
              <w:t>189,150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583" w:name="xdx_90A_eus-gaap--WeightedAverageNumberO"/>
            <w:bookmarkStart w:id="1584" w:name="xdx_900_eus-gaap--WeightedAverageNumberO"/>
            <w:bookmarkEnd w:id="1583"/>
            <w:bookmarkEnd w:id="1584"/>
            <w:r>
              <w:rPr>
                <w:rFonts w:ascii="Times New Roman;Times;Serif" w:hAnsi="Times New Roman;Times;Serif"/>
              </w:rPr>
              <w:t>22,291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85" w:name="ta_005"/>
      <w:bookmarkEnd w:id="158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86" w:name="xdx_309_114_zmyrLPeltrI3"/>
      <w:bookmarkStart w:id="1587" w:name="xdx_309_114_zmyrLPeltrI3"/>
      <w:bookmarkEnd w:id="1587"/>
    </w:p>
    <w:tbl>
      <w:tblPr>
        <w:tblW w:w="13258" w:type="dxa"/>
        <w:jc w:val="left"/>
        <w:tblInd w:w="0" w:type="dxa"/>
        <w:tblLayout w:type="fixed"/>
        <w:tblCellMar>
          <w:top w:w="0" w:type="dxa"/>
          <w:left w:w="0" w:type="dxa"/>
          <w:bottom w:w="0" w:type="dxa"/>
          <w:right w:w="0" w:type="dxa"/>
        </w:tblCellMar>
      </w:tblPr>
      <w:tblGrid>
        <w:gridCol w:w="1340"/>
        <w:gridCol w:w="60"/>
        <w:gridCol w:w="181"/>
        <w:gridCol w:w="529"/>
        <w:gridCol w:w="72"/>
        <w:gridCol w:w="72"/>
        <w:gridCol w:w="422"/>
        <w:gridCol w:w="438"/>
        <w:gridCol w:w="60"/>
        <w:gridCol w:w="60"/>
        <w:gridCol w:w="190"/>
        <w:gridCol w:w="430"/>
        <w:gridCol w:w="72"/>
        <w:gridCol w:w="72"/>
        <w:gridCol w:w="444"/>
        <w:gridCol w:w="416"/>
        <w:gridCol w:w="60"/>
        <w:gridCol w:w="60"/>
        <w:gridCol w:w="60"/>
        <w:gridCol w:w="800"/>
        <w:gridCol w:w="60"/>
        <w:gridCol w:w="60"/>
        <w:gridCol w:w="301"/>
        <w:gridCol w:w="559"/>
        <w:gridCol w:w="60"/>
        <w:gridCol w:w="60"/>
        <w:gridCol w:w="140"/>
        <w:gridCol w:w="1220"/>
        <w:gridCol w:w="95"/>
        <w:gridCol w:w="60"/>
        <w:gridCol w:w="251"/>
        <w:gridCol w:w="1359"/>
        <w:gridCol w:w="95"/>
        <w:gridCol w:w="60"/>
        <w:gridCol w:w="140"/>
        <w:gridCol w:w="129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588" w:name="xdx_4BC_us-gaap--StatementClassOfStockAx"/>
            <w:bookmarkEnd w:id="1588"/>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589" w:name="xdx_4BF_us-gaap--StatementEquityComponen"/>
            <w:bookmarkEnd w:id="1589"/>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0" w:name="xdx_4BD_us-gaap--StatementEquityComponen"/>
            <w:bookmarkEnd w:id="1590"/>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1" w:name="xdx_4BC_us-gaap--StatementEquityComponen"/>
            <w:bookmarkEnd w:id="1591"/>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2" w:name="xdx_4B4_us-gaap--StatementEquityComponen"/>
            <w:bookmarkEnd w:id="1592"/>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3" w:name="xdx_4BB_us-gaap--StatementEquityComponen"/>
            <w:bookmarkEnd w:id="1593"/>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4" w:name="xdx_4B8_zXj8He5tRCt6"/>
            <w:bookmarkEnd w:id="1594"/>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595" w:name="xdx_431_c20250101__20251231_ecustom--Sto"/>
            <w:bookmarkEnd w:id="159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596" w:name="xdx_98F_eus-gaap--SharesOutstanding_iS_p"/>
            <w:bookmarkEnd w:id="1596"/>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7" w:name="xdx_98F_eus-gaap--SharesOutstanding_iS_p"/>
            <w:bookmarkEnd w:id="1597"/>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598" w:name="xdx_40F_ecustom--IssuanceOfSharesToYorkv"/>
            <w:bookmarkEnd w:id="159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99" w:name="xdx_98D_ecustom--IssuanceOfSharesToYorkv"/>
            <w:bookmarkEnd w:id="1599"/>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0" w:type="dxa"/>
            <w:tcBorders/>
            <w:shd w:fill="FFFFFF" w:val="clear"/>
            <w:vAlign w:val="center"/>
          </w:tcPr>
          <w:p>
            <w:pPr>
              <w:pStyle w:val="TableContents"/>
              <w:bidi w:val="0"/>
              <w:spacing w:before="0" w:after="283"/>
              <w:jc w:val="left"/>
              <w:rPr/>
            </w:pPr>
            <w:r>
              <w:rPr/>
              <w:t> </w:t>
            </w:r>
            <w:bookmarkStart w:id="1600" w:name="xdx_400_ecustom--SharesIssuedUnderATM_zY"/>
            <w:bookmarkEnd w:id="160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under ATM</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1" w:name="xdx_98B_ecustom--SharesIssuedUnderATMSha"/>
            <w:bookmarkEnd w:id="1601"/>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3,429,257</w:t>
            </w:r>
          </w:p>
        </w:tc>
        <w:tc>
          <w:tcPr>
            <w:tcW w:w="110" w:type="dxa"/>
            <w:tcBorders/>
            <w:shd w:fill="CCEEFF" w:val="clear"/>
            <w:vAlign w:val="center"/>
          </w:tcPr>
          <w:p>
            <w:pPr>
              <w:pStyle w:val="TableContents"/>
              <w:bidi w:val="0"/>
              <w:spacing w:before="0" w:after="283"/>
              <w:jc w:val="left"/>
              <w:rPr/>
            </w:pPr>
            <w:r>
              <w:rPr/>
              <w:t> </w:t>
            </w:r>
            <w:bookmarkStart w:id="1602" w:name="xdx_406_ecustom--SharesIssuedToFE_z29K61"/>
            <w:bookmarkEnd w:id="160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FE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03" w:name="xdx_989_ecustom--SharesIssuedToFEShares_"/>
            <w:bookmarkEnd w:id="1603"/>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04" w:name="xdx_407_eus-gaap--StockIssuedDuringPerio"/>
            <w:bookmarkEnd w:id="160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upon private placement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5" w:name="xdx_983_eus-gaap--StockIssuedDuringPerio"/>
            <w:bookmarkEnd w:id="160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0" w:type="dxa"/>
            <w:tcBorders/>
            <w:shd w:fill="CCEEFF" w:val="clear"/>
            <w:vAlign w:val="center"/>
          </w:tcPr>
          <w:p>
            <w:pPr>
              <w:pStyle w:val="TableContents"/>
              <w:bidi w:val="0"/>
              <w:spacing w:before="0" w:after="283"/>
              <w:jc w:val="left"/>
              <w:rPr/>
            </w:pPr>
            <w:r>
              <w:rPr/>
              <w:t> </w:t>
            </w:r>
            <w:bookmarkStart w:id="1606" w:name="xdx_404_ecustom--SharesIssuedForPaymentT"/>
            <w:bookmarkEnd w:id="160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Hudson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07" w:name="xdx_986_ecustom--SharesIssuedForPaymentT"/>
            <w:bookmarkEnd w:id="1607"/>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0" w:type="dxa"/>
            <w:tcBorders/>
            <w:shd w:fill="FFFFFF" w:val="clear"/>
            <w:vAlign w:val="center"/>
          </w:tcPr>
          <w:p>
            <w:pPr>
              <w:pStyle w:val="TableContents"/>
              <w:bidi w:val="0"/>
              <w:spacing w:before="0" w:after="283"/>
              <w:jc w:val="left"/>
              <w:rPr/>
            </w:pPr>
            <w:r>
              <w:rPr/>
              <w:t> </w:t>
            </w:r>
            <w:bookmarkStart w:id="1608" w:name="xdx_401_ecustom--SharesIssuedForPaymentT"/>
            <w:bookmarkEnd w:id="1608"/>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9" w:name="xdx_981_ecustom--SharesIssuedForPaymentT"/>
            <w:bookmarkEnd w:id="160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0" w:type="dxa"/>
            <w:tcBorders/>
            <w:shd w:fill="CCEEFF" w:val="clear"/>
            <w:vAlign w:val="center"/>
          </w:tcPr>
          <w:p>
            <w:pPr>
              <w:pStyle w:val="TableContents"/>
              <w:bidi w:val="0"/>
              <w:spacing w:before="0" w:after="283"/>
              <w:jc w:val="left"/>
              <w:rPr/>
            </w:pPr>
            <w:r>
              <w:rPr/>
              <w:t> </w:t>
            </w:r>
            <w:bookmarkStart w:id="1610" w:name="xdx_40D_ecustom--SharesIssuedForPaymentT"/>
            <w:bookmarkEnd w:id="1610"/>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Houlihan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1" w:name="xdx_982_ecustom--SharesIssuedForPaymentT"/>
            <w:bookmarkEnd w:id="1611"/>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110" w:type="dxa"/>
            <w:tcBorders/>
            <w:shd w:fill="FFFFFF" w:val="clear"/>
            <w:vAlign w:val="center"/>
          </w:tcPr>
          <w:p>
            <w:pPr>
              <w:pStyle w:val="TableContents"/>
              <w:bidi w:val="0"/>
              <w:spacing w:before="0" w:after="283"/>
              <w:jc w:val="left"/>
              <w:rPr/>
            </w:pPr>
            <w:r>
              <w:rPr/>
              <w:t> </w:t>
            </w:r>
            <w:bookmarkStart w:id="1612" w:name="xdx_400_ecustom--SharesIssuedForPaymentT"/>
            <w:bookmarkEnd w:id="1612"/>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Perkins Coie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3" w:name="xdx_989_ecustom--SharesIssuedForPaymentT"/>
            <w:bookmarkEnd w:id="1613"/>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365,300</w:t>
            </w:r>
          </w:p>
        </w:tc>
        <w:tc>
          <w:tcPr>
            <w:tcW w:w="110" w:type="dxa"/>
            <w:tcBorders/>
            <w:shd w:fill="CCEEFF" w:val="clear"/>
            <w:vAlign w:val="center"/>
          </w:tcPr>
          <w:p>
            <w:pPr>
              <w:pStyle w:val="TableContents"/>
              <w:bidi w:val="0"/>
              <w:spacing w:before="0" w:after="283"/>
              <w:jc w:val="left"/>
              <w:rPr/>
            </w:pPr>
            <w:r>
              <w:rPr/>
              <w:t> </w:t>
            </w:r>
            <w:bookmarkStart w:id="1614" w:name="xdx_400_ecustom--SharesIssuedForPaymentT"/>
            <w:bookmarkEnd w:id="161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Acorn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5" w:name="xdx_989_ecustom--SharesIssuedForPaymentT"/>
            <w:bookmarkEnd w:id="1615"/>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110" w:type="dxa"/>
            <w:tcBorders/>
            <w:shd w:fill="FFFFFF" w:val="clear"/>
            <w:vAlign w:val="center"/>
          </w:tcPr>
          <w:p>
            <w:pPr>
              <w:pStyle w:val="TableContents"/>
              <w:bidi w:val="0"/>
              <w:spacing w:before="0" w:after="283"/>
              <w:jc w:val="left"/>
              <w:rPr/>
            </w:pPr>
            <w:r>
              <w:rPr/>
              <w:t> </w:t>
            </w:r>
            <w:bookmarkStart w:id="1616" w:name="xdx_40C_ecustom--SharesIssuedForVidelloA"/>
            <w:bookmarkEnd w:id="161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Vidello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7" w:name="xdx_982_ecustom--SharesIssuedForVidelloA"/>
            <w:bookmarkEnd w:id="1617"/>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110" w:type="dxa"/>
            <w:tcBorders/>
            <w:shd w:fill="CCEEFF" w:val="clear"/>
            <w:vAlign w:val="center"/>
          </w:tcPr>
          <w:p>
            <w:pPr>
              <w:pStyle w:val="TableContents"/>
              <w:bidi w:val="0"/>
              <w:spacing w:before="0" w:after="283"/>
              <w:jc w:val="left"/>
              <w:rPr/>
            </w:pPr>
            <w:r>
              <w:rPr/>
              <w:t> </w:t>
            </w:r>
            <w:bookmarkStart w:id="1618" w:name="xdx_40C_eus-gaap--StockIssuedDuringPerio"/>
            <w:bookmarkEnd w:id="161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9" w:name="xdx_98C_eus-gaap--StockIssuedDuringPerio"/>
            <w:bookmarkEnd w:id="1619"/>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pPr>
            <w:r>
              <w:rPr/>
              <w:t> </w:t>
            </w:r>
            <w:bookmarkStart w:id="1620" w:name="xdx_403_eus-gaap--StockIssuedDuringPerio"/>
            <w:bookmarkEnd w:id="162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1" w:name="xdx_98F_eus-gaap--StockIssuedDuringPerio"/>
            <w:bookmarkEnd w:id="1621"/>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pPr>
            <w:r>
              <w:rPr/>
              <w:t> </w:t>
            </w:r>
            <w:bookmarkStart w:id="1622" w:name="xdx_40D_eus-gaap--StockIssuedDuringPerio"/>
            <w:bookmarkEnd w:id="162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23" w:name="xdx_98C_eus-gaap--StockIssuedDuringPerio"/>
            <w:bookmarkEnd w:id="1623"/>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pPr>
            <w:r>
              <w:rPr/>
              <w:t> </w:t>
            </w:r>
            <w:bookmarkStart w:id="1624" w:name="xdx_40C_eus-gaap--StockIssuedDuringPerio"/>
            <w:bookmarkEnd w:id="162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5" w:name="xdx_98F_eus-gaap--StockIssuedDuringPerio"/>
            <w:bookmarkEnd w:id="162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110" w:type="dxa"/>
            <w:tcBorders/>
            <w:shd w:fill="CCEEFF" w:val="clear"/>
            <w:vAlign w:val="center"/>
          </w:tcPr>
          <w:p>
            <w:pPr>
              <w:pStyle w:val="TableContents"/>
              <w:bidi w:val="0"/>
              <w:spacing w:before="0" w:after="283"/>
              <w:jc w:val="left"/>
              <w:rPr/>
            </w:pPr>
            <w:r>
              <w:rPr/>
              <w:t> </w:t>
            </w:r>
            <w:bookmarkStart w:id="1626" w:name="xdx_40D_eus-gaap--AdjustmentsToAdditiona"/>
            <w:bookmarkEnd w:id="162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0" w:type="dxa"/>
            <w:tcBorders/>
            <w:shd w:fill="FFFFFF" w:val="clear"/>
            <w:vAlign w:val="center"/>
          </w:tcPr>
          <w:p>
            <w:pPr>
              <w:pStyle w:val="TableContents"/>
              <w:bidi w:val="0"/>
              <w:spacing w:before="0" w:after="283"/>
              <w:jc w:val="left"/>
              <w:rPr/>
            </w:pPr>
            <w:r>
              <w:rPr/>
              <w:t> </w:t>
            </w:r>
            <w:bookmarkStart w:id="1627" w:name="xdx_40F_eus-gaap--StockIssuedDuringPerio"/>
            <w:bookmarkEnd w:id="162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RSUs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8" w:name="xdx_98D_eus-gaap--StockIssuedDuringPerio"/>
            <w:bookmarkEnd w:id="1628"/>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29" w:name="xdx_405_ecustom--StockIssuedDuringPeriod"/>
            <w:bookmarkEnd w:id="1629"/>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0" w:name="xdx_986_ecustom--StockIssuedDuringPeriod"/>
            <w:bookmarkEnd w:id="1630"/>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31" w:name="xdx_40B_eus-gaap--OtherComprehensiveInco"/>
            <w:bookmarkEnd w:id="163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32" w:name="xdx_404_eus-gaap--NetIncomeLoss_zYoMHKDJ"/>
            <w:bookmarkEnd w:id="163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33" w:name="xdx_43E_c20250101__20251231_ecustom--Sto"/>
            <w:bookmarkEnd w:id="163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4" w:name="xdx_981_eus-gaap--SharesOutstanding_iE_p"/>
            <w:bookmarkEnd w:id="1634"/>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5" w:name="xdx_98C_eus-gaap--SharesOutstanding_iE_p"/>
            <w:bookmarkEnd w:id="1635"/>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36" w:name="xdx_98E_eus-gaap--SharesOutstanding_iE_p"/>
            <w:bookmarkEnd w:id="1636"/>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(100,771,788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8,055,001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2263" w:type="dxa"/>
        <w:jc w:val="left"/>
        <w:tblInd w:w="0" w:type="dxa"/>
        <w:tblLayout w:type="fixed"/>
        <w:tblCellMar>
          <w:top w:w="0" w:type="dxa"/>
          <w:left w:w="0" w:type="dxa"/>
          <w:bottom w:w="0" w:type="dxa"/>
          <w:right w:w="0" w:type="dxa"/>
        </w:tblCellMar>
      </w:tblPr>
      <w:tblGrid>
        <w:gridCol w:w="1385"/>
        <w:gridCol w:w="60"/>
        <w:gridCol w:w="181"/>
        <w:gridCol w:w="529"/>
        <w:gridCol w:w="72"/>
        <w:gridCol w:w="72"/>
        <w:gridCol w:w="422"/>
        <w:gridCol w:w="438"/>
        <w:gridCol w:w="60"/>
        <w:gridCol w:w="60"/>
        <w:gridCol w:w="190"/>
        <w:gridCol w:w="430"/>
        <w:gridCol w:w="72"/>
        <w:gridCol w:w="72"/>
        <w:gridCol w:w="444"/>
        <w:gridCol w:w="416"/>
        <w:gridCol w:w="60"/>
        <w:gridCol w:w="60"/>
        <w:gridCol w:w="60"/>
        <w:gridCol w:w="680"/>
        <w:gridCol w:w="95"/>
        <w:gridCol w:w="60"/>
        <w:gridCol w:w="301"/>
        <w:gridCol w:w="559"/>
        <w:gridCol w:w="60"/>
        <w:gridCol w:w="60"/>
        <w:gridCol w:w="140"/>
        <w:gridCol w:w="1100"/>
        <w:gridCol w:w="95"/>
        <w:gridCol w:w="60"/>
        <w:gridCol w:w="145"/>
        <w:gridCol w:w="1225"/>
        <w:gridCol w:w="95"/>
        <w:gridCol w:w="60"/>
        <w:gridCol w:w="140"/>
        <w:gridCol w:w="2195"/>
        <w:gridCol w:w="110"/>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37" w:name="xdx_4B2_us-gaap--StatementEquityComponen"/>
            <w:bookmarkEnd w:id="1637"/>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638" w:name="xdx_4B8_us-gaap--StatementEquityComponen"/>
            <w:bookmarkEnd w:id="1638"/>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39" w:name="xdx_4B0_us-gaap--StatementEquityComponen"/>
            <w:bookmarkEnd w:id="1639"/>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0" w:name="xdx_4B6_us-gaap--StatementEquityComponen"/>
            <w:bookmarkEnd w:id="1640"/>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1" w:name="xdx_4B6_us-gaap--StatementEquityComponen"/>
            <w:bookmarkEnd w:id="1641"/>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2" w:name="xdx_4B6_zm2h8woWpkOk"/>
            <w:bookmarkEnd w:id="1642"/>
          </w:p>
        </w:tc>
        <w:tc>
          <w:tcPr>
            <w:tcW w:w="23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 Equity</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bookmarkStart w:id="1643" w:name="xdx_432_c20240101__20241231_ecustom--Sto"/>
            <w:bookmarkEnd w:id="164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44" w:name="xdx_987_eus-gaap--SharesOutstanding_iS_p"/>
            <w:bookmarkEnd w:id="1644"/>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1645" w:name="xdx_984_eus-gaap--SharesOutstanding_iS_p"/>
            <w:bookmarkEnd w:id="1645"/>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6" w:name="xdx_981_eus-gaap--SharesOutstanding_iS_p"/>
            <w:bookmarkEnd w:id="1646"/>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47" w:name="xdx_434_c20240101__20241231_ecustom--Sto"/>
            <w:bookmarkEnd w:id="164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bookmarkStart w:id="1648" w:name="xdx_984_eus-gaap--SharesOutstanding_iS_p"/>
            <w:bookmarkEnd w:id="1648"/>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1649" w:name="xdx_980_eus-gaap--SharesOutstanding_iS_p"/>
            <w:bookmarkEnd w:id="1649"/>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0" w:name="xdx_984_eus-gaap--SharesOutstanding_iS_p"/>
            <w:bookmarkEnd w:id="1650"/>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651" w:name="xdx_402_ecustom--StockIssuedEffectOfReve"/>
            <w:bookmarkEnd w:id="165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reverse stock split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52" w:name="xdx_98B_ecustom--StockIssuedSharesEffect"/>
            <w:bookmarkEnd w:id="165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53" w:name="xdx_400_eus-gaap--StockIssuedDuringPerio"/>
            <w:bookmarkEnd w:id="165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4" w:name="xdx_981_eus-gaap--StockIssuedDuringPerio"/>
            <w:bookmarkEnd w:id="165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110" w:type="dxa"/>
            <w:tcBorders/>
            <w:shd w:fill="CCEEFF" w:val="clear"/>
            <w:vAlign w:val="center"/>
          </w:tcPr>
          <w:p>
            <w:pPr>
              <w:pStyle w:val="TableContents"/>
              <w:bidi w:val="0"/>
              <w:spacing w:before="0" w:after="283"/>
              <w:jc w:val="left"/>
              <w:rPr/>
            </w:pPr>
            <w:r>
              <w:rPr/>
              <w:t> </w:t>
            </w:r>
            <w:bookmarkStart w:id="1655" w:name="xdx_407_ecustom--StockIssuedDuringPeriod"/>
            <w:bookmarkEnd w:id="165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56" w:name="xdx_988_ecustom--StockIssuedDuringPeriod"/>
            <w:bookmarkEnd w:id="1656"/>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110" w:type="dxa"/>
            <w:tcBorders/>
            <w:shd w:fill="FFFFFF" w:val="clear"/>
            <w:vAlign w:val="center"/>
          </w:tcPr>
          <w:p>
            <w:pPr>
              <w:pStyle w:val="TableContents"/>
              <w:bidi w:val="0"/>
              <w:spacing w:before="0" w:after="283"/>
              <w:jc w:val="left"/>
              <w:rPr/>
            </w:pPr>
            <w:r>
              <w:rPr/>
              <w:t> </w:t>
            </w:r>
            <w:bookmarkStart w:id="1657" w:name="xdx_40B_ecustom--StockIssuedDuringPeriod"/>
            <w:bookmarkEnd w:id="1657"/>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8" w:name="xdx_98E_ecustom--StockIssuedDuringPeriod"/>
            <w:bookmarkEnd w:id="165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CCEEFF" w:val="clear"/>
            <w:vAlign w:val="center"/>
          </w:tcPr>
          <w:p>
            <w:pPr>
              <w:pStyle w:val="TableContents"/>
              <w:bidi w:val="0"/>
              <w:spacing w:before="0" w:after="283"/>
              <w:jc w:val="left"/>
              <w:rPr/>
            </w:pPr>
            <w:r>
              <w:rPr/>
              <w:t> </w:t>
            </w:r>
            <w:bookmarkStart w:id="1659" w:name="xdx_400_ecustom--StockIssuedDuringPeriod"/>
            <w:bookmarkEnd w:id="165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redemption premium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0" w:name="xdx_981_ecustom--StockIssuedDuringPeriod"/>
            <w:bookmarkEnd w:id="1660"/>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110" w:type="dxa"/>
            <w:tcBorders/>
            <w:shd w:fill="FFFFFF" w:val="clear"/>
            <w:vAlign w:val="center"/>
          </w:tcPr>
          <w:p>
            <w:pPr>
              <w:pStyle w:val="TableContents"/>
              <w:bidi w:val="0"/>
              <w:spacing w:before="0" w:after="283"/>
              <w:jc w:val="left"/>
              <w:rPr/>
            </w:pPr>
            <w:r>
              <w:rPr/>
              <w:t> </w:t>
            </w:r>
            <w:bookmarkStart w:id="1661" w:name="xdx_408_ecustom--StockIssuedDuringPeriod"/>
            <w:bookmarkEnd w:id="166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2" w:name="xdx_985_ecustom--StockIssuedDuringPeriod"/>
            <w:bookmarkEnd w:id="166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110" w:type="dxa"/>
            <w:tcBorders/>
            <w:shd w:fill="CCEEFF" w:val="clear"/>
            <w:vAlign w:val="center"/>
          </w:tcPr>
          <w:p>
            <w:pPr>
              <w:pStyle w:val="TableContents"/>
              <w:bidi w:val="0"/>
              <w:spacing w:before="0" w:after="283"/>
              <w:jc w:val="left"/>
              <w:rPr/>
            </w:pPr>
            <w:r>
              <w:rPr/>
              <w:t> </w:t>
            </w:r>
            <w:bookmarkStart w:id="1663" w:name="xdx_40C_eus-gaap--StockIssuedDuringPerio"/>
            <w:bookmarkEnd w:id="166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4" w:name="xdx_987_eus-gaap--StockIssuedDuringPerio"/>
            <w:bookmarkEnd w:id="166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110" w:type="dxa"/>
            <w:tcBorders/>
            <w:shd w:fill="FFFFFF" w:val="clear"/>
            <w:vAlign w:val="center"/>
          </w:tcPr>
          <w:p>
            <w:pPr>
              <w:pStyle w:val="TableContents"/>
              <w:bidi w:val="0"/>
              <w:spacing w:before="0" w:after="283"/>
              <w:jc w:val="left"/>
              <w:rPr/>
            </w:pPr>
            <w:r>
              <w:rPr/>
              <w:t> </w:t>
            </w:r>
            <w:bookmarkStart w:id="1665" w:name="xdx_401_ecustom--StockIssuedDuringPeriod"/>
            <w:bookmarkEnd w:id="166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6" w:name="xdx_980_ecustom--StockIssuedDuringPeriod"/>
            <w:bookmarkEnd w:id="166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110" w:type="dxa"/>
            <w:tcBorders/>
            <w:shd w:fill="CCEEFF" w:val="clear"/>
            <w:vAlign w:val="center"/>
          </w:tcPr>
          <w:p>
            <w:pPr>
              <w:pStyle w:val="TableContents"/>
              <w:bidi w:val="0"/>
              <w:spacing w:before="0" w:after="283"/>
              <w:jc w:val="left"/>
              <w:rPr/>
            </w:pPr>
            <w:r>
              <w:rPr/>
              <w:t> </w:t>
            </w:r>
            <w:bookmarkStart w:id="1667" w:name="xdx_40B_ecustom--StockIssuedDuringPeriod"/>
            <w:bookmarkEnd w:id="166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8" w:name="xdx_98F_ecustom--StockIssuedDuringPeriod"/>
            <w:bookmarkEnd w:id="1668"/>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69" w:name="xdx_40E_ecustom--StockIssuedDuringPeriod"/>
            <w:bookmarkEnd w:id="1669"/>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0" w:name="xdx_980_ecustom--StockIssuedDuringPeriod"/>
            <w:bookmarkEnd w:id="1670"/>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0" w:type="dxa"/>
            <w:tcBorders/>
            <w:shd w:fill="CCEEFF" w:val="clear"/>
            <w:vAlign w:val="center"/>
          </w:tcPr>
          <w:p>
            <w:pPr>
              <w:pStyle w:val="TableContents"/>
              <w:bidi w:val="0"/>
              <w:spacing w:before="0" w:after="283"/>
              <w:jc w:val="left"/>
              <w:rPr/>
            </w:pPr>
            <w:r>
              <w:rPr/>
              <w:t> </w:t>
            </w:r>
            <w:bookmarkStart w:id="1671" w:name="xdx_40E_eus-gaap--AdjustmentsToAdditiona"/>
            <w:bookmarkEnd w:id="167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Incremental fair value of Series A and Series B warrant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FFFFFF" w:val="clear"/>
            <w:vAlign w:val="center"/>
          </w:tcPr>
          <w:p>
            <w:pPr>
              <w:pStyle w:val="TableContents"/>
              <w:bidi w:val="0"/>
              <w:spacing w:before="0" w:after="283"/>
              <w:jc w:val="left"/>
              <w:rPr/>
            </w:pPr>
            <w:r>
              <w:rPr/>
              <w:t> </w:t>
            </w:r>
            <w:bookmarkStart w:id="1672" w:name="xdx_40C_ecustom--DeemedDividendWarrantMo"/>
            <w:bookmarkEnd w:id="1672"/>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73" w:name="xdx_407_ecustom--StockIssuedDuringPeriod"/>
            <w:bookmarkEnd w:id="167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4" w:name="xdx_988_ecustom--StockIssuedDuringPeriod"/>
            <w:bookmarkEnd w:id="167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110" w:type="dxa"/>
            <w:tcBorders/>
            <w:shd w:fill="FFFFFF" w:val="clear"/>
            <w:vAlign w:val="center"/>
          </w:tcPr>
          <w:p>
            <w:pPr>
              <w:pStyle w:val="TableContents"/>
              <w:bidi w:val="0"/>
              <w:spacing w:before="0" w:after="283"/>
              <w:jc w:val="left"/>
              <w:rPr/>
            </w:pPr>
            <w:r>
              <w:rPr/>
              <w:t> </w:t>
            </w:r>
            <w:bookmarkStart w:id="1675" w:name="xdx_402_ecustom--SharesWarrantsAndPreFun"/>
            <w:bookmarkEnd w:id="167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CP BF on modification of CP BF debt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6" w:name="xdx_98A_ecustom--SharesWarrantsAndPreFun"/>
            <w:bookmarkEnd w:id="167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110" w:type="dxa"/>
            <w:tcBorders/>
            <w:shd w:fill="CCEEFF" w:val="clear"/>
            <w:vAlign w:val="center"/>
          </w:tcPr>
          <w:p>
            <w:pPr>
              <w:pStyle w:val="TableContents"/>
              <w:bidi w:val="0"/>
              <w:spacing w:before="0" w:after="283"/>
              <w:jc w:val="left"/>
              <w:rPr/>
            </w:pPr>
            <w:r>
              <w:rPr/>
              <w:t> </w:t>
            </w:r>
            <w:bookmarkStart w:id="1677" w:name="xdx_40A_ecustom--PremiumIssuedAsPartOfCp"/>
            <w:bookmarkEnd w:id="167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110" w:type="dxa"/>
            <w:tcBorders/>
            <w:shd w:fill="FFFFFF" w:val="clear"/>
            <w:vAlign w:val="center"/>
          </w:tcPr>
          <w:p>
            <w:pPr>
              <w:pStyle w:val="TableContents"/>
              <w:bidi w:val="0"/>
              <w:spacing w:before="0" w:after="283"/>
              <w:jc w:val="left"/>
              <w:rPr/>
            </w:pPr>
            <w:r>
              <w:rPr/>
              <w:t> </w:t>
            </w:r>
            <w:bookmarkStart w:id="1678" w:name="xdx_403_ecustom--IssuanceOfWarrantsToCpB"/>
            <w:bookmarkEnd w:id="1678"/>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to CP BF,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110" w:type="dxa"/>
            <w:tcBorders/>
            <w:shd w:fill="CCEEFF" w:val="clear"/>
            <w:vAlign w:val="center"/>
          </w:tcPr>
          <w:p>
            <w:pPr>
              <w:pStyle w:val="TableContents"/>
              <w:bidi w:val="0"/>
              <w:spacing w:before="0" w:after="283"/>
              <w:jc w:val="left"/>
              <w:rPr/>
            </w:pPr>
            <w:r>
              <w:rPr/>
              <w:t> </w:t>
            </w:r>
            <w:bookmarkStart w:id="1679" w:name="xdx_40A_ecustom--SharesIssuedToInvestorR"/>
            <w:bookmarkEnd w:id="167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0" w:name="xdx_98B_ecustom--SharesIssuedInvestorRel"/>
            <w:bookmarkEnd w:id="1680"/>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110" w:type="dxa"/>
            <w:tcBorders/>
            <w:shd w:fill="FFFFFF" w:val="clear"/>
            <w:vAlign w:val="center"/>
          </w:tcPr>
          <w:p>
            <w:pPr>
              <w:pStyle w:val="TableContents"/>
              <w:bidi w:val="0"/>
              <w:spacing w:before="0" w:after="283"/>
              <w:jc w:val="left"/>
              <w:rPr/>
            </w:pPr>
            <w:r>
              <w:rPr/>
              <w:t> </w:t>
            </w:r>
            <w:bookmarkStart w:id="1681" w:name="xdx_40D_ecustom--SharesIssuedForPaymentO"/>
            <w:bookmarkEnd w:id="168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2" w:name="xdx_987_ecustom--SharesIssuedForPaymentO"/>
            <w:bookmarkEnd w:id="168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110" w:type="dxa"/>
            <w:tcBorders/>
            <w:shd w:fill="CCEEFF" w:val="clear"/>
            <w:vAlign w:val="center"/>
          </w:tcPr>
          <w:p>
            <w:pPr>
              <w:pStyle w:val="TableContents"/>
              <w:bidi w:val="0"/>
              <w:spacing w:before="0" w:after="283"/>
              <w:jc w:val="left"/>
              <w:rPr/>
            </w:pPr>
            <w:r>
              <w:rPr/>
              <w:t> </w:t>
            </w:r>
            <w:bookmarkStart w:id="1683" w:name="xdx_409_ecustom--SharesWarrantsAndPreFun"/>
            <w:bookmarkEnd w:id="168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Alco on settlement of Alco promissory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4" w:name="xdx_98A_ecustom--SharesWarrantsAndPreFun"/>
            <w:bookmarkEnd w:id="168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110" w:type="dxa"/>
            <w:tcBorders/>
            <w:shd w:fill="FFFFFF" w:val="clear"/>
            <w:vAlign w:val="center"/>
          </w:tcPr>
          <w:p>
            <w:pPr>
              <w:pStyle w:val="TableContents"/>
              <w:bidi w:val="0"/>
              <w:spacing w:before="0" w:after="283"/>
              <w:jc w:val="left"/>
              <w:rPr/>
            </w:pPr>
            <w:r>
              <w:rPr/>
              <w:t> </w:t>
            </w:r>
            <w:bookmarkStart w:id="1685" w:name="xdx_40F_ecustom--DerecognitionOfCantorFe"/>
            <w:bookmarkEnd w:id="168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10" w:type="dxa"/>
            <w:tcBorders/>
            <w:shd w:fill="CCEEFF" w:val="clear"/>
            <w:vAlign w:val="center"/>
          </w:tcPr>
          <w:p>
            <w:pPr>
              <w:pStyle w:val="TableContents"/>
              <w:bidi w:val="0"/>
              <w:spacing w:before="0" w:after="283"/>
              <w:jc w:val="left"/>
              <w:rPr/>
            </w:pPr>
            <w:r>
              <w:rPr/>
              <w:t> </w:t>
            </w:r>
            <w:bookmarkStart w:id="1686" w:name="xdx_401_ecustom--SharesIssuedForAcquisit"/>
            <w:bookmarkEnd w:id="1686"/>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Shares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7" w:name="xdx_982_ecustom--SharesIssuedForAcquisit"/>
            <w:bookmarkEnd w:id="1687"/>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1,526,115</w:t>
            </w:r>
          </w:p>
        </w:tc>
        <w:tc>
          <w:tcPr>
            <w:tcW w:w="110" w:type="dxa"/>
            <w:tcBorders/>
            <w:shd w:fill="FFFFFF" w:val="clear"/>
            <w:vAlign w:val="center"/>
          </w:tcPr>
          <w:p>
            <w:pPr>
              <w:pStyle w:val="TableContents"/>
              <w:bidi w:val="0"/>
              <w:spacing w:before="0" w:after="283"/>
              <w:jc w:val="left"/>
              <w:rPr/>
            </w:pPr>
            <w:r>
              <w:rPr/>
              <w:t> </w:t>
            </w:r>
            <w:bookmarkStart w:id="1688" w:name="xdx_407_ecustom--PreFundedWarrantsIssued"/>
            <w:bookmarkEnd w:id="1688"/>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issued for OpenReel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110" w:type="dxa"/>
            <w:tcBorders/>
            <w:shd w:fill="CCEEFF" w:val="clear"/>
            <w:vAlign w:val="center"/>
          </w:tcPr>
          <w:p>
            <w:pPr>
              <w:pStyle w:val="TableContents"/>
              <w:bidi w:val="0"/>
              <w:spacing w:before="0" w:after="283"/>
              <w:jc w:val="left"/>
              <w:rPr/>
            </w:pPr>
            <w:r>
              <w:rPr/>
              <w:t> </w:t>
            </w:r>
            <w:bookmarkStart w:id="1689" w:name="xdx_409_ecustom--SeriesFEPreferredStockI"/>
            <w:bookmarkEnd w:id="1689"/>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1690" w:name="xdx_98B_ecustom--SeriesFEPreferredStockI"/>
            <w:bookmarkEnd w:id="1690"/>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91" w:name="xdx_400_eus-gaap--StockIssuedDuringPerio"/>
            <w:bookmarkEnd w:id="1691"/>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RSUs to Board of Director members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2" w:name="xdx_98F_eus-gaap--StockIssuedDuringPerio"/>
            <w:bookmarkEnd w:id="1692"/>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93" w:name="xdx_40C_ecustom--SharesIssuedToHudsonFor"/>
            <w:bookmarkEnd w:id="1693"/>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Hudson for consulting fee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4" w:name="xdx_98E_ecustom--SharesIssuedToHudsonFor"/>
            <w:bookmarkEnd w:id="169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110" w:type="dxa"/>
            <w:tcBorders/>
            <w:shd w:fill="FFFFFF" w:val="clear"/>
            <w:vAlign w:val="center"/>
          </w:tcPr>
          <w:p>
            <w:pPr>
              <w:pStyle w:val="TableContents"/>
              <w:bidi w:val="0"/>
              <w:spacing w:before="0" w:after="283"/>
              <w:jc w:val="left"/>
              <w:rPr/>
            </w:pPr>
            <w:r>
              <w:rPr/>
              <w:t> </w:t>
            </w:r>
            <w:bookmarkStart w:id="1695" w:name="xdx_40A_ecustom--ConversionOfConvertible"/>
            <w:bookmarkEnd w:id="1695"/>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6" w:name="xdx_981_ecustom--ConversionOfConvertible"/>
            <w:bookmarkEnd w:id="1696"/>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CCEEFF" w:val="clear"/>
            <w:vAlign w:val="center"/>
          </w:tcPr>
          <w:p>
            <w:pPr>
              <w:pStyle w:val="TableContents"/>
              <w:bidi w:val="0"/>
              <w:spacing w:before="0" w:after="283"/>
              <w:jc w:val="left"/>
              <w:rPr/>
            </w:pPr>
            <w:r>
              <w:rPr/>
              <w:t> </w:t>
            </w:r>
            <w:bookmarkStart w:id="1697" w:name="xdx_40D_ecustom--SharesIssuedToPerkinsCo"/>
            <w:bookmarkEnd w:id="169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8" w:name="xdx_987_ecustom--SharesIssuedToPerkinsCo"/>
            <w:bookmarkEnd w:id="1698"/>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110" w:type="dxa"/>
            <w:tcBorders/>
            <w:shd w:fill="FFFFFF" w:val="clear"/>
            <w:vAlign w:val="center"/>
          </w:tcPr>
          <w:p>
            <w:pPr>
              <w:pStyle w:val="TableContents"/>
              <w:bidi w:val="0"/>
              <w:spacing w:before="0" w:after="283"/>
              <w:jc w:val="left"/>
              <w:rPr/>
            </w:pPr>
            <w:r>
              <w:rPr/>
              <w:t> </w:t>
            </w:r>
            <w:bookmarkStart w:id="1699" w:name="xdx_40A_ecustom--IssuanceOfSharesToYorkv"/>
            <w:bookmarkEnd w:id="1699"/>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to Yorkville under the SEPA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0" w:name="xdx_98C_ecustom--IssuanceOfSharesToYorkv"/>
            <w:bookmarkEnd w:id="1700"/>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0" w:type="dxa"/>
            <w:tcBorders/>
            <w:shd w:fill="CCEEFF" w:val="clear"/>
            <w:vAlign w:val="center"/>
          </w:tcPr>
          <w:p>
            <w:pPr>
              <w:pStyle w:val="TableContents"/>
              <w:bidi w:val="0"/>
              <w:spacing w:before="0" w:after="283"/>
              <w:jc w:val="left"/>
              <w:rPr/>
            </w:pPr>
            <w:r>
              <w:rPr/>
              <w:t> </w:t>
            </w:r>
            <w:bookmarkStart w:id="1701" w:name="xdx_409_ecustom--SharesIssuedForExercise"/>
            <w:bookmarkEnd w:id="170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HCW PIPE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2" w:name="xdx_986_ecustom--SharesIssuedForExercise"/>
            <w:bookmarkEnd w:id="1702"/>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w:t>
            </w:r>
          </w:p>
        </w:tc>
        <w:tc>
          <w:tcPr>
            <w:tcW w:w="110" w:type="dxa"/>
            <w:tcBorders/>
            <w:shd w:fill="FFFFFF" w:val="clear"/>
            <w:vAlign w:val="center"/>
          </w:tcPr>
          <w:p>
            <w:pPr>
              <w:pStyle w:val="TableContents"/>
              <w:bidi w:val="0"/>
              <w:spacing w:before="0" w:after="283"/>
              <w:jc w:val="left"/>
              <w:rPr/>
            </w:pPr>
            <w:r>
              <w:rPr/>
              <w:t> </w:t>
            </w:r>
            <w:bookmarkStart w:id="1703" w:name="xdx_405_ecustom--StockIssuedDuringPeriod"/>
            <w:bookmarkEnd w:id="1703"/>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4" w:name="xdx_984_ecustom--StockIssuedDuringPeriod"/>
            <w:bookmarkEnd w:id="1704"/>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bidi w:val="0"/>
              <w:spacing w:before="0" w:after="283"/>
              <w:jc w:val="left"/>
              <w:rPr/>
            </w:pPr>
            <w:r>
              <w:rPr/>
              <w:t> </w:t>
            </w:r>
            <w:bookmarkStart w:id="1705" w:name="xdx_40C_eus-gaap--AdjustmentsToAdditiona"/>
            <w:bookmarkEnd w:id="1705"/>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0" w:type="dxa"/>
            <w:tcBorders/>
            <w:shd w:fill="FFFFFF" w:val="clear"/>
            <w:vAlign w:val="center"/>
          </w:tcPr>
          <w:p>
            <w:pPr>
              <w:pStyle w:val="TableContents"/>
              <w:bidi w:val="0"/>
              <w:spacing w:before="0" w:after="283"/>
              <w:jc w:val="left"/>
              <w:rPr/>
            </w:pPr>
            <w:r>
              <w:rPr/>
              <w:t> </w:t>
            </w:r>
            <w:bookmarkStart w:id="1706" w:name="xdx_40E_eus-gaap--NetIncomeLoss_z6bftgLk"/>
            <w:bookmarkEnd w:id="1706"/>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07" w:name="xdx_439_c20240101__20241231_ecustom--Sto"/>
            <w:bookmarkEnd w:id="1707"/>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8" w:name="xdx_988_eus-gaap--SharesOutstanding_iE_p"/>
            <w:bookmarkEnd w:id="1708"/>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9" w:name="xdx_986_eus-gaap--SharesOutstanding_iE_p"/>
            <w:bookmarkEnd w:id="1709"/>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0" w:name="xdx_98E_eus-gaap--SharesOutstanding_iE_p"/>
            <w:bookmarkEnd w:id="171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1711" w:name="xdx_430_c20240101__20241231_ecustom--Sto"/>
            <w:bookmarkEnd w:id="1711"/>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2" w:name="xdx_98A_eus-gaap--SharesOutstanding_iE_p"/>
            <w:bookmarkEnd w:id="1712"/>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3" w:name="xdx_988_eus-gaap--SharesOutstanding_iE_p"/>
            <w:bookmarkEnd w:id="1713"/>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4" w:name="xdx_981_eus-gaap--SharesOutstanding_iE_p"/>
            <w:bookmarkEnd w:id="171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15" w:name="ta_006"/>
      <w:bookmarkEnd w:id="171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16" w:name="xdx_30A_112_zkIT7PZoFi3h"/>
      <w:bookmarkStart w:id="1717" w:name="xdx_30A_112_zkIT7PZoFi3h"/>
      <w:bookmarkEnd w:id="1717"/>
    </w:p>
    <w:tbl>
      <w:tblPr>
        <w:tblW w:w="10205" w:type="dxa"/>
        <w:jc w:val="left"/>
        <w:tblInd w:w="0" w:type="dxa"/>
        <w:tblLayout w:type="fixed"/>
        <w:tblCellMar>
          <w:top w:w="0" w:type="dxa"/>
          <w:left w:w="0" w:type="dxa"/>
          <w:bottom w:w="0" w:type="dxa"/>
          <w:right w:w="0" w:type="dxa"/>
        </w:tblCellMar>
      </w:tblPr>
      <w:tblGrid>
        <w:gridCol w:w="6650"/>
        <w:gridCol w:w="60"/>
        <w:gridCol w:w="169"/>
        <w:gridCol w:w="1429"/>
        <w:gridCol w:w="115"/>
        <w:gridCol w:w="72"/>
        <w:gridCol w:w="169"/>
        <w:gridCol w:w="1429"/>
        <w:gridCol w:w="112"/>
      </w:tblGrid>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18" w:name="xdx_49F_20250101__20251231_zZ24snb98Y3f"/>
            <w:bookmarkEnd w:id="1718"/>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bookmarkStart w:id="1719" w:name="xdx_494_20240101__20241231_zqAeVVIIJMQ4"/>
            <w:bookmarkEnd w:id="1719"/>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bookmarkStart w:id="1720" w:name="xdx_40D_eus-gaap--NetCashProvidedByUsedI"/>
            <w:bookmarkEnd w:id="172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21" w:name="xdx_40F_eus-gaap--NetIncomeLoss_i01_zXqH"/>
            <w:bookmarkEnd w:id="172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22" w:name="xdx_40D_eus-gaap--AdjustmentsToReconcile"/>
            <w:bookmarkEnd w:id="172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23" w:name="xdx_40E_eus-gaap--DepreciationAndAmortiz"/>
            <w:bookmarkEnd w:id="172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2" w:type="dxa"/>
            <w:tcBorders/>
            <w:shd w:fill="FFFFFF" w:val="clear"/>
            <w:vAlign w:val="center"/>
          </w:tcPr>
          <w:p>
            <w:pPr>
              <w:pStyle w:val="TableContents"/>
              <w:bidi w:val="0"/>
              <w:spacing w:before="0" w:after="283"/>
              <w:jc w:val="left"/>
              <w:rPr/>
            </w:pPr>
            <w:r>
              <w:rPr/>
              <w:t> </w:t>
            </w:r>
            <w:bookmarkStart w:id="1724" w:name="xdx_400_eus-gaap--ProvisionForDoubtfulAc"/>
            <w:bookmarkEnd w:id="172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18,462</w:t>
            </w:r>
          </w:p>
        </w:tc>
        <w:tc>
          <w:tcPr>
            <w:tcW w:w="112" w:type="dxa"/>
            <w:tcBorders/>
            <w:shd w:fill="CCEEFF" w:val="clear"/>
            <w:vAlign w:val="center"/>
          </w:tcPr>
          <w:p>
            <w:pPr>
              <w:pStyle w:val="TableContents"/>
              <w:bidi w:val="0"/>
              <w:spacing w:before="0" w:after="283"/>
              <w:jc w:val="left"/>
              <w:rPr/>
            </w:pPr>
            <w:r>
              <w:rPr/>
              <w:t> </w:t>
            </w:r>
            <w:bookmarkStart w:id="1725" w:name="xdx_401_ecustom--NonCashShareIssuanceFor"/>
            <w:bookmarkEnd w:id="172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245,252</w:t>
            </w:r>
          </w:p>
        </w:tc>
        <w:tc>
          <w:tcPr>
            <w:tcW w:w="112" w:type="dxa"/>
            <w:tcBorders/>
            <w:shd w:fill="FFFFFF" w:val="clear"/>
            <w:vAlign w:val="center"/>
          </w:tcPr>
          <w:p>
            <w:pPr>
              <w:pStyle w:val="TableContents"/>
              <w:bidi w:val="0"/>
              <w:spacing w:before="0" w:after="283"/>
              <w:jc w:val="left"/>
              <w:rPr/>
            </w:pPr>
            <w:r>
              <w:rPr/>
              <w:t> </w:t>
            </w:r>
            <w:bookmarkStart w:id="1726" w:name="xdx_408_ecustom--NonCashShareIssuanceFor"/>
            <w:bookmarkEnd w:id="172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shares issued for consulting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27" w:name="xdx_40F_ecustom--NonCashSettlementOfGemC"/>
            <w:bookmarkEnd w:id="172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2" w:type="dxa"/>
            <w:tcBorders/>
            <w:shd w:fill="FFFFFF" w:val="clear"/>
            <w:vAlign w:val="center"/>
          </w:tcPr>
          <w:p>
            <w:pPr>
              <w:pStyle w:val="TableContents"/>
              <w:bidi w:val="0"/>
              <w:spacing w:before="0" w:after="283"/>
              <w:jc w:val="left"/>
              <w:rPr/>
            </w:pPr>
            <w:r>
              <w:rPr/>
              <w:t> </w:t>
            </w:r>
            <w:bookmarkStart w:id="1728" w:name="xdx_40F_ecustom--DiscountAtIssuanceOnNot"/>
            <w:bookmarkEnd w:id="172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1,671,996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747,962</w:t>
            </w:r>
          </w:p>
        </w:tc>
        <w:tc>
          <w:tcPr>
            <w:tcW w:w="112" w:type="dxa"/>
            <w:tcBorders/>
            <w:shd w:fill="CCEEFF" w:val="clear"/>
            <w:vAlign w:val="center"/>
          </w:tcPr>
          <w:p>
            <w:pPr>
              <w:pStyle w:val="TableContents"/>
              <w:bidi w:val="0"/>
              <w:spacing w:before="0" w:after="283"/>
              <w:jc w:val="left"/>
              <w:rPr/>
            </w:pPr>
            <w:r>
              <w:rPr/>
              <w:t> </w:t>
            </w:r>
            <w:bookmarkStart w:id="1729" w:name="xdx_40B_ecustom--NoncashShareIssuanceFor"/>
            <w:bookmarkEnd w:id="172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2" w:type="dxa"/>
            <w:tcBorders/>
            <w:shd w:fill="FFFFFF" w:val="clear"/>
            <w:vAlign w:val="center"/>
          </w:tcPr>
          <w:p>
            <w:pPr>
              <w:pStyle w:val="TableContents"/>
              <w:bidi w:val="0"/>
              <w:spacing w:before="0" w:after="283"/>
              <w:jc w:val="left"/>
              <w:rPr/>
            </w:pPr>
            <w:r>
              <w:rPr/>
              <w:t> </w:t>
            </w:r>
            <w:bookmarkStart w:id="1730" w:name="xdx_405_ecustom--NonCashInterestExpense_"/>
            <w:bookmarkEnd w:id="173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1,532,475</w:t>
            </w:r>
          </w:p>
        </w:tc>
        <w:tc>
          <w:tcPr>
            <w:tcW w:w="112" w:type="dxa"/>
            <w:tcBorders/>
            <w:shd w:fill="CCEEFF" w:val="clear"/>
            <w:vAlign w:val="center"/>
          </w:tcPr>
          <w:p>
            <w:pPr>
              <w:pStyle w:val="TableContents"/>
              <w:bidi w:val="0"/>
              <w:spacing w:before="0" w:after="283"/>
              <w:jc w:val="left"/>
              <w:rPr/>
            </w:pPr>
            <w:r>
              <w:rPr/>
              <w:t> </w:t>
            </w:r>
            <w:bookmarkStart w:id="1731" w:name="xdx_409_ecustom--NonCashInterestExpense_"/>
            <w:bookmarkEnd w:id="173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32" w:name="xdx_409_ecustom--NonCashInterestExpense_"/>
            <w:bookmarkEnd w:id="1732"/>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Non-cash interest expense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33" w:name="xdx_405_eus-gaap--AmortizationOfFinancin"/>
            <w:bookmarkEnd w:id="1733"/>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bookmarkStart w:id="1734" w:name="xdx_406_eus-gaap--OperatingLeaseRightOfU"/>
            <w:bookmarkEnd w:id="1734"/>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2" w:type="dxa"/>
            <w:tcBorders/>
            <w:shd w:fill="FFFFFF" w:val="clear"/>
            <w:vAlign w:val="center"/>
          </w:tcPr>
          <w:p>
            <w:pPr>
              <w:pStyle w:val="TableContents"/>
              <w:bidi w:val="0"/>
              <w:spacing w:before="0" w:after="283"/>
              <w:jc w:val="left"/>
              <w:rPr/>
            </w:pPr>
            <w:r>
              <w:rPr/>
              <w:t> </w:t>
            </w:r>
            <w:bookmarkStart w:id="1735" w:name="xdx_406_eus-gaap--ShareBasedCompensation"/>
            <w:bookmarkEnd w:id="1735"/>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2" w:type="dxa"/>
            <w:tcBorders/>
            <w:shd w:fill="CCEEFF" w:val="clear"/>
            <w:vAlign w:val="center"/>
          </w:tcPr>
          <w:p>
            <w:pPr>
              <w:pStyle w:val="TableContents"/>
              <w:bidi w:val="0"/>
              <w:spacing w:before="0" w:after="283"/>
              <w:jc w:val="left"/>
              <w:rPr/>
            </w:pPr>
            <w:r>
              <w:rPr/>
              <w:t> </w:t>
            </w:r>
            <w:bookmarkStart w:id="1736" w:name="xdx_40A_ecustom--GainLossOnReleaseOfReve"/>
            <w:bookmarkEnd w:id="1736"/>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37" w:name="xdx_405_eus-gaap--GainsLossesOnExtinguis"/>
            <w:bookmarkEnd w:id="1737"/>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38" w:name="xdx_404_ecustom--GainOnReleaseOfDueToRel"/>
            <w:bookmarkEnd w:id="1738"/>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due to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(67,118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39" w:name="xdx_409_ecustom--GainLossOnConversionAnd"/>
            <w:bookmarkEnd w:id="1739"/>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2" w:type="dxa"/>
            <w:tcBorders/>
            <w:shd w:fill="CCEEFF" w:val="clear"/>
            <w:vAlign w:val="center"/>
          </w:tcPr>
          <w:p>
            <w:pPr>
              <w:pStyle w:val="TableContents"/>
              <w:bidi w:val="0"/>
              <w:spacing w:before="0" w:after="283"/>
              <w:jc w:val="left"/>
              <w:rPr/>
            </w:pPr>
            <w:r>
              <w:rPr/>
              <w:t> </w:t>
            </w:r>
            <w:bookmarkStart w:id="1740" w:name="xdx_40F_ecustom--GainLossOnConversionAnd"/>
            <w:bookmarkEnd w:id="1740"/>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2" w:type="dxa"/>
            <w:tcBorders/>
            <w:shd w:fill="FFFFFF" w:val="clear"/>
            <w:vAlign w:val="center"/>
          </w:tcPr>
          <w:p>
            <w:pPr>
              <w:pStyle w:val="TableContents"/>
              <w:bidi w:val="0"/>
              <w:spacing w:before="0" w:after="283"/>
              <w:jc w:val="left"/>
              <w:rPr/>
            </w:pPr>
            <w:r>
              <w:rPr/>
              <w:t> </w:t>
            </w:r>
            <w:bookmarkStart w:id="1741" w:name="xdx_40B_ecustom--GainsLossesOnDebtIssuan"/>
            <w:bookmarkEnd w:id="1741"/>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2" w:type="dxa"/>
            <w:tcBorders/>
            <w:shd w:fill="CCEEFF" w:val="clear"/>
            <w:vAlign w:val="center"/>
          </w:tcPr>
          <w:p>
            <w:pPr>
              <w:pStyle w:val="TableContents"/>
              <w:bidi w:val="0"/>
              <w:spacing w:before="0" w:after="283"/>
              <w:jc w:val="left"/>
              <w:rPr/>
            </w:pPr>
            <w:r>
              <w:rPr/>
              <w:t> </w:t>
            </w:r>
            <w:bookmarkStart w:id="1742" w:name="xdx_407_ecustom--GainLossOnIssuanceOfTer"/>
            <w:bookmarkEnd w:id="1742"/>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43" w:name="xdx_40A_ecustom--GainLossOnIssuanceOfCon"/>
            <w:bookmarkEnd w:id="1743"/>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44" w:name="xdx_40A_ecustom--GainLossOnPrivatePlacem"/>
            <w:bookmarkEnd w:id="1744"/>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45" w:name="xdx_400_ecustom--LossOnExtinguishmentOfD"/>
            <w:bookmarkEnd w:id="1745"/>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2" w:type="dxa"/>
            <w:tcBorders/>
            <w:shd w:fill="CCEEFF" w:val="clear"/>
            <w:vAlign w:val="center"/>
          </w:tcPr>
          <w:p>
            <w:pPr>
              <w:pStyle w:val="TableContents"/>
              <w:bidi w:val="0"/>
              <w:spacing w:before="0" w:after="283"/>
              <w:jc w:val="left"/>
              <w:rPr/>
            </w:pPr>
            <w:r>
              <w:rPr/>
              <w:t> </w:t>
            </w:r>
            <w:bookmarkStart w:id="1746" w:name="xdx_409_eus-gaap--GoodwillImpairmentLoss"/>
            <w:bookmarkEnd w:id="1746"/>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2" w:type="dxa"/>
            <w:tcBorders/>
            <w:shd w:fill="FFFFFF" w:val="clear"/>
            <w:vAlign w:val="center"/>
          </w:tcPr>
          <w:p>
            <w:pPr>
              <w:pStyle w:val="TableContents"/>
              <w:bidi w:val="0"/>
              <w:spacing w:before="0" w:after="283"/>
              <w:jc w:val="left"/>
              <w:rPr/>
            </w:pPr>
            <w:r>
              <w:rPr/>
              <w:t> </w:t>
            </w:r>
            <w:bookmarkStart w:id="1747" w:name="xdx_404_eus-gaap--FairValueAdjustmentOfW"/>
            <w:bookmarkEnd w:id="1747"/>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48" w:name="xdx_40D_eus-gaap--FairValueAdjustmentOfW"/>
            <w:bookmarkEnd w:id="1748"/>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49" w:name="xdx_407_eus-gaap--FairValueAdjustmentOfW"/>
            <w:bookmarkEnd w:id="174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0" w:name="xdx_40D_eus-gaap--EmbeddedDerivativeGain"/>
            <w:bookmarkEnd w:id="175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1" w:name="xdx_404_eus-gaap--IncreaseDecreaseInFair"/>
            <w:bookmarkEnd w:id="175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2" w:type="dxa"/>
            <w:tcBorders/>
            <w:shd w:fill="FFFFFF" w:val="clear"/>
            <w:vAlign w:val="center"/>
          </w:tcPr>
          <w:p>
            <w:pPr>
              <w:pStyle w:val="TableContents"/>
              <w:bidi w:val="0"/>
              <w:spacing w:before="0" w:after="283"/>
              <w:jc w:val="left"/>
              <w:rPr/>
            </w:pPr>
            <w:r>
              <w:rPr/>
              <w:t> </w:t>
            </w:r>
            <w:bookmarkStart w:id="1752" w:name="xdx_40A_ecustom--ChangeInFairValueOfConv"/>
            <w:bookmarkEnd w:id="175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53" w:name="xdx_408_ecustom--ChangeInFairValueOfTerm"/>
            <w:bookmarkEnd w:id="175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2" w:type="dxa"/>
            <w:tcBorders/>
            <w:shd w:fill="FFFFFF" w:val="clear"/>
            <w:vAlign w:val="center"/>
          </w:tcPr>
          <w:p>
            <w:pPr>
              <w:pStyle w:val="TableContents"/>
              <w:bidi w:val="0"/>
              <w:spacing w:before="0" w:after="283"/>
              <w:jc w:val="left"/>
              <w:rPr/>
            </w:pPr>
            <w:r>
              <w:rPr/>
              <w:t> </w:t>
            </w:r>
            <w:bookmarkStart w:id="1754" w:name="xdx_403_ecustom--ChangeInFairValueOfConv"/>
            <w:bookmarkEnd w:id="175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5" w:name="xdx_40E_eus-gaap--IncreaseDecreaseInOper"/>
            <w:bookmarkEnd w:id="175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756" w:name="xdx_40F_eus-gaap--IncreaseDecreaseInAcco"/>
            <w:bookmarkEnd w:id="175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15,828</w:t>
            </w:r>
          </w:p>
        </w:tc>
        <w:tc>
          <w:tcPr>
            <w:tcW w:w="112" w:type="dxa"/>
            <w:tcBorders/>
            <w:shd w:fill="CCEEFF" w:val="clear"/>
            <w:vAlign w:val="center"/>
          </w:tcPr>
          <w:p>
            <w:pPr>
              <w:pStyle w:val="TableContents"/>
              <w:bidi w:val="0"/>
              <w:spacing w:before="0" w:after="283"/>
              <w:jc w:val="left"/>
              <w:rPr/>
            </w:pPr>
            <w:r>
              <w:rPr/>
              <w:t> </w:t>
            </w:r>
            <w:bookmarkStart w:id="1757" w:name="xdx_40F_eus-gaap--IncreaseDecreaseInPrep"/>
            <w:bookmarkEnd w:id="175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551,645</w:t>
            </w:r>
          </w:p>
        </w:tc>
        <w:tc>
          <w:tcPr>
            <w:tcW w:w="112" w:type="dxa"/>
            <w:tcBorders/>
            <w:shd w:fill="FFFFFF" w:val="clear"/>
            <w:vAlign w:val="center"/>
          </w:tcPr>
          <w:p>
            <w:pPr>
              <w:pStyle w:val="TableContents"/>
              <w:bidi w:val="0"/>
              <w:spacing w:before="0" w:after="283"/>
              <w:jc w:val="left"/>
              <w:rPr/>
            </w:pPr>
            <w:r>
              <w:rPr/>
              <w:t> </w:t>
            </w:r>
            <w:bookmarkStart w:id="1758" w:name="xdx_40A_eus-gaap--IncreaseDecreaseInOthe"/>
            <w:bookmarkEnd w:id="175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27,227</w:t>
            </w:r>
          </w:p>
        </w:tc>
        <w:tc>
          <w:tcPr>
            <w:tcW w:w="112" w:type="dxa"/>
            <w:tcBorders/>
            <w:shd w:fill="CCEEFF" w:val="clear"/>
            <w:vAlign w:val="center"/>
          </w:tcPr>
          <w:p>
            <w:pPr>
              <w:pStyle w:val="TableContents"/>
              <w:bidi w:val="0"/>
              <w:spacing w:before="0" w:after="283"/>
              <w:jc w:val="left"/>
              <w:rPr/>
            </w:pPr>
            <w:r>
              <w:rPr/>
              <w:t> </w:t>
            </w:r>
            <w:bookmarkStart w:id="1759" w:name="xdx_403_eus-gaap--IncreaseDecreaseInAcco"/>
            <w:bookmarkEnd w:id="175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(381,632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1,012,281</w:t>
            </w:r>
          </w:p>
        </w:tc>
        <w:tc>
          <w:tcPr>
            <w:tcW w:w="112" w:type="dxa"/>
            <w:tcBorders/>
            <w:shd w:fill="FFFFFF" w:val="clear"/>
            <w:vAlign w:val="center"/>
          </w:tcPr>
          <w:p>
            <w:pPr>
              <w:pStyle w:val="TableContents"/>
              <w:bidi w:val="0"/>
              <w:spacing w:before="0" w:after="283"/>
              <w:jc w:val="left"/>
              <w:rPr/>
            </w:pPr>
            <w:r>
              <w:rPr/>
              <w:t> </w:t>
            </w:r>
            <w:bookmarkStart w:id="1760" w:name="xdx_406_eus-gaap--IncreaseDecreaseInDefe"/>
            <w:bookmarkEnd w:id="176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(740,066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1" w:name="xdx_402_eus-gaap--IncreaseDecreaseInAccr"/>
            <w:bookmarkEnd w:id="176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498,051</w:t>
            </w:r>
          </w:p>
        </w:tc>
        <w:tc>
          <w:tcPr>
            <w:tcW w:w="112" w:type="dxa"/>
            <w:tcBorders/>
            <w:shd w:fill="FFFFFF" w:val="clear"/>
            <w:vAlign w:val="center"/>
          </w:tcPr>
          <w:p>
            <w:pPr>
              <w:pStyle w:val="TableContents"/>
              <w:bidi w:val="0"/>
              <w:spacing w:before="0" w:after="283"/>
              <w:jc w:val="left"/>
              <w:rPr/>
            </w:pPr>
            <w:r>
              <w:rPr/>
              <w:t> </w:t>
            </w:r>
            <w:bookmarkStart w:id="1762" w:name="xdx_403_eus-gaap--IncreaseDecreaseInOper"/>
            <w:bookmarkEnd w:id="176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3" w:name="xdx_40B_ecustom--IncreaseDecreaseInEarno"/>
            <w:bookmarkEnd w:id="176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587,784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(44,549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4" w:name="xdx_403_ecustom--IncreaseDecreaseInDefer"/>
            <w:bookmarkEnd w:id="176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long-term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10,573</w:t>
            </w:r>
          </w:p>
        </w:tc>
        <w:tc>
          <w:tcPr>
            <w:tcW w:w="112" w:type="dxa"/>
            <w:tcBorders/>
            <w:shd w:fill="CCEEFF" w:val="clear"/>
            <w:vAlign w:val="center"/>
          </w:tcPr>
          <w:p>
            <w:pPr>
              <w:pStyle w:val="TableContents"/>
              <w:bidi w:val="0"/>
              <w:spacing w:before="0" w:after="283"/>
              <w:jc w:val="left"/>
              <w:rPr/>
            </w:pPr>
            <w:r>
              <w:rPr/>
              <w:t> </w:t>
            </w:r>
            <w:bookmarkStart w:id="1765" w:name="xdx_400_eus-gaap--IncreaseDecreaseInDefe"/>
            <w:bookmarkEnd w:id="176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(256,310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2" w:type="dxa"/>
            <w:tcBorders/>
            <w:shd w:fill="FFFFFF" w:val="clear"/>
            <w:vAlign w:val="center"/>
          </w:tcPr>
          <w:p>
            <w:pPr>
              <w:pStyle w:val="TableContents"/>
              <w:bidi w:val="0"/>
              <w:spacing w:before="0" w:after="283"/>
              <w:jc w:val="left"/>
              <w:rPr/>
            </w:pPr>
            <w:r>
              <w:rPr/>
              <w:t> </w:t>
            </w:r>
            <w:bookmarkStart w:id="1766" w:name="xdx_402_eus-gaap--IncreaseDecreaseInOthe"/>
            <w:bookmarkEnd w:id="176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7" w:name="xdx_403_eus-gaap--NetCashProvidedByUsedI"/>
            <w:bookmarkEnd w:id="176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(15,706,619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(9,575,403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68" w:name="xdx_406_eus-gaap--NetCashProvidedByUsedI"/>
            <w:bookmarkEnd w:id="176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69" w:name="xdx_40C_eus-gaap--PaymentsToAcquireBusin"/>
            <w:bookmarkEnd w:id="176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acquisition of Vidello,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(2,677,480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70" w:name="xdx_401_eus-gaap--AssetAcquisitionConsid"/>
            <w:bookmarkEnd w:id="177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71" w:name="xdx_40F_eus-gaap--CashAcquiredFromAcquis"/>
            <w:bookmarkEnd w:id="177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in acquisition of OpenReel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FFFFFF" w:val="clear"/>
            <w:vAlign w:val="center"/>
          </w:tcPr>
          <w:p>
            <w:pPr>
              <w:pStyle w:val="TableContents"/>
              <w:bidi w:val="0"/>
              <w:spacing w:before="0" w:after="283"/>
              <w:jc w:val="left"/>
              <w:rPr/>
            </w:pPr>
            <w:r>
              <w:rPr/>
              <w:t> </w:t>
            </w:r>
            <w:bookmarkStart w:id="1772" w:name="xdx_40C_eus-gaap--NetCashProvidedByUsedI"/>
            <w:bookmarkEnd w:id="177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(2,678,980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CCEEFF" w:val="clear"/>
            <w:vAlign w:val="center"/>
          </w:tcPr>
          <w:p>
            <w:pPr>
              <w:pStyle w:val="TableContents"/>
              <w:bidi w:val="0"/>
              <w:spacing w:before="0" w:after="283"/>
              <w:jc w:val="left"/>
              <w:rPr/>
            </w:pPr>
            <w:r>
              <w:rPr/>
              <w:t> </w:t>
            </w:r>
            <w:bookmarkStart w:id="1773" w:name="xdx_401_eus-gaap--NetCashProvidedByUsedI"/>
            <w:bookmarkEnd w:id="177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774" w:name="xdx_401_ecustom--PaymentOfGEMCommitmentF"/>
            <w:bookmarkEnd w:id="177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GEM commitment fee promissory note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75" w:name="xdx_400_eus-gaap--PaymentsOfMergerRelate"/>
            <w:bookmarkEnd w:id="177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76" w:name="xdx_40C_eus-gaap--RepaymentsOfConvertibl"/>
            <w:bookmarkEnd w:id="177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77" w:name="xdx_40D_ecustom--ProceedsFromRelatedPart"/>
            <w:bookmarkEnd w:id="177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2" w:type="dxa"/>
            <w:tcBorders/>
            <w:shd w:fill="FFFFFF" w:val="clear"/>
            <w:vAlign w:val="center"/>
          </w:tcPr>
          <w:p>
            <w:pPr>
              <w:pStyle w:val="TableContents"/>
              <w:bidi w:val="0"/>
              <w:spacing w:before="0" w:after="283"/>
              <w:jc w:val="left"/>
              <w:rPr/>
            </w:pPr>
            <w:r>
              <w:rPr/>
              <w:t> </w:t>
            </w:r>
            <w:bookmarkStart w:id="1778" w:name="xdx_40D_eus-gaap--RepaymentsOfRelatedPar"/>
            <w:bookmarkEnd w:id="177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related party advance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79" w:name="xdx_403_eus-gaap--ProceedsFromIssuanceOf"/>
            <w:bookmarkEnd w:id="177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5,412,050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2,782,438</w:t>
            </w:r>
          </w:p>
        </w:tc>
        <w:tc>
          <w:tcPr>
            <w:tcW w:w="112" w:type="dxa"/>
            <w:tcBorders/>
            <w:shd w:fill="FFFFFF" w:val="clear"/>
            <w:vAlign w:val="center"/>
          </w:tcPr>
          <w:p>
            <w:pPr>
              <w:pStyle w:val="TableContents"/>
              <w:bidi w:val="0"/>
              <w:spacing w:before="0" w:after="283"/>
              <w:jc w:val="left"/>
              <w:rPr/>
            </w:pPr>
            <w:r>
              <w:rPr/>
              <w:t> </w:t>
            </w:r>
            <w:bookmarkStart w:id="1780" w:name="xdx_40E_eus-gaap--RepaymentsOfNotesPayab"/>
            <w:bookmarkEnd w:id="178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term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(8,694,757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(1,939,583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1" w:name="xdx_40D_eus-gaap--PaymentsForRepurchaseO"/>
            <w:bookmarkEnd w:id="178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82" w:name="xdx_406_ecustom--PartialRepaymentOfConve"/>
            <w:bookmarkEnd w:id="178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Partial repayment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(4,728,672</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3" w:name="xdx_40B_ecustom--ProceedsFromYorkvilleRe"/>
            <w:bookmarkEnd w:id="178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35,040</w:t>
            </w:r>
          </w:p>
        </w:tc>
        <w:tc>
          <w:tcPr>
            <w:tcW w:w="112" w:type="dxa"/>
            <w:tcBorders/>
            <w:shd w:fill="FFFFFF" w:val="clear"/>
            <w:vAlign w:val="center"/>
          </w:tcPr>
          <w:p>
            <w:pPr>
              <w:pStyle w:val="TableContents"/>
              <w:bidi w:val="0"/>
              <w:spacing w:before="0" w:after="283"/>
              <w:jc w:val="left"/>
              <w:rPr/>
            </w:pPr>
            <w:r>
              <w:rPr/>
              <w:t> </w:t>
            </w:r>
            <w:bookmarkStart w:id="1784" w:name="xdx_40C_eus-gaap--ProceedsFromConvertibl"/>
            <w:bookmarkEnd w:id="178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9,975,654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2,602,000</w:t>
            </w:r>
          </w:p>
        </w:tc>
        <w:tc>
          <w:tcPr>
            <w:tcW w:w="112" w:type="dxa"/>
            <w:tcBorders/>
            <w:shd w:fill="CCEEFF" w:val="clear"/>
            <w:vAlign w:val="center"/>
          </w:tcPr>
          <w:p>
            <w:pPr>
              <w:pStyle w:val="TableContents"/>
              <w:bidi w:val="0"/>
              <w:spacing w:before="0" w:after="283"/>
              <w:jc w:val="left"/>
              <w:rPr/>
            </w:pPr>
            <w:r>
              <w:rPr/>
              <w:t> </w:t>
            </w:r>
            <w:bookmarkStart w:id="1785" w:name="xdx_404_ecustom--ProceedsReceivedForExer"/>
            <w:bookmarkEnd w:id="178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2" w:type="dxa"/>
            <w:tcBorders/>
            <w:shd w:fill="FFFFFF" w:val="clear"/>
            <w:vAlign w:val="center"/>
          </w:tcPr>
          <w:p>
            <w:pPr>
              <w:pStyle w:val="TableContents"/>
              <w:bidi w:val="0"/>
              <w:spacing w:before="0" w:after="283"/>
              <w:jc w:val="left"/>
              <w:rPr/>
            </w:pPr>
            <w:r>
              <w:rPr/>
              <w:t> </w:t>
            </w:r>
            <w:bookmarkStart w:id="1786" w:name="xdx_401_ecustom--ProceedsFromIssuanceOfS"/>
            <w:bookmarkEnd w:id="1786"/>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to Yorkville under the SEPA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2" w:type="dxa"/>
            <w:tcBorders/>
            <w:shd w:fill="CCEEFF" w:val="clear"/>
            <w:vAlign w:val="center"/>
          </w:tcPr>
          <w:p>
            <w:pPr>
              <w:pStyle w:val="TableContents"/>
              <w:bidi w:val="0"/>
              <w:spacing w:before="0" w:after="283"/>
              <w:jc w:val="left"/>
              <w:rPr/>
            </w:pPr>
            <w:r>
              <w:rPr/>
              <w:t> </w:t>
            </w:r>
            <w:bookmarkStart w:id="1787" w:name="xdx_406_ecustom--ProceedsFromSharesIssue"/>
            <w:bookmarkEnd w:id="1787"/>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788" w:name="xdx_40E_eus-gaap--PaymentsForRepurchaseO"/>
            <w:bookmarkEnd w:id="1788"/>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 – ATM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(238,330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89" w:name="xdx_409_ecustom--ProceedsFromIssuanceOfC"/>
            <w:bookmarkEnd w:id="1789"/>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790" w:name="xdx_40D_ecustom--ProceedsFromIssuanceOfC"/>
            <w:bookmarkEnd w:id="1790"/>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3,545,799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2" w:type="dxa"/>
            <w:tcBorders/>
            <w:shd w:fill="CCEEFF" w:val="clear"/>
            <w:vAlign w:val="center"/>
          </w:tcPr>
          <w:p>
            <w:pPr>
              <w:pStyle w:val="TableContents"/>
              <w:bidi w:val="0"/>
              <w:spacing w:before="0" w:after="283"/>
              <w:jc w:val="left"/>
              <w:rPr/>
            </w:pPr>
            <w:r>
              <w:rPr/>
              <w:t> </w:t>
            </w:r>
            <w:bookmarkStart w:id="1791" w:name="xdx_403_eus-gaap--NetCashProvidedByUsedI"/>
            <w:bookmarkEnd w:id="1791"/>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17,633,523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8,486,963</w:t>
            </w:r>
          </w:p>
        </w:tc>
        <w:tc>
          <w:tcPr>
            <w:tcW w:w="112" w:type="dxa"/>
            <w:tcBorders/>
            <w:shd w:fill="FFFFFF" w:val="clear"/>
            <w:vAlign w:val="center"/>
          </w:tcPr>
          <w:p>
            <w:pPr>
              <w:pStyle w:val="TableContents"/>
              <w:bidi w:val="0"/>
              <w:spacing w:before="0" w:after="283"/>
              <w:jc w:val="left"/>
              <w:rPr/>
            </w:pPr>
            <w:r>
              <w:rPr/>
              <w:t> </w:t>
            </w:r>
            <w:bookmarkStart w:id="1792" w:name="xdx_408_eus-gaap--EffectOfExchangeRateOn"/>
            <w:bookmarkEnd w:id="1792"/>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(76,216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793" w:name="xdx_40C_eus-gaap--CashCashEquivalentsRes"/>
            <w:bookmarkEnd w:id="1793"/>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4" w:name="xdx_404_eus-gaap--CashCashEquivalentsRes"/>
            <w:bookmarkEnd w:id="1794"/>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2,093,718</w:t>
            </w:r>
          </w:p>
        </w:tc>
        <w:tc>
          <w:tcPr>
            <w:tcW w:w="112" w:type="dxa"/>
            <w:tcBorders/>
            <w:shd w:fill="CCEEFF" w:val="clear"/>
            <w:vAlign w:val="center"/>
          </w:tcPr>
          <w:p>
            <w:pPr>
              <w:pStyle w:val="TableContents"/>
              <w:bidi w:val="0"/>
              <w:spacing w:before="0" w:after="283"/>
              <w:jc w:val="left"/>
              <w:rPr/>
            </w:pPr>
            <w:r>
              <w:rPr/>
              <w:t> </w:t>
            </w:r>
            <w:bookmarkStart w:id="1795" w:name="xdx_407_eus-gaap--CashCashEquivalentsRes"/>
            <w:bookmarkEnd w:id="1795"/>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96" w:name="xdx_40C_eus-gaap--SupplementalCashFlowIn"/>
      <w:bookmarkStart w:id="1797" w:name="xdx_40C_eus-gaap--SupplementalCashFlowIn"/>
      <w:bookmarkEnd w:id="1797"/>
    </w:p>
    <w:tbl>
      <w:tblPr>
        <w:tblW w:w="9360" w:type="dxa"/>
        <w:jc w:val="left"/>
        <w:tblInd w:w="0" w:type="dxa"/>
        <w:tblLayout w:type="fixed"/>
        <w:tblCellMar>
          <w:top w:w="0" w:type="dxa"/>
          <w:left w:w="0" w:type="dxa"/>
          <w:bottom w:w="0" w:type="dxa"/>
          <w:right w:w="0" w:type="dxa"/>
        </w:tblCellMar>
      </w:tblPr>
      <w:tblGrid>
        <w:gridCol w:w="6905"/>
        <w:gridCol w:w="60"/>
        <w:gridCol w:w="60"/>
        <w:gridCol w:w="980"/>
        <w:gridCol w:w="60"/>
        <w:gridCol w:w="60"/>
        <w:gridCol w:w="60"/>
        <w:gridCol w:w="1100"/>
        <w:gridCol w:w="75"/>
      </w:tblGrid>
      <w:tr>
        <w:trPr/>
        <w:tc>
          <w:tcPr>
            <w:tcW w:w="69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98" w:name="xdx_40B_eus-gaap--InterestPaidNet_i01_zF"/>
            <w:bookmarkEnd w:id="179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338,393</w:t>
            </w:r>
          </w:p>
        </w:tc>
        <w:tc>
          <w:tcPr>
            <w:tcW w:w="75" w:type="dxa"/>
            <w:tcBorders/>
            <w:shd w:fill="FFFFFF" w:val="clear"/>
            <w:vAlign w:val="center"/>
          </w:tcPr>
          <w:p>
            <w:pPr>
              <w:pStyle w:val="TableContents"/>
              <w:bidi w:val="0"/>
              <w:spacing w:before="0" w:after="283"/>
              <w:jc w:val="left"/>
              <w:rPr/>
            </w:pPr>
            <w:r>
              <w:rPr/>
              <w:t> </w:t>
            </w:r>
            <w:bookmarkStart w:id="1799" w:name="xdx_40F_eus-gaap--IncomeTaxesPaidNet_i01"/>
            <w:bookmarkEnd w:id="179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75" w:type="dxa"/>
            <w:tcBorders/>
            <w:shd w:fill="CCEEFF" w:val="clear"/>
            <w:vAlign w:val="center"/>
          </w:tcPr>
          <w:p>
            <w:pPr>
              <w:pStyle w:val="TableContents"/>
              <w:bidi w:val="0"/>
              <w:spacing w:before="0" w:after="283"/>
              <w:jc w:val="left"/>
              <w:rPr/>
            </w:pPr>
            <w:r>
              <w:rPr/>
              <w:t> </w:t>
            </w:r>
            <w:bookmarkStart w:id="1800" w:name="xdx_40C_eus-gaap--NoncashInvestingAndFin"/>
            <w:bookmarkEnd w:id="180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01" w:name="xdx_403_ecustom--SharesIssuedToRothForAd"/>
            <w:bookmarkEnd w:id="180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75" w:type="dxa"/>
            <w:tcBorders/>
            <w:shd w:fill="CCEEFF" w:val="clear"/>
            <w:vAlign w:val="center"/>
          </w:tcPr>
          <w:p>
            <w:pPr>
              <w:pStyle w:val="TableContents"/>
              <w:bidi w:val="0"/>
              <w:spacing w:before="0" w:after="283"/>
              <w:jc w:val="left"/>
              <w:rPr/>
            </w:pPr>
            <w:r>
              <w:rPr/>
              <w:t> </w:t>
            </w:r>
            <w:bookmarkStart w:id="1802" w:name="xdx_407_eus-gaap--StockIssued1_i01_zx8CX"/>
            <w:bookmarkEnd w:id="180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75" w:type="dxa"/>
            <w:tcBorders/>
            <w:shd w:fill="FFFFFF" w:val="clear"/>
            <w:vAlign w:val="center"/>
          </w:tcPr>
          <w:p>
            <w:pPr>
              <w:pStyle w:val="TableContents"/>
              <w:bidi w:val="0"/>
              <w:spacing w:before="0" w:after="283"/>
              <w:jc w:val="left"/>
              <w:rPr/>
            </w:pPr>
            <w:r>
              <w:rPr/>
              <w:t> </w:t>
            </w:r>
            <w:bookmarkStart w:id="1803" w:name="xdx_405_ecustom--SharesIssuedForMarketin"/>
            <w:bookmarkEnd w:id="180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75" w:type="dxa"/>
            <w:tcBorders/>
            <w:shd w:fill="CCEEFF" w:val="clear"/>
            <w:vAlign w:val="center"/>
          </w:tcPr>
          <w:p>
            <w:pPr>
              <w:pStyle w:val="TableContents"/>
              <w:bidi w:val="0"/>
              <w:spacing w:before="0" w:after="283"/>
              <w:jc w:val="left"/>
              <w:rPr/>
            </w:pPr>
            <w:r>
              <w:rPr/>
              <w:t> </w:t>
            </w:r>
            <w:bookmarkStart w:id="1804" w:name="xdx_401_ecustom--SharesIssuedForInvestor"/>
            <w:bookmarkEnd w:id="180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75" w:type="dxa"/>
            <w:tcBorders/>
            <w:shd w:fill="FFFFFF" w:val="clear"/>
            <w:vAlign w:val="center"/>
          </w:tcPr>
          <w:p>
            <w:pPr>
              <w:pStyle w:val="TableContents"/>
              <w:bidi w:val="0"/>
              <w:spacing w:before="0" w:after="283"/>
              <w:jc w:val="left"/>
              <w:rPr/>
            </w:pPr>
            <w:r>
              <w:rPr/>
              <w:t> </w:t>
            </w:r>
            <w:bookmarkStart w:id="1805" w:name="xdx_40A_ecustom--SharesIssuedForPaymentO"/>
            <w:bookmarkEnd w:id="180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bookmarkStart w:id="1806" w:name="xdx_402_ecustom--SharesIssuedForExercise"/>
            <w:bookmarkEnd w:id="180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75" w:type="dxa"/>
            <w:tcBorders/>
            <w:shd w:fill="FFFFFF" w:val="clear"/>
            <w:vAlign w:val="center"/>
          </w:tcPr>
          <w:p>
            <w:pPr>
              <w:pStyle w:val="TableContents"/>
              <w:bidi w:val="0"/>
              <w:spacing w:before="0" w:after="283"/>
              <w:jc w:val="left"/>
              <w:rPr/>
            </w:pPr>
            <w:r>
              <w:rPr/>
              <w:t> </w:t>
            </w:r>
            <w:bookmarkStart w:id="1807" w:name="xdx_40B_ecustom--DeemedDividendSeriesAAn"/>
            <w:bookmarkEnd w:id="180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75" w:type="dxa"/>
            <w:tcBorders/>
            <w:shd w:fill="CCEEFF" w:val="clear"/>
            <w:vAlign w:val="center"/>
          </w:tcPr>
          <w:p>
            <w:pPr>
              <w:pStyle w:val="TableContents"/>
              <w:bidi w:val="0"/>
              <w:spacing w:before="0" w:after="283"/>
              <w:jc w:val="left"/>
              <w:rPr/>
            </w:pPr>
            <w:r>
              <w:rPr/>
              <w:t> </w:t>
            </w:r>
            <w:bookmarkStart w:id="1808" w:name="xdx_404_ecustom--SharesIssuedForDebtRest"/>
            <w:bookmarkEnd w:id="180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75" w:type="dxa"/>
            <w:tcBorders/>
            <w:shd w:fill="FFFFFF" w:val="clear"/>
            <w:vAlign w:val="center"/>
          </w:tcPr>
          <w:p>
            <w:pPr>
              <w:pStyle w:val="TableContents"/>
              <w:bidi w:val="0"/>
              <w:spacing w:before="0" w:after="283"/>
              <w:jc w:val="left"/>
              <w:rPr/>
            </w:pPr>
            <w:r>
              <w:rPr/>
              <w:t> </w:t>
            </w:r>
            <w:bookmarkStart w:id="1809" w:name="xdx_400_ecustom--WarrantsAndPrefundedWar"/>
            <w:bookmarkEnd w:id="180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CP BF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75" w:type="dxa"/>
            <w:tcBorders/>
            <w:shd w:fill="CCEEFF" w:val="clear"/>
            <w:vAlign w:val="center"/>
          </w:tcPr>
          <w:p>
            <w:pPr>
              <w:pStyle w:val="TableContents"/>
              <w:bidi w:val="0"/>
              <w:spacing w:before="0" w:after="283"/>
              <w:jc w:val="left"/>
              <w:rPr/>
            </w:pPr>
            <w:r>
              <w:rPr/>
              <w:t> </w:t>
            </w:r>
            <w:bookmarkStart w:id="1810" w:name="xdx_408_ecustom--PremiumIssuedAsPartOfCp"/>
            <w:bookmarkEnd w:id="181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75" w:type="dxa"/>
            <w:tcBorders/>
            <w:shd w:fill="FFFFFF" w:val="clear"/>
            <w:vAlign w:val="center"/>
          </w:tcPr>
          <w:p>
            <w:pPr>
              <w:pStyle w:val="TableContents"/>
              <w:bidi w:val="0"/>
              <w:spacing w:before="0" w:after="283"/>
              <w:jc w:val="left"/>
              <w:rPr/>
            </w:pPr>
            <w:r>
              <w:rPr/>
              <w:t> </w:t>
            </w:r>
            <w:bookmarkStart w:id="1811" w:name="xdx_40C_ecustom--SharesIssuedToDebtRestr"/>
            <w:bookmarkEnd w:id="181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Alco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1,098,614</w:t>
            </w:r>
          </w:p>
        </w:tc>
        <w:tc>
          <w:tcPr>
            <w:tcW w:w="75" w:type="dxa"/>
            <w:tcBorders/>
            <w:shd w:fill="CCEEFF" w:val="clear"/>
            <w:vAlign w:val="center"/>
          </w:tcPr>
          <w:p>
            <w:pPr>
              <w:pStyle w:val="TableContents"/>
              <w:bidi w:val="0"/>
              <w:spacing w:before="0" w:after="283"/>
              <w:jc w:val="left"/>
              <w:rPr/>
            </w:pPr>
            <w:r>
              <w:rPr/>
              <w:t> </w:t>
            </w:r>
            <w:bookmarkStart w:id="1812" w:name="xdx_406_ecustom--WarrantsAndPreFundedWar"/>
            <w:bookmarkEnd w:id="181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Alco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7,768,006</w:t>
            </w:r>
          </w:p>
        </w:tc>
        <w:tc>
          <w:tcPr>
            <w:tcW w:w="75" w:type="dxa"/>
            <w:tcBorders/>
            <w:shd w:fill="FFFFFF" w:val="clear"/>
            <w:vAlign w:val="center"/>
          </w:tcPr>
          <w:p>
            <w:pPr>
              <w:pStyle w:val="TableContents"/>
              <w:bidi w:val="0"/>
              <w:spacing w:before="0" w:after="283"/>
              <w:jc w:val="left"/>
              <w:rPr/>
            </w:pPr>
            <w:r>
              <w:rPr/>
              <w:t> </w:t>
            </w:r>
            <w:bookmarkStart w:id="1813" w:name="xdx_402_ecustom--SharesIssuedForHudsonCo"/>
            <w:bookmarkEnd w:id="181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Hudson consulting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75" w:type="dxa"/>
            <w:tcBorders/>
            <w:shd w:fill="CCEEFF" w:val="clear"/>
            <w:vAlign w:val="center"/>
          </w:tcPr>
          <w:p>
            <w:pPr>
              <w:pStyle w:val="TableContents"/>
              <w:bidi w:val="0"/>
              <w:spacing w:before="0" w:after="283"/>
              <w:jc w:val="left"/>
              <w:rPr/>
            </w:pPr>
            <w:r>
              <w:rPr/>
              <w:t> </w:t>
            </w:r>
            <w:bookmarkStart w:id="1814" w:name="xdx_402_ecustom--SharesIssuedForPaymentT"/>
            <w:bookmarkEnd w:id="181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15" w:name="xdx_40C_ecustom--SharesIssuedToPerkinsCo"/>
            <w:bookmarkEnd w:id="181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75" w:type="dxa"/>
            <w:tcBorders/>
            <w:shd w:fill="CCEEFF" w:val="clear"/>
            <w:vAlign w:val="center"/>
          </w:tcPr>
          <w:p>
            <w:pPr>
              <w:pStyle w:val="TableContents"/>
              <w:bidi w:val="0"/>
              <w:spacing w:before="0" w:after="283"/>
              <w:jc w:val="left"/>
              <w:rPr/>
            </w:pPr>
            <w:r>
              <w:rPr/>
              <w:t> </w:t>
            </w:r>
            <w:bookmarkStart w:id="1816" w:name="xdx_40F_ecustom--SettlementOfGEMCommitme"/>
            <w:bookmarkEnd w:id="181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GEM commitment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vAlign w:val="center"/>
          </w:tcPr>
          <w:p>
            <w:pPr>
              <w:pStyle w:val="TableContents"/>
              <w:bidi w:val="0"/>
              <w:spacing w:before="0" w:after="283"/>
              <w:jc w:val="left"/>
              <w:rPr/>
            </w:pPr>
            <w:r>
              <w:rPr/>
              <w:t> </w:t>
            </w:r>
            <w:bookmarkStart w:id="1817" w:name="xdx_403_ecustom--SharesIssuedToYorkville"/>
            <w:bookmarkEnd w:id="181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75" w:type="dxa"/>
            <w:tcBorders/>
            <w:shd w:fill="CCEEFF" w:val="clear"/>
            <w:vAlign w:val="center"/>
          </w:tcPr>
          <w:p>
            <w:pPr>
              <w:pStyle w:val="TableContents"/>
              <w:bidi w:val="0"/>
              <w:spacing w:before="0" w:after="283"/>
              <w:jc w:val="left"/>
              <w:rPr/>
            </w:pPr>
            <w:r>
              <w:rPr/>
              <w:t> </w:t>
            </w:r>
            <w:bookmarkStart w:id="1818" w:name="xdx_403_ecustom--DerecognitionOfCantorFe"/>
            <w:bookmarkEnd w:id="181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75" w:type="dxa"/>
            <w:tcBorders/>
            <w:shd w:fill="FFFFFF" w:val="clear"/>
            <w:vAlign w:val="center"/>
          </w:tcPr>
          <w:p>
            <w:pPr>
              <w:pStyle w:val="TableContents"/>
              <w:bidi w:val="0"/>
              <w:spacing w:before="0" w:after="283"/>
              <w:jc w:val="left"/>
              <w:rPr/>
            </w:pPr>
            <w:r>
              <w:rPr/>
              <w:t> </w:t>
            </w:r>
            <w:bookmarkStart w:id="1819" w:name="xdx_407_ecustom--ConsiderationTransferre"/>
            <w:bookmarkEnd w:id="181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20" w:name="xdx_40F_ecustom--AssetsAcquiredInAcquisi"/>
            <w:bookmarkEnd w:id="182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21" w:name="xdx_40E_ecustom--LiabilitiesAssumedInAcq"/>
            <w:bookmarkEnd w:id="182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22" w:name="xdx_40E_ecustom--ConsiderationTransferre"/>
            <w:bookmarkEnd w:id="182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20,826,920</w:t>
            </w:r>
          </w:p>
        </w:tc>
        <w:tc>
          <w:tcPr>
            <w:tcW w:w="75" w:type="dxa"/>
            <w:tcBorders/>
            <w:shd w:fill="FFFFFF" w:val="clear"/>
            <w:vAlign w:val="center"/>
          </w:tcPr>
          <w:p>
            <w:pPr>
              <w:pStyle w:val="TableContents"/>
              <w:bidi w:val="0"/>
              <w:spacing w:before="0" w:after="283"/>
              <w:jc w:val="left"/>
              <w:rPr/>
            </w:pPr>
            <w:r>
              <w:rPr/>
              <w:t> </w:t>
            </w:r>
            <w:bookmarkStart w:id="1823" w:name="xdx_405_ecustom--AssetsAcquiredInAcquisi"/>
            <w:bookmarkEnd w:id="182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OpenReel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24,484,460</w:t>
            </w:r>
          </w:p>
        </w:tc>
        <w:tc>
          <w:tcPr>
            <w:tcW w:w="75" w:type="dxa"/>
            <w:tcBorders/>
            <w:shd w:fill="CCEEFF" w:val="clear"/>
            <w:vAlign w:val="center"/>
          </w:tcPr>
          <w:p>
            <w:pPr>
              <w:pStyle w:val="TableContents"/>
              <w:bidi w:val="0"/>
              <w:spacing w:before="0" w:after="283"/>
              <w:jc w:val="left"/>
              <w:rPr/>
            </w:pPr>
            <w:r>
              <w:rPr/>
              <w:t> </w:t>
            </w:r>
            <w:bookmarkStart w:id="1824" w:name="xdx_400_ecustom--LiabilitiesAssumedInAcq"/>
            <w:bookmarkEnd w:id="1824"/>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3,657,540</w:t>
            </w:r>
          </w:p>
        </w:tc>
        <w:tc>
          <w:tcPr>
            <w:tcW w:w="75" w:type="dxa"/>
            <w:tcBorders/>
            <w:shd w:fill="FFFFFF" w:val="clear"/>
            <w:vAlign w:val="center"/>
          </w:tcPr>
          <w:p>
            <w:pPr>
              <w:pStyle w:val="TableContents"/>
              <w:bidi w:val="0"/>
              <w:spacing w:before="0" w:after="283"/>
              <w:jc w:val="left"/>
              <w:rPr/>
            </w:pPr>
            <w:r>
              <w:rPr/>
              <w:t> </w:t>
            </w:r>
            <w:bookmarkStart w:id="1825" w:name="xdx_406_ecustom--RightofuseAssetsObtaine"/>
            <w:bookmarkEnd w:id="1825"/>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75" w:type="dxa"/>
            <w:tcBorders/>
            <w:shd w:fill="CCEEFF" w:val="clear"/>
            <w:vAlign w:val="center"/>
          </w:tcPr>
          <w:p>
            <w:pPr>
              <w:pStyle w:val="TableContents"/>
              <w:bidi w:val="0"/>
              <w:spacing w:before="0" w:after="283"/>
              <w:jc w:val="left"/>
              <w:rPr/>
            </w:pPr>
            <w:r>
              <w:rPr/>
              <w:t> </w:t>
            </w:r>
            <w:bookmarkStart w:id="1826" w:name="xdx_40C_ecustom--ConversionOfPrivatePlac"/>
            <w:bookmarkEnd w:id="1826"/>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27" w:name="xdx_40F_ecustom--SharesIssuedForPayments"/>
            <w:bookmarkEnd w:id="1827"/>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28" w:name="xdx_405_ecustom--SharesIssuedForDiagonal"/>
            <w:bookmarkEnd w:id="1828"/>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29" w:name="xdx_403_ecustom--SharesIssuedToYorkville"/>
            <w:bookmarkEnd w:id="1829"/>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of aggregate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CCEEFF" w:val="clear"/>
            <w:vAlign w:val="center"/>
          </w:tcPr>
          <w:p>
            <w:pPr>
              <w:pStyle w:val="TableContents"/>
              <w:bidi w:val="0"/>
              <w:spacing w:before="0" w:after="283"/>
              <w:jc w:val="left"/>
              <w:rPr/>
            </w:pPr>
            <w:r>
              <w:rPr/>
              <w:t> </w:t>
            </w:r>
            <w:bookmarkStart w:id="1830" w:name="xdx_40D_ecustom--IssuanceOfConvertiblePr"/>
            <w:bookmarkEnd w:id="1830"/>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promissory note –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vAlign w:val="center"/>
          </w:tcPr>
          <w:p>
            <w:pPr>
              <w:pStyle w:val="TableContents"/>
              <w:bidi w:val="0"/>
              <w:spacing w:before="0" w:after="283"/>
              <w:jc w:val="left"/>
              <w:rPr/>
            </w:pPr>
            <w:r>
              <w:rPr/>
              <w:t> </w:t>
            </w:r>
            <w:bookmarkStart w:id="1831" w:name="xdx_40E_ecustom--BifurcatedEmbeddedDeriv"/>
            <w:bookmarkEnd w:id="1831"/>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liabilities at issuance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bookmarkStart w:id="1832" w:name="xdx_407_ecustom--ConversionOfConvertible"/>
            <w:bookmarkEnd w:id="1832"/>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75" w:type="dxa"/>
            <w:tcBorders/>
            <w:shd w:fill="FFFFFF" w:val="clear"/>
            <w:vAlign w:val="center"/>
          </w:tcPr>
          <w:p>
            <w:pPr>
              <w:pStyle w:val="TableContents"/>
              <w:bidi w:val="0"/>
              <w:spacing w:before="0" w:after="283"/>
              <w:jc w:val="left"/>
              <w:rPr/>
            </w:pPr>
            <w:r>
              <w:rPr/>
              <w:t> </w:t>
            </w:r>
            <w:bookmarkStart w:id="1833" w:name="xdx_40F_ecustom--ConversionOfConvertible"/>
            <w:bookmarkEnd w:id="1833"/>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1834" w:name="xdx_043_c20250101__20251231_zudWBlLg9Efh"/>
      <w:bookmarkEnd w:id="183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35" w:name="ta_007"/>
      <w:bookmarkEnd w:id="183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36" w:name="xdx_80C_eus-gaap--OrganizationConsolidat"/>
      <w:bookmarkEnd w:id="1836"/>
      <w:r>
        <w:rPr>
          <w:rFonts w:ascii="Times New Roman;Times;Serif" w:hAnsi="Times New Roman;Times;Serif"/>
          <w:b/>
          <w:i w:val="false"/>
          <w:caps w:val="false"/>
          <w:smallCaps w:val="false"/>
          <w:sz w:val="20"/>
        </w:rPr>
        <w:t xml:space="preserve">1. </w:t>
      </w:r>
      <w:bookmarkStart w:id="1837" w:name="xdx_823_zjUJb0gHBQMf"/>
      <w:bookmarkEnd w:id="1837"/>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(the “Company” or “Banzai”) was incorporated in Delaware on </w:t>
      </w:r>
      <w:bookmarkStart w:id="1838" w:name="xdx_900_edei--EntityIncorporationDateOfI"/>
      <w:bookmarkEnd w:id="1838"/>
      <w:r>
        <w:rPr>
          <w:rFonts w:ascii="Times New Roman;Times;Serif" w:hAnsi="Times New Roman;Times;Serif"/>
          <w:b w:val="false"/>
          <w:i w:val="false"/>
          <w:caps w:val="false"/>
          <w:smallCaps w:val="false"/>
          <w:sz w:val="20"/>
        </w:rPr>
        <w:t>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39" w:name="xdx_902_eus-gaap--StockholdersEquityReve"/>
      <w:bookmarkEnd w:id="1839"/>
      <w:r>
        <w:rPr>
          <w:rFonts w:ascii="Times New Roman;Times;Serif" w:hAnsi="Times New Roman;Times;Serif"/>
          <w:b w:val="false"/>
          <w:i w:val="false"/>
          <w:caps w:val="false"/>
          <w:smallCaps w:val="false"/>
          <w:sz w:val="20"/>
        </w:rPr>
        <w:t xml:space="preserve">On August 29, 2024, the stockholders of the Company collectively approved an amendment to the Company’s Certificate of Incorporation, as amended and restated, to effect a reverse stock split (the “2024 Reverse Stock Split”) of the Company’s outstanding Class A Common Stock at a ratio of </w:t>
      </w:r>
      <w:bookmarkStart w:id="1840" w:name="xdx_90E_eus-gaap--StockholdersEquityNote"/>
      <w:bookmarkEnd w:id="1840"/>
      <w:r>
        <w:rPr>
          <w:rFonts w:ascii="Times New Roman;Times;Serif" w:hAnsi="Times New Roman;Times;Serif"/>
          <w:b w:val="false"/>
          <w:i w:val="false"/>
          <w:caps w:val="false"/>
          <w:smallCaps w:val="false"/>
          <w:sz w:val="20"/>
        </w:rPr>
        <w:t>1-for-50 effective as of September 19, 2024. The Class B Common Stock was not affected by the 2024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w:t>
      </w:r>
      <w:bookmarkStart w:id="1841" w:name="xdx_904_eus-gaap--StockholdersEquityReve"/>
      <w:bookmarkEnd w:id="1841"/>
      <w:r>
        <w:rPr>
          <w:rFonts w:ascii="Times New Roman;Times;Serif" w:hAnsi="Times New Roman;Times;Serif"/>
          <w:b w:val="false"/>
          <w:i w:val="false"/>
          <w:caps w:val="false"/>
          <w:smallCaps w:val="false"/>
          <w:sz w:val="20"/>
        </w:rPr>
        <w:t>1-for-10 effective on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stockholders of the Company collectively approved an amendment to the Company’s Certificate of Incorporation, as amended and restated, to effect a reverse stock split (the “2026 Reverse Stock Split”) of the Company’s outstanding Class A Common Stock and Class B Common Stock at a ratio of 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2024 Reverse Stock Split, 2025 Reverse Stock Split, and the 2026 Reverse Stock Split (collectively, the “Reverse Stock Splits”) and instead the Company rounded up to the next whole share in lieu of issuing fractional shares that would have been issued in the reverse split. The par value per share remained unchanged, and the reduction in the Common Stock account was credited to Additional Paid-in Capital. No change was made to total shareholders’ equity as a result of the Reverse Stock Splits.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prospectus has been retroactively adjusted to reflect the impact of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42" w:name="xdx_80B_eus-gaap--SubstantialDoubtAboutG"/>
      <w:bookmarkEnd w:id="1842"/>
      <w:r>
        <w:rPr>
          <w:rFonts w:ascii="Times New Roman;Times;Serif" w:hAnsi="Times New Roman;Times;Serif"/>
          <w:b/>
          <w:i w:val="false"/>
          <w:caps w:val="false"/>
          <w:smallCaps w:val="false"/>
          <w:sz w:val="20"/>
        </w:rPr>
        <w:t xml:space="preserve">2. </w:t>
      </w:r>
      <w:bookmarkStart w:id="1843" w:name="xdx_82A_z0RoOGRnxqpf"/>
      <w:bookmarkEnd w:id="1843"/>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w:t>
      </w:r>
      <w:bookmarkStart w:id="1844" w:name="xdx_90F_eus-gaap--Cash_iI_pn5n6_c2025123"/>
      <w:bookmarkEnd w:id="1844"/>
      <w:r>
        <w:rPr>
          <w:rFonts w:ascii="Times New Roman;Times;Serif" w:hAnsi="Times New Roman;Times;Serif"/>
          <w:b w:val="false"/>
          <w:i w:val="false"/>
          <w:caps w:val="false"/>
          <w:smallCaps w:val="false"/>
          <w:sz w:val="20"/>
        </w:rPr>
        <w:t>0.3 million. For the year ended December 31, 2025, the Company used approximately $</w:t>
      </w:r>
      <w:bookmarkStart w:id="1845" w:name="xdx_905_eus-gaap--NetCashProvidedByUsedI"/>
      <w:bookmarkEnd w:id="1845"/>
      <w:r>
        <w:rPr>
          <w:rFonts w:ascii="Times New Roman;Times;Serif" w:hAnsi="Times New Roman;Times;Serif"/>
          <w:b w:val="false"/>
          <w:i w:val="false"/>
          <w:caps w:val="false"/>
          <w:smallCaps w:val="false"/>
          <w:sz w:val="20"/>
        </w:rPr>
        <w:t>15.7 million in cash for operating activities. The Company has incurred recurring net losses from operations and negative cash flows from operating activities since inception. As of December 31, 2025, the Company had an accumulated deficit of approximately $</w:t>
      </w:r>
      <w:bookmarkStart w:id="1846" w:name="xdx_907_eus-gaap--RetainedEarningsAccumu"/>
      <w:bookmarkEnd w:id="1846"/>
      <w:r>
        <w:rPr>
          <w:rFonts w:ascii="Times New Roman;Times;Serif" w:hAnsi="Times New Roman;Times;Serif"/>
          <w:b w:val="false"/>
          <w:i w:val="false"/>
          <w:caps w:val="false"/>
          <w:smallCaps w:val="false"/>
          <w:sz w:val="20"/>
        </w:rPr>
        <w:t>100.8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47" w:name="xdx_805_eus-gaap--SignificantAccountingP"/>
      <w:bookmarkEnd w:id="1847"/>
      <w:r>
        <w:rPr>
          <w:rFonts w:ascii="Times New Roman;Times;Serif" w:hAnsi="Times New Roman;Times;Serif"/>
          <w:b/>
          <w:i w:val="false"/>
          <w:caps w:val="false"/>
          <w:smallCaps w:val="false"/>
          <w:sz w:val="20"/>
        </w:rPr>
        <w:t xml:space="preserve">3. </w:t>
      </w:r>
      <w:bookmarkStart w:id="1848" w:name="xdx_82D_ze9OvTveNzl2"/>
      <w:bookmarkEnd w:id="184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49" w:name="xdx_86E_zvYedFoks0Ie"/>
      <w:bookmarkStart w:id="1850" w:name="xdx_84E_eus-gaap--BasisOfPresentationAnd"/>
      <w:bookmarkEnd w:id="1849"/>
      <w:bookmarkEnd w:id="1850"/>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51" w:name="xdx_861_zbfaaugOaa8g"/>
      <w:bookmarkStart w:id="1852" w:name="xdx_845_eus-gaap--ConsolidationPolicyTex"/>
      <w:bookmarkEnd w:id="1851"/>
      <w:bookmarkEnd w:id="1852"/>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53" w:name="xdx_867_zDAD4pwAOYMl"/>
      <w:bookmarkStart w:id="1854" w:name="xdx_841_eus-gaap--UseOfEstimates_zeH10MU"/>
      <w:bookmarkEnd w:id="1853"/>
      <w:bookmarkEnd w:id="1854"/>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55" w:name="xdx_861_zBxAaBcwn6W9"/>
      <w:bookmarkStart w:id="1856" w:name="xdx_845_ecustom--CertainRisksAndUncertai"/>
      <w:bookmarkEnd w:id="1855"/>
      <w:bookmarkEnd w:id="1856"/>
      <w:r>
        <w:rPr>
          <w:rFonts w:ascii="Times New Roman;Times;Serif" w:hAnsi="Times New Roman;Times;Serif"/>
          <w:b/>
          <w:i/>
          <w:caps w:val="false"/>
          <w:smallCaps w:val="false"/>
          <w:sz w:val="20"/>
        </w:rPr>
        <w:t>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57" w:name="xdx_845_eus-gaap--CashAndCashEquivalents"/>
      <w:bookmarkEnd w:id="1857"/>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highly liquid investments purchased with original maturities of 90 days or less to be cash equivalents. As of December 31, 2025 and 2024, respectively, the Company does </w:t>
      </w:r>
      <w:bookmarkStart w:id="1858" w:name="xdx_90A_eus-gaap--CashEquivalentsAtCarry"/>
      <w:bookmarkStart w:id="1859" w:name="xdx_90A_eus-gaap--CashEquivalentsAtCarry"/>
      <w:bookmarkEnd w:id="1858"/>
      <w:bookmarkEnd w:id="1859"/>
      <w:r>
        <w:rPr>
          <w:rFonts w:ascii="Times New Roman;Times;Serif" w:hAnsi="Times New Roman;Times;Serif"/>
          <w:b w:val="false"/>
          <w:i w:val="false"/>
          <w:caps w:val="false"/>
          <w:smallCaps w:val="false"/>
          <w:sz w:val="20"/>
        </w:rPr>
        <w:t>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60" w:name="xdx_862_z9jqyE4SCi76"/>
      <w:bookmarkStart w:id="1861" w:name="xdx_842_eus-gaap--CreditLossFinancialIns"/>
      <w:bookmarkEnd w:id="1860"/>
      <w:bookmarkEnd w:id="1861"/>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62" w:name="xdx_89D_eus-gaap--AccountsReceivableAllo"/>
      <w:bookmarkEnd w:id="1862"/>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63" w:name="xdx_8B4_zIWkNmex8mw1"/>
      <w:bookmarkEnd w:id="1863"/>
      <w:r>
        <w:rPr>
          <w:rFonts w:ascii="Times New Roman;Times;Serif" w:hAnsi="Times New Roman;Times;Serif"/>
          <w:b w:val="false"/>
          <w:i w:val="false"/>
          <w:caps w:val="false"/>
          <w:smallCaps w:val="false"/>
          <w:sz w:val="20"/>
        </w:rPr>
        <w:t>Summary of Changes in Allowance for Credit Losses</w:t>
      </w:r>
    </w:p>
    <w:tbl>
      <w:tblPr>
        <w:tblW w:w="4425" w:type="dxa"/>
        <w:jc w:val="left"/>
        <w:tblInd w:w="0" w:type="dxa"/>
        <w:tblLayout w:type="fixed"/>
        <w:tblCellMar>
          <w:top w:w="0" w:type="dxa"/>
          <w:left w:w="0" w:type="dxa"/>
          <w:bottom w:w="0" w:type="dxa"/>
          <w:right w:w="0" w:type="dxa"/>
        </w:tblCellMar>
      </w:tblPr>
      <w:tblGrid>
        <w:gridCol w:w="3485"/>
        <w:gridCol w:w="60"/>
        <w:gridCol w:w="125"/>
        <w:gridCol w:w="680"/>
        <w:gridCol w:w="75"/>
      </w:tblGrid>
      <w:tr>
        <w:trPr/>
        <w:tc>
          <w:tcPr>
            <w:tcW w:w="3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5" w:type="dxa"/>
            <w:tcBorders/>
            <w:shd w:fill="CCEEFF" w:val="clear"/>
            <w:vAlign w:val="center"/>
          </w:tcPr>
          <w:p>
            <w:pPr>
              <w:pStyle w:val="TableContents"/>
              <w:bidi w:val="0"/>
              <w:spacing w:before="0" w:after="283"/>
              <w:jc w:val="center"/>
              <w:rPr/>
            </w:pPr>
            <w:r>
              <w:rPr/>
              <w:t> </w:t>
            </w:r>
            <w:bookmarkStart w:id="1864" w:name="xdx_4B1_zERsm9To02y8"/>
            <w:bookmarkEnd w:id="1864"/>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1865" w:name="xdx_432_c20250101__20251231_eus-gaap--Al"/>
            <w:bookmarkEnd w:id="1865"/>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24,210</w:t>
            </w:r>
          </w:p>
        </w:tc>
        <w:tc>
          <w:tcPr>
            <w:tcW w:w="75" w:type="dxa"/>
            <w:tcBorders/>
            <w:shd w:fill="CCEEFF" w:val="clear"/>
            <w:vAlign w:val="center"/>
          </w:tcPr>
          <w:p>
            <w:pPr>
              <w:pStyle w:val="TableContents"/>
              <w:bidi w:val="0"/>
              <w:spacing w:before="0" w:after="283"/>
              <w:jc w:val="left"/>
              <w:rPr/>
            </w:pPr>
            <w:r>
              <w:rPr/>
              <w:t> </w:t>
            </w:r>
            <w:bookmarkStart w:id="1866" w:name="xdx_408_eus-gaap--AllowanceForDoubtfulAc"/>
            <w:bookmarkEnd w:id="1866"/>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75" w:type="dxa"/>
            <w:tcBorders/>
            <w:shd w:fill="FFFFFF" w:val="clear"/>
            <w:vAlign w:val="center"/>
          </w:tcPr>
          <w:p>
            <w:pPr>
              <w:pStyle w:val="TableContents"/>
              <w:bidi w:val="0"/>
              <w:spacing w:before="0" w:after="283"/>
              <w:jc w:val="left"/>
              <w:rPr/>
            </w:pPr>
            <w:r>
              <w:rPr/>
              <w:t> </w:t>
            </w:r>
            <w:bookmarkStart w:id="1867" w:name="xdx_431_c20250101__20251231_eus-gaap--Al"/>
            <w:bookmarkEnd w:id="1867"/>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68" w:name="xdx_8A1_zBbu1pbOntG"/>
      <w:bookmarkEnd w:id="1868"/>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69" w:name="xdx_86C_zFQIOoqKJPak"/>
      <w:bookmarkStart w:id="1870" w:name="xdx_848_eus-gaap--CommissionsPolicy_z4iu"/>
      <w:bookmarkEnd w:id="1869"/>
      <w:bookmarkEnd w:id="1870"/>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71" w:name="xdx_86F_zHEJZSK9ABF8"/>
      <w:bookmarkStart w:id="1872" w:name="xdx_846_eus-gaap--PropertyPlantAndEquipm"/>
      <w:bookmarkEnd w:id="1871"/>
      <w:bookmarkEnd w:id="1872"/>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w:t>
      </w:r>
      <w:bookmarkStart w:id="1873" w:name="xdx_908_eus-gaap--PropertyPlantAndEquipm"/>
      <w:bookmarkEnd w:id="1873"/>
      <w:r>
        <w:rPr>
          <w:rFonts w:ascii="Times New Roman;Times;Serif" w:hAnsi="Times New Roman;Times;Serif"/>
          <w:b w:val="false"/>
          <w:i w:val="false"/>
          <w:caps w:val="false"/>
          <w:smallCaps w:val="false"/>
          <w:sz w:val="20"/>
        </w:rPr>
        <w:t>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74" w:name="xdx_863_zX7noka24Kog"/>
      <w:bookmarkStart w:id="1875" w:name="xdx_84A_eus-gaap--GoodwillAndIntangibleA"/>
      <w:bookmarkEnd w:id="1874"/>
      <w:bookmarkEnd w:id="1875"/>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identify our reporting units in accordance with the FASB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At December 31, 2025, the Company has </w:t>
      </w:r>
      <w:bookmarkStart w:id="1876" w:name="xdx_908_eus-gaap--NumberOfOperatingSegme"/>
      <w:bookmarkEnd w:id="1876"/>
      <w:r>
        <w:rPr>
          <w:rFonts w:ascii="Times New Roman;Times;Serif" w:hAnsi="Times New Roman;Times;Serif"/>
          <w:b w:val="false"/>
          <w:i w:val="false"/>
          <w:caps w:val="false"/>
          <w:smallCaps w:val="false"/>
          <w:sz w:val="20"/>
        </w:rPr>
        <w:t>three operating segments which were deemed to be its reporting units, and goodwill is allocated to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its long-lived assets for potential impairment in accordance with FASB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xml:space="preserve">.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w:t>
      </w:r>
      <w:bookmarkStart w:id="1877" w:name="xdx_901_eus-gaap--ImpairmentOfIntangible"/>
      <w:bookmarkEnd w:id="1877"/>
      <w:r>
        <w:rPr>
          <w:rFonts w:ascii="Times New Roman;Times;Serif" w:hAnsi="Times New Roman;Times;Serif"/>
          <w:b w:val="false"/>
          <w:i w:val="false"/>
          <w:caps w:val="false"/>
          <w:smallCaps w:val="false"/>
          <w:sz w:val="20"/>
        </w:rPr>
        <w:t>not recognized any impairment charges on intangible assets through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78" w:name="xdx_864_zUzz0JBs1RTi"/>
      <w:bookmarkStart w:id="1879" w:name="xdx_84A_ecustom--WarrantLiabilitiesPolic"/>
      <w:bookmarkEnd w:id="1878"/>
      <w:bookmarkEnd w:id="1879"/>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880" w:name="xdx_86C_z1MYqCe76Fed"/>
      <w:bookmarkStart w:id="1881" w:name="xdx_840_eus-gaap--ConcentrationRiskCredi"/>
      <w:bookmarkEnd w:id="1880"/>
      <w:bookmarkEnd w:id="1881"/>
      <w:r>
        <w:rPr>
          <w:rFonts w:ascii="Times New Roman;Times;Serif" w:hAnsi="Times New Roman;Times;Serif"/>
          <w:b/>
          <w:i/>
          <w:caps w:val="false"/>
          <w:smallCaps w:val="false"/>
          <w:sz w:val="20"/>
        </w:rPr>
        <w:t>Concentration of Business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one customer accounted for </w:t>
      </w:r>
      <w:bookmarkStart w:id="1882" w:name="xdx_908_eus-gaap--ConcentrationRiskPerce"/>
      <w:bookmarkEnd w:id="1882"/>
      <w:r>
        <w:rPr>
          <w:rFonts w:ascii="Times New Roman;Times;Serif" w:hAnsi="Times New Roman;Times;Serif"/>
          <w:b w:val="false"/>
          <w:i w:val="false"/>
          <w:caps w:val="false"/>
          <w:smallCaps w:val="false"/>
          <w:sz w:val="20"/>
        </w:rPr>
        <w:t xml:space="preserve">10% or more of accounts receivable with a concentration of </w:t>
      </w:r>
      <w:bookmarkStart w:id="1883" w:name="xdx_908_eus-gaap--ConcentrationRiskPerce"/>
      <w:bookmarkEnd w:id="1883"/>
      <w:r>
        <w:rPr>
          <w:rFonts w:ascii="Times New Roman;Times;Serif" w:hAnsi="Times New Roman;Times;Serif"/>
          <w:b w:val="false"/>
          <w:i w:val="false"/>
          <w:caps w:val="false"/>
          <w:smallCaps w:val="false"/>
          <w:sz w:val="20"/>
        </w:rPr>
        <w:t xml:space="preserve">13% of the total accounts receivable balance. At December 31, 2024, one customer accounted for </w:t>
      </w:r>
      <w:bookmarkStart w:id="1884" w:name="xdx_901_eus-gaap--ConcentrationRiskPerce"/>
      <w:bookmarkEnd w:id="1884"/>
      <w:r>
        <w:rPr>
          <w:rFonts w:ascii="Times New Roman;Times;Serif" w:hAnsi="Times New Roman;Times;Serif"/>
          <w:b w:val="false"/>
          <w:i w:val="false"/>
          <w:caps w:val="false"/>
          <w:smallCaps w:val="false"/>
          <w:sz w:val="20"/>
        </w:rPr>
        <w:t xml:space="preserve">10% or more of accounts receivable with a concentration of </w:t>
      </w:r>
      <w:bookmarkStart w:id="1885" w:name="xdx_901_eus-gaap--ConcentrationRiskPerce"/>
      <w:bookmarkEnd w:id="1885"/>
      <w:r>
        <w:rPr>
          <w:rFonts w:ascii="Times New Roman;Times;Serif" w:hAnsi="Times New Roman;Times;Serif"/>
          <w:b w:val="false"/>
          <w:i w:val="false"/>
          <w:caps w:val="false"/>
          <w:smallCaps w:val="false"/>
          <w:sz w:val="20"/>
        </w:rPr>
        <w:t xml:space="preserve">14% of the total accounts receivable balance. For the years ended December 31, 2025 and 2024, </w:t>
      </w:r>
      <w:bookmarkStart w:id="1886" w:name="xdx_908_eus-gaap--ConcentrationRiskPerce"/>
      <w:bookmarkEnd w:id="1886"/>
      <w:r>
        <w:rPr>
          <w:rFonts w:ascii="Times New Roman;Times;Serif" w:hAnsi="Times New Roman;Times;Serif"/>
          <w:b w:val="false"/>
          <w:i w:val="false"/>
          <w:caps w:val="false"/>
          <w:smallCaps w:val="false"/>
          <w:sz w:val="20"/>
        </w:rPr>
        <w:t xml:space="preserve">no customers accounted for </w:t>
      </w:r>
      <w:bookmarkStart w:id="1887" w:name="xdx_90E_eus-gaap--ConcentrationRiskPerce"/>
      <w:bookmarkEnd w:id="1887"/>
      <w:r>
        <w:rPr>
          <w:rFonts w:ascii="Times New Roman;Times;Serif" w:hAnsi="Times New Roman;Times;Serif"/>
          <w:b w:val="false"/>
          <w:i w:val="false"/>
          <w:caps w:val="false"/>
          <w:smallCaps w:val="false"/>
          <w:sz w:val="20"/>
        </w:rPr>
        <w:t>10% or more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and 2024, no suppliers and two suppliers accounted for </w:t>
      </w:r>
      <w:bookmarkStart w:id="1888" w:name="xdx_90D_eus-gaap--ConcentrationRiskPerce"/>
      <w:bookmarkStart w:id="1889" w:name="xdx_90B_eus-gaap--ConcentrationRiskPerce"/>
      <w:bookmarkEnd w:id="1888"/>
      <w:bookmarkEnd w:id="1889"/>
      <w:r>
        <w:rPr>
          <w:rFonts w:ascii="Times New Roman;Times;Serif" w:hAnsi="Times New Roman;Times;Serif"/>
          <w:b w:val="false"/>
          <w:i w:val="false"/>
          <w:caps w:val="false"/>
          <w:smallCaps w:val="false"/>
          <w:sz w:val="20"/>
        </w:rPr>
        <w:t>10% or more of accounts payable,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890" w:name="xdx_86A_zcjImVSa5ljj"/>
      <w:bookmarkStart w:id="1891" w:name="xdx_84D_eus-gaap--EarningsPerSharePolicy"/>
      <w:bookmarkEnd w:id="1890"/>
      <w:bookmarkEnd w:id="1891"/>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92" w:name="xdx_894_eus-gaap--ScheduleOfEarningsPerS"/>
      <w:bookmarkEnd w:id="1892"/>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93" w:name="xdx_8B5_z1h4EfrbkMCf"/>
      <w:bookmarkEnd w:id="1893"/>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568"/>
        <w:gridCol w:w="60"/>
        <w:gridCol w:w="173"/>
        <w:gridCol w:w="1463"/>
        <w:gridCol w:w="117"/>
        <w:gridCol w:w="74"/>
        <w:gridCol w:w="173"/>
        <w:gridCol w:w="1463"/>
        <w:gridCol w:w="114"/>
      </w:tblGrid>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4" w:type="dxa"/>
            <w:tcBorders/>
            <w:vAlign w:val="center"/>
          </w:tcPr>
          <w:p>
            <w:pPr>
              <w:pStyle w:val="TableContents"/>
              <w:bidi w:val="0"/>
              <w:spacing w:before="0" w:after="283"/>
              <w:jc w:val="left"/>
              <w:rPr/>
            </w:pPr>
            <w:r>
              <w:rPr/>
              <w:t> </w:t>
            </w:r>
          </w:p>
        </w:tc>
      </w:tr>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4" w:type="dxa"/>
            <w:tcBorders/>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894" w:name="xdx_906_eus-gaap--NetIncomeLossAvailable"/>
            <w:bookmarkStart w:id="1895" w:name="xdx_90B_eus-gaap--NetIncomeLossAvailable"/>
            <w:bookmarkEnd w:id="1894"/>
            <w:bookmarkEnd w:id="1895"/>
            <w:r>
              <w:rPr>
                <w:rFonts w:ascii="Times New Roman;Times;Serif" w:hAnsi="Times New Roman;Times;Serif"/>
              </w:rPr>
              <w:t>(22,492,075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896" w:name="xdx_900_eus-gaap--NetIncomeLossAvailable"/>
            <w:bookmarkStart w:id="1897" w:name="xdx_904_eus-gaap--NetIncomeLossAvailable"/>
            <w:bookmarkEnd w:id="1896"/>
            <w:bookmarkEnd w:id="1897"/>
            <w:r>
              <w:rPr>
                <w:rFonts w:ascii="Times New Roman;Times;Serif" w:hAnsi="Times New Roman;Times;Serif"/>
              </w:rPr>
              <w:t>(31,095,029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shares—basic and diluted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bookmarkStart w:id="1898" w:name="xdx_908_eus-gaap--WeightedAverageNumberO"/>
            <w:bookmarkEnd w:id="1898"/>
            <w:r>
              <w:rPr>
                <w:rFonts w:ascii="Times New Roman;Times;Serif" w:hAnsi="Times New Roman;Times;Serif"/>
              </w:rPr>
              <w:t>189,150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bookmarkStart w:id="1899" w:name="xdx_908_eus-gaap--WeightedAverageNumberO"/>
            <w:bookmarkEnd w:id="1899"/>
            <w:r>
              <w:rPr>
                <w:rFonts w:ascii="Times New Roman;Times;Serif" w:hAnsi="Times New Roman;Times;Serif"/>
              </w:rPr>
              <w:t>22,291</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00" w:name="xdx_90A_eus-gaap--EarningsPerShareDilute"/>
            <w:bookmarkEnd w:id="1900"/>
            <w:r>
              <w:rPr>
                <w:rFonts w:ascii="Times New Roman;Times;Serif" w:hAnsi="Times New Roman;Times;Serif"/>
              </w:rPr>
              <w:t>(118.91</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bookmarkStart w:id="1901" w:name="xdx_903_eus-gaap--EarningsPerShareDilute"/>
            <w:bookmarkEnd w:id="1901"/>
            <w:r>
              <w:rPr>
                <w:rFonts w:ascii="Times New Roman;Times;Serif" w:hAnsi="Times New Roman;Times;Serif"/>
              </w:rPr>
              <w:t>(1,394.94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1902" w:name="xdx_8A4_z5P6ATxOZUo4"/>
      <w:bookmarkEnd w:id="190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03" w:name="xdx_89F_eus-gaap--ScheduleOfAntidilutive"/>
      <w:bookmarkEnd w:id="1903"/>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04" w:name="xdx_8BD_zXeGoMGcX7Yc"/>
      <w:bookmarkEnd w:id="1904"/>
      <w:r>
        <w:rPr>
          <w:rFonts w:ascii="Times New Roman;Times;Serif" w:hAnsi="Times New Roman;Times;Serif"/>
          <w:b w:val="false"/>
          <w:i w:val="false"/>
          <w:caps w:val="false"/>
          <w:smallCaps w:val="false"/>
          <w:sz w:val="20"/>
        </w:rPr>
        <w:t>Schedule of Antidilutive Securities Excluded from Computation of Earnings Per Share</w:t>
      </w:r>
    </w:p>
    <w:tbl>
      <w:tblPr>
        <w:tblW w:w="5140" w:type="dxa"/>
        <w:jc w:val="left"/>
        <w:tblInd w:w="0" w:type="dxa"/>
        <w:tblLayout w:type="fixed"/>
        <w:tblCellMar>
          <w:top w:w="0" w:type="dxa"/>
          <w:left w:w="0" w:type="dxa"/>
          <w:bottom w:w="0" w:type="dxa"/>
          <w:right w:w="0" w:type="dxa"/>
        </w:tblCellMar>
      </w:tblPr>
      <w:tblGrid>
        <w:gridCol w:w="3005"/>
        <w:gridCol w:w="60"/>
        <w:gridCol w:w="75"/>
        <w:gridCol w:w="850"/>
        <w:gridCol w:w="75"/>
        <w:gridCol w:w="75"/>
        <w:gridCol w:w="75"/>
        <w:gridCol w:w="850"/>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05" w:name="xdx_49D_20250101__20251231_zhsOOG42R1rk"/>
            <w:bookmarkEnd w:id="1905"/>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1906" w:name="xdx_49A_20240101__20241231_zKxJ4Jo19bfg"/>
            <w:bookmarkEnd w:id="1906"/>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rFonts w:cs="Times New Roman;Times;Serif"/>
                <w:bCs/>
              </w:rPr>
            </w:pPr>
            <w:r>
              <w:rPr>
                <w:rFonts w:cs="Times New Roman;Times;Serif"/>
                <w:bCs/>
              </w:rPr>
              <w: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1907" w:name="xdx_406_eus-gaap--AntidilutiveSecurities"/>
            <w:bookmarkEnd w:id="1907"/>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75" w:type="dxa"/>
            <w:tcBorders/>
            <w:shd w:fill="CCEEFF" w:val="clear"/>
            <w:vAlign w:val="center"/>
          </w:tcPr>
          <w:p>
            <w:pPr>
              <w:pStyle w:val="TableContents"/>
              <w:bidi w:val="0"/>
              <w:spacing w:before="0" w:after="283"/>
              <w:jc w:val="left"/>
              <w:rPr/>
            </w:pPr>
            <w:r>
              <w:rPr/>
              <w:t> </w:t>
            </w:r>
            <w:bookmarkStart w:id="1908" w:name="xdx_40E_eus-gaap--AntidilutiveSecurities"/>
            <w:bookmarkEnd w:id="1908"/>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75" w:type="dxa"/>
            <w:tcBorders/>
            <w:shd w:fill="FFFFFF" w:val="clear"/>
            <w:vAlign w:val="center"/>
          </w:tcPr>
          <w:p>
            <w:pPr>
              <w:pStyle w:val="TableContents"/>
              <w:bidi w:val="0"/>
              <w:spacing w:before="0" w:after="283"/>
              <w:jc w:val="left"/>
              <w:rPr/>
            </w:pPr>
            <w:r>
              <w:rPr/>
              <w:t> </w:t>
            </w:r>
            <w:bookmarkStart w:id="1909" w:name="xdx_408_eus-gaap--AntidilutiveSecurities"/>
            <w:bookmarkEnd w:id="1909"/>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bookmarkStart w:id="1910" w:name="xdx_402_eus-gaap--AntidilutiveSecurities"/>
            <w:bookmarkEnd w:id="1910"/>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bookmarkStart w:id="1911" w:name="xdx_404_eus-gaap--AntidilutiveSecurities"/>
            <w:bookmarkEnd w:id="1911"/>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22,639</w:t>
            </w:r>
          </w:p>
        </w:tc>
        <w:tc>
          <w:tcPr>
            <w:tcW w:w="75" w:type="dxa"/>
            <w:tcBorders/>
            <w:shd w:fill="CCEEFF" w:val="clear"/>
            <w:vAlign w:val="center"/>
          </w:tcPr>
          <w:p>
            <w:pPr>
              <w:pStyle w:val="TableContents"/>
              <w:bidi w:val="0"/>
              <w:spacing w:before="0" w:after="283"/>
              <w:jc w:val="left"/>
              <w:rPr/>
            </w:pPr>
            <w:r>
              <w:rPr/>
              <w:t> </w:t>
            </w:r>
            <w:bookmarkStart w:id="1912" w:name="xdx_40D_eus-gaap--AntidilutiveSecurities"/>
            <w:bookmarkEnd w:id="1912"/>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75" w:type="dxa"/>
            <w:tcBorders/>
            <w:shd w:fill="FFFFFF" w:val="clear"/>
            <w:vAlign w:val="center"/>
          </w:tcPr>
          <w:p>
            <w:pPr>
              <w:pStyle w:val="TableContents"/>
              <w:bidi w:val="0"/>
              <w:spacing w:before="0" w:after="283"/>
              <w:jc w:val="left"/>
              <w:rPr/>
            </w:pPr>
            <w:r>
              <w:rPr/>
              <w:t> </w:t>
            </w:r>
            <w:bookmarkStart w:id="1913" w:name="xdx_404_eus-gaap--AntidilutiveSecurities"/>
            <w:bookmarkEnd w:id="1913"/>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14" w:name="xdx_401_eus-gaap--AntidilutiveSecurities"/>
            <w:bookmarkEnd w:id="1914"/>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bookmarkStart w:id="1915" w:name="xdx_407_eus-gaap--AntidilutiveSecurities"/>
            <w:bookmarkEnd w:id="1915"/>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Antidilutive Securities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16" w:name="xdx_8A4_zNEqdh1wd6uj"/>
      <w:bookmarkEnd w:id="1916"/>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17" w:name="xdx_860_zGjiHWvjvgKe"/>
      <w:bookmarkStart w:id="1918" w:name="xdx_849_eus-gaap--CostOfSalesPolicyTextB"/>
      <w:bookmarkEnd w:id="1917"/>
      <w:bookmarkEnd w:id="1918"/>
      <w:r>
        <w:rPr>
          <w:rFonts w:ascii="Times New Roman;Times;Serif" w:hAnsi="Times New Roman;Times;Serif"/>
          <w:b/>
          <w:i/>
          <w:caps w:val="false"/>
          <w:smallCaps w:val="false"/>
          <w:sz w:val="20"/>
        </w:rPr>
        <w:t>Costs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19" w:name="xdx_866_zzlFvSywwCM4"/>
      <w:bookmarkStart w:id="1920" w:name="xdx_84C_eus-gaap--AdvertisingCostsPolicy"/>
      <w:bookmarkEnd w:id="1919"/>
      <w:bookmarkEnd w:id="1920"/>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w:t>
      </w:r>
      <w:bookmarkStart w:id="1921" w:name="xdx_90A_eus-gaap--AdvertisingExpense_c20"/>
      <w:bookmarkEnd w:id="1921"/>
      <w:r>
        <w:rPr>
          <w:rFonts w:ascii="Times New Roman;Times;Serif" w:hAnsi="Times New Roman;Times;Serif"/>
          <w:b w:val="false"/>
          <w:i w:val="false"/>
          <w:caps w:val="false"/>
          <w:smallCaps w:val="false"/>
          <w:sz w:val="20"/>
        </w:rPr>
        <w:t>659,877 and $</w:t>
      </w:r>
      <w:bookmarkStart w:id="1922" w:name="xdx_904_eus-gaap--AdvertisingExpense_c20"/>
      <w:bookmarkEnd w:id="1922"/>
      <w:r>
        <w:rPr>
          <w:rFonts w:ascii="Times New Roman;Times;Serif" w:hAnsi="Times New Roman;Times;Serif"/>
          <w:b w:val="false"/>
          <w:i w:val="false"/>
          <w:caps w:val="false"/>
          <w:smallCaps w:val="false"/>
          <w:sz w:val="20"/>
        </w:rPr>
        <w:t>467,897 for the years ended December 31, 2025 and 2024,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23" w:name="xdx_862_z2me0RnjVOcc"/>
      <w:bookmarkStart w:id="1924" w:name="xdx_84E_eus-gaap--ShareBasedCompensation"/>
      <w:bookmarkEnd w:id="1923"/>
      <w:bookmarkEnd w:id="1924"/>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25" w:name="xdx_86B_zBPclDN1TfTb"/>
      <w:bookmarkStart w:id="1926" w:name="xdx_841_eus-gaap--IncomeTaxPolicyTextBlo"/>
      <w:bookmarkEnd w:id="1925"/>
      <w:bookmarkEnd w:id="1926"/>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FASB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27" w:name="xdx_863_zle2RaHbbpo8"/>
      <w:bookmarkStart w:id="1928" w:name="xdx_845_eus-gaap--DerivativesPolicyTextB"/>
      <w:bookmarkEnd w:id="1927"/>
      <w:bookmarkEnd w:id="1928"/>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29" w:name="xdx_860_zJjANErxP6Jk"/>
      <w:bookmarkStart w:id="1930" w:name="xdx_845_eus-gaap--FairValueOfFinancialIn"/>
      <w:bookmarkEnd w:id="1929"/>
      <w:bookmarkEnd w:id="1930"/>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31" w:name="xdx_869_zUnHaLihvExc"/>
      <w:bookmarkStart w:id="1932" w:name="xdx_848_ecustom--FairValueOptionElection"/>
      <w:bookmarkEnd w:id="1931"/>
      <w:bookmarkEnd w:id="1932"/>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1933" w:name="xdx_86C_z36l3DgNWdsd"/>
      <w:bookmarkStart w:id="1934" w:name="xdx_849_eus-gaap--LesseeLeasesPolicyText"/>
      <w:bookmarkEnd w:id="1933"/>
      <w:bookmarkEnd w:id="1934"/>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935" w:name="xdx_864_zCz41HIdvYI8"/>
      <w:bookmarkStart w:id="1936" w:name="xdx_846_eus-gaap--NewAccountingPronounce"/>
      <w:bookmarkEnd w:id="1935"/>
      <w:bookmarkEnd w:id="1936"/>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pStyle w:val="TextBody"/>
        <w:bidi w:val="0"/>
        <w:spacing w:before="0" w:after="0"/>
        <w:ind w:left="0" w:right="0" w:hanging="0"/>
        <w:jc w:val="both"/>
        <w:rPr>
          <w:caps w:val="false"/>
          <w:smallCaps w:val="false"/>
        </w:rPr>
      </w:pPr>
      <w:bookmarkStart w:id="1937" w:name="xdx_85F_z2xK4fwrVJVg"/>
      <w:bookmarkEnd w:id="1937"/>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38" w:name="xdx_80B_eus-gaap--BusinessCombinationDis"/>
      <w:bookmarkEnd w:id="1938"/>
      <w:r>
        <w:rPr>
          <w:rFonts w:ascii="Times New Roman;Times;Serif" w:hAnsi="Times New Roman;Times;Serif"/>
          <w:b/>
          <w:i w:val="false"/>
          <w:caps w:val="false"/>
          <w:smallCaps w:val="false"/>
          <w:sz w:val="20"/>
        </w:rPr>
        <w:t xml:space="preserve">4. </w:t>
      </w:r>
      <w:bookmarkStart w:id="1939" w:name="xdx_825_znHVsj91ErOd"/>
      <w:bookmarkEnd w:id="1939"/>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w:t>
      </w:r>
      <w:bookmarkStart w:id="1940" w:name="xdx_906_eus-gaap--PaymentsToAcquireBusin"/>
      <w:bookmarkEnd w:id="1940"/>
      <w:r>
        <w:rPr>
          <w:rFonts w:ascii="Times New Roman;Times;Serif" w:hAnsi="Times New Roman;Times;Serif"/>
          <w:b w:val="false"/>
          <w:i w:val="false"/>
          <w:caps w:val="false"/>
          <w:smallCaps w:val="false"/>
          <w:sz w:val="20"/>
        </w:rPr>
        <w:t>2,745,031 in cash (the “Vidello Cash Consideration”), whereby $</w:t>
      </w:r>
      <w:bookmarkStart w:id="1941" w:name="xdx_901_ecustom--BusinessAcquisitionAmou"/>
      <w:bookmarkEnd w:id="1941"/>
      <w:r>
        <w:rPr>
          <w:rFonts w:ascii="Times New Roman;Times;Serif" w:hAnsi="Times New Roman;Times;Serif"/>
          <w:b w:val="false"/>
          <w:i w:val="false"/>
          <w:caps w:val="false"/>
          <w:smallCaps w:val="false"/>
          <w:sz w:val="20"/>
        </w:rPr>
        <w:t xml:space="preserve">2,500,000 are withheld for indemnification expenses and other holdback provisions in accordance with the Vidello Merger Agreement, and issued </w:t>
      </w:r>
      <w:bookmarkStart w:id="1942" w:name="xdx_902_eus-gaap--BusinessAcquisitionEqu"/>
      <w:bookmarkEnd w:id="1942"/>
      <w:r>
        <w:rPr>
          <w:rFonts w:ascii="Times New Roman;Times;Serif" w:hAnsi="Times New Roman;Times;Serif"/>
          <w:b w:val="false"/>
          <w:i w:val="false"/>
          <w:caps w:val="false"/>
          <w:smallCaps w:val="false"/>
          <w:sz w:val="20"/>
        </w:rPr>
        <w:t>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w:t>
      </w:r>
      <w:bookmarkStart w:id="1943" w:name="xdx_90A_ecustom--BusinessAcquisitionAmou"/>
      <w:bookmarkEnd w:id="1943"/>
      <w:r>
        <w:rPr>
          <w:rFonts w:ascii="Times New Roman;Times;Serif" w:hAnsi="Times New Roman;Times;Serif"/>
          <w:b w:val="false"/>
          <w:i w:val="false"/>
          <w:caps w:val="false"/>
          <w:smallCaps w:val="false"/>
          <w:sz w:val="20"/>
        </w:rPr>
        <w:t>1,000,000 as security for the obligations of Company Shareholders for a period of twelve months (the “Indemnification Holdback Amount”), (2) the withholding of $</w:t>
      </w:r>
      <w:bookmarkStart w:id="1944" w:name="xdx_901_ecustom--BusinessAcquisitionAmou"/>
      <w:bookmarkEnd w:id="1944"/>
      <w:r>
        <w:rPr>
          <w:rFonts w:ascii="Times New Roman;Times;Serif" w:hAnsi="Times New Roman;Times;Serif"/>
          <w:b w:val="false"/>
          <w:i w:val="false"/>
          <w:caps w:val="false"/>
          <w:smallCaps w:val="false"/>
          <w:sz w:val="20"/>
        </w:rPr>
        <w:t>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w:t>
      </w:r>
      <w:bookmarkStart w:id="1945" w:name="xdx_90B_ecustom--BusinessAcquisitionAmou"/>
      <w:bookmarkEnd w:id="1945"/>
      <w:r>
        <w:rPr>
          <w:rFonts w:ascii="Times New Roman;Times;Serif" w:hAnsi="Times New Roman;Times;Serif"/>
          <w:b w:val="false"/>
          <w:i w:val="false"/>
          <w:caps w:val="false"/>
          <w:smallCaps w:val="false"/>
          <w:sz w:val="20"/>
        </w:rPr>
        <w:t xml:space="preserve">1,000,000 subject to certain revenue related conditions being met during the </w:t>
      </w:r>
      <w:bookmarkStart w:id="1946" w:name="xdx_90A_ecustom--BusinessAcquisitionReve"/>
      <w:bookmarkEnd w:id="1946"/>
      <w:r>
        <w:rPr>
          <w:rFonts w:ascii="Times New Roman;Times;Serif" w:hAnsi="Times New Roman;Times;Serif"/>
          <w:b w:val="false"/>
          <w:i w:val="false"/>
          <w:caps w:val="false"/>
          <w:smallCaps w:val="false"/>
          <w:sz w:val="20"/>
        </w:rPr>
        <w:t>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w:t>
      </w:r>
      <w:bookmarkStart w:id="1947" w:name="xdx_902_eus-gaap--BusinessCombinationSep"/>
      <w:bookmarkEnd w:id="1947"/>
      <w:r>
        <w:rPr>
          <w:rFonts w:ascii="Times New Roman;Times;Serif" w:hAnsi="Times New Roman;Times;Serif"/>
          <w:b w:val="false"/>
          <w:i w:val="false"/>
          <w:caps w:val="false"/>
          <w:smallCaps w:val="false"/>
          <w:sz w:val="20"/>
        </w:rPr>
        <w:t>485,720 of expense after foreign currency translation in the consolidated statements of operations related to the Transition Holdback Amount in the line Vidello earnout expense. As of December 31, 2025, the Company had paid the contractual amount of $</w:t>
      </w:r>
      <w:bookmarkStart w:id="1948" w:name="xdx_902_eus-gaap--PaymentForContingentCo"/>
      <w:bookmarkEnd w:id="1948"/>
      <w:r>
        <w:rPr>
          <w:rFonts w:ascii="Times New Roman;Times;Serif" w:hAnsi="Times New Roman;Times;Serif"/>
          <w:b w:val="false"/>
          <w:i w:val="false"/>
          <w:caps w:val="false"/>
          <w:smallCaps w:val="false"/>
          <w:sz w:val="20"/>
        </w:rPr>
        <w:t>500,000 to the Vidello Shareholders for the Transition Holdback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w:t>
      </w:r>
      <w:bookmarkStart w:id="1949" w:name="xdx_90E_ecustom--BusinessCombinationHold"/>
      <w:bookmarkEnd w:id="1949"/>
      <w:r>
        <w:rPr>
          <w:rFonts w:ascii="Times New Roman;Times;Serif" w:hAnsi="Times New Roman;Times;Serif"/>
          <w:b w:val="false"/>
          <w:i w:val="false"/>
          <w:caps w:val="false"/>
          <w:smallCaps w:val="false"/>
          <w:sz w:val="20"/>
        </w:rPr>
        <w:t>180 day measurement period for the Revenue Holdback had lapsed and the revenue conditions as defined in the Vidello Merger Agreement had not been met. As such the Company recognized a gain on the extinguishment of Vidello revenue holdback of $</w:t>
      </w:r>
      <w:bookmarkStart w:id="1950" w:name="xdx_90E_eus-gaap--BusinessCombinationCon"/>
      <w:bookmarkEnd w:id="1950"/>
      <w:r>
        <w:rPr>
          <w:rFonts w:ascii="Times New Roman;Times;Serif" w:hAnsi="Times New Roman;Times;Serif"/>
          <w:b w:val="false"/>
          <w:i w:val="false"/>
          <w:caps w:val="false"/>
          <w:smallCaps w:val="false"/>
          <w:sz w:val="20"/>
        </w:rPr>
        <w:t>973,000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w:t>
      </w:r>
      <w:bookmarkStart w:id="1951" w:name="xdx_90B_ecustom--BusinessAcquisitionLock"/>
      <w:bookmarkEnd w:id="1951"/>
      <w:r>
        <w:rPr>
          <w:rFonts w:ascii="Times New Roman;Times;Serif" w:hAnsi="Times New Roman;Times;Serif"/>
          <w:b w:val="false"/>
          <w:i w:val="false"/>
          <w:caps w:val="false"/>
          <w:smallCaps w:val="false"/>
          <w:sz w:val="20"/>
        </w:rPr>
        <w:t>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transaction costs of approximately $</w:t>
      </w:r>
      <w:bookmarkStart w:id="1952" w:name="xdx_909_eus-gaap--BusinessAcquisitionCos"/>
      <w:bookmarkEnd w:id="1952"/>
      <w:r>
        <w:rPr>
          <w:rFonts w:ascii="Times New Roman;Times;Serif" w:hAnsi="Times New Roman;Times;Serif"/>
          <w:b w:val="false"/>
          <w:i w:val="false"/>
          <w:caps w:val="false"/>
          <w:smallCaps w:val="false"/>
          <w:sz w:val="20"/>
        </w:rPr>
        <w:t>730,000 which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w:t>
      </w:r>
      <w:bookmarkStart w:id="1953" w:name="xdx_909_eus-gaap--BusinessCombinationCon"/>
      <w:bookmarkEnd w:id="1953"/>
      <w:r>
        <w:rPr>
          <w:rFonts w:ascii="Times New Roman;Times;Serif" w:hAnsi="Times New Roman;Times;Serif"/>
          <w:b w:val="false"/>
          <w:i w:val="false"/>
          <w:caps w:val="false"/>
          <w:smallCaps w:val="false"/>
          <w:sz w:val="20"/>
        </w:rPr>
        <w:t>6,267,747 summarized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54" w:name="xdx_8B5_zExFxU5TCHR3"/>
      <w:bookmarkStart w:id="1955" w:name="xdx_897_eus-gaap--ScheduleOfBusinessAcqu"/>
      <w:bookmarkEnd w:id="1954"/>
      <w:bookmarkEnd w:id="1955"/>
      <w:r>
        <w:rPr>
          <w:rFonts w:ascii="Times New Roman;Times;Serif" w:hAnsi="Times New Roman;Times;Serif"/>
          <w:b w:val="false"/>
          <w:i w:val="false"/>
          <w:caps w:val="false"/>
          <w:smallCaps w:val="false"/>
          <w:sz w:val="20"/>
        </w:rPr>
        <w:t>Summary of Preliminary Fair Value of the Consideration Transferred </w:t>
      </w:r>
    </w:p>
    <w:tbl>
      <w:tblPr>
        <w:tblW w:w="5670" w:type="dxa"/>
        <w:jc w:val="left"/>
        <w:tblInd w:w="0" w:type="dxa"/>
        <w:tblLayout w:type="fixed"/>
        <w:tblCellMar>
          <w:top w:w="0" w:type="dxa"/>
          <w:left w:w="0" w:type="dxa"/>
          <w:bottom w:w="0" w:type="dxa"/>
          <w:right w:w="0" w:type="dxa"/>
        </w:tblCellMar>
      </w:tblPr>
      <w:tblGrid>
        <w:gridCol w:w="4415"/>
        <w:gridCol w:w="60"/>
        <w:gridCol w:w="140"/>
        <w:gridCol w:w="980"/>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56" w:name="xdx_98F_ecustom--BusinessCombinationCash"/>
            <w:bookmarkEnd w:id="195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2,745,031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57" w:name="xdx_984_eus-gaap--BusinessCombinationCon"/>
            <w:bookmarkEnd w:id="195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58" w:name="xdx_986_ecustom--BusinessCombinationFair"/>
            <w:bookmarkEnd w:id="195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1,861,039</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59" w:name="xdx_98A_eus-gaap--BusinessCombinationCon"/>
            <w:bookmarkEnd w:id="195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60" w:name="xdx_8AE_zMbHGTceSOVe"/>
      <w:bookmarkEnd w:id="196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61" w:name="xdx_894_eus-gaap--ScheduleOfRecognizedId"/>
      <w:bookmarkEnd w:id="1961"/>
      <w:r>
        <w:rPr>
          <w:rFonts w:ascii="Times New Roman;Times;Serif" w:hAnsi="Times New Roman;Times;Serif"/>
          <w:b w:val="false"/>
          <w:i w:val="false"/>
          <w:caps w:val="false"/>
          <w:smallCaps w:val="false"/>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spacing w:before="0" w:after="0"/>
        <w:ind w:left="0" w:right="0" w:hanging="0"/>
        <w:jc w:val="left"/>
        <w:rPr>
          <w:caps w:val="false"/>
          <w:smallCaps w:val="false"/>
        </w:rPr>
      </w:pPr>
      <w:r>
        <w:rPr>
          <w:caps w:val="false"/>
          <w:smallCaps w:val="false"/>
        </w:rPr>
        <w:t> </w:t>
      </w:r>
      <w:bookmarkStart w:id="1962" w:name="xdx_8B3_z5pn2dcb7ft4"/>
      <w:bookmarkEnd w:id="1962"/>
      <w:r>
        <w:rPr>
          <w:rFonts w:ascii="Times New Roman;Times;Serif" w:hAnsi="Times New Roman;Times;Serif"/>
          <w:b w:val="false"/>
          <w:i w:val="false"/>
          <w:caps w:val="false"/>
          <w:smallCaps w:val="false"/>
          <w:sz w:val="20"/>
        </w:rPr>
        <w:t>Summary of Provisional Purchase Price Allocation Relating to Vidello Merger</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63" w:name="xdx_98E_eus-gaap--BusinessCombinationRec"/>
            <w:bookmarkEnd w:id="196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64" w:name="xdx_987_eus-gaap--BusinessCombinationRec"/>
            <w:bookmarkEnd w:id="196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65" w:name="xdx_989_eus-gaap--BusinessCombinationRec"/>
            <w:bookmarkEnd w:id="196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66" w:name="xdx_983_eus-gaap--BusinessCombinationRec"/>
            <w:bookmarkEnd w:id="196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67" w:name="xdx_98A_eus-gaap--BusinessCombinationRec"/>
            <w:bookmarkEnd w:id="196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4,010,000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68" w:name="xdx_98D_eus-gaap--BusinessCombinationRec"/>
            <w:bookmarkEnd w:id="196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5,373,926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69" w:name="xdx_98E_eus-gaap--BusinessCombinationRec"/>
            <w:bookmarkEnd w:id="196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70" w:name="xdx_98A_ecustom--BusinessCombinationReco"/>
            <w:bookmarkEnd w:id="197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71" w:name="xdx_98C_eus-gaap--BusinessCombinationRec"/>
            <w:bookmarkEnd w:id="197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972" w:name="xdx_982_eus-gaap--BusinessCombinationRec"/>
            <w:bookmarkEnd w:id="197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1,324,250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73" w:name="xdx_988_ecustom--BusinessCombinationReco"/>
            <w:bookmarkEnd w:id="197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337,127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4" w:name="xdx_98C_eus-gaap--BusinessCombinationRec"/>
            <w:bookmarkEnd w:id="197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2,125,425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975" w:name="xdx_982_eus-gaap--BusinessCombinationRec"/>
            <w:bookmarkEnd w:id="1975"/>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3,248,501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76" w:name="xdx_985_eus-gaap--Goodwill_iI_c20250131_"/>
            <w:bookmarkEnd w:id="197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7" w:name="xdx_981_eus-gaap--BusinessCombinationRec"/>
            <w:bookmarkEnd w:id="197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78" w:name="xdx_8A3_z8nzh1CY0tE9"/>
      <w:bookmarkEnd w:id="19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79" w:name="xdx_89C_eus-gaap--ScheduleOfFiniteLivedI"/>
      <w:bookmarkEnd w:id="1979"/>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bookmarkStart w:id="1980" w:name="xdx_8BC_z8gz87uoxfNg"/>
      <w:bookmarkEnd w:id="1980"/>
      <w:r>
        <w:rPr>
          <w:rFonts w:ascii="Times New Roman;Times;Serif" w:hAnsi="Times New Roman;Times;Serif"/>
          <w:b w:val="false"/>
          <w:i w:val="false"/>
          <w:caps w:val="false"/>
          <w:smallCaps w:val="false"/>
          <w:sz w:val="20"/>
        </w:rPr>
        <w:t>Summary of Intangible Assets Acquired and their Associated Estimated Useful Lives</w:t>
      </w:r>
    </w:p>
    <w:tbl>
      <w:tblPr>
        <w:tblW w:w="3400" w:type="dxa"/>
        <w:jc w:val="left"/>
        <w:tblInd w:w="0" w:type="dxa"/>
        <w:tblLayout w:type="fixed"/>
        <w:tblCellMar>
          <w:top w:w="0" w:type="dxa"/>
          <w:left w:w="0" w:type="dxa"/>
          <w:bottom w:w="0" w:type="dxa"/>
          <w:right w:w="0" w:type="dxa"/>
        </w:tblCellMar>
      </w:tblPr>
      <w:tblGrid>
        <w:gridCol w:w="2195"/>
        <w:gridCol w:w="60"/>
        <w:gridCol w:w="114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r>
          </w:p>
        </w:tc>
      </w:tr>
      <w:tr>
        <w:trPr/>
        <w:tc>
          <w:tcPr>
            <w:tcW w:w="21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Intangible Assets</w:t>
            </w:r>
          </w:p>
        </w:tc>
        <w:tc>
          <w:tcPr>
            <w:tcW w:w="60" w:type="dxa"/>
            <w:tcBorders/>
            <w:shd w:fill="FFFFFF" w:val="cle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bookmarkStart w:id="1981" w:name="xdx_90C_eus-gaap--AcquiredFiniteLivedInt"/>
            <w:bookmarkEnd w:id="1981"/>
            <w:r>
              <w:rPr>
                <w:rFonts w:ascii="Times New Roman;Times;Serif" w:hAnsi="Times New Roman;Times;Serif"/>
              </w:rPr>
              <w:t>6 years</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rPr>
            </w:pPr>
            <w:bookmarkStart w:id="1982" w:name="xdx_90F_eus-gaap--AcquiredFiniteLivedInt"/>
            <w:bookmarkEnd w:id="1982"/>
            <w:r>
              <w:rPr>
                <w:rFonts w:ascii="Times New Roman;Times;Serif" w:hAnsi="Times New Roman;Times;Serif"/>
              </w:rPr>
              <w:t>10 years</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bookmarkStart w:id="1983" w:name="xdx_905_eus-gaap--AcquiredFiniteLivedInt"/>
            <w:bookmarkEnd w:id="1983"/>
            <w:r>
              <w:rPr>
                <w:rFonts w:ascii="Times New Roman;Times;Serif" w:hAnsi="Times New Roman;Times;Serif"/>
              </w:rPr>
              <w:t xml:space="preserve">7 - </w:t>
            </w:r>
            <w:bookmarkStart w:id="1984" w:name="xdx_90D_eus-gaap--AcquiredFiniteLivedInt"/>
            <w:bookmarkEnd w:id="1984"/>
            <w:r>
              <w:rPr>
                <w:rFonts w:ascii="Times New Roman;Times;Serif" w:hAnsi="Times New Roman;Times;Serif"/>
              </w:rPr>
              <w:t>8 years</w:t>
            </w:r>
          </w:p>
        </w:tc>
      </w:tr>
    </w:tbl>
    <w:p>
      <w:pPr>
        <w:pStyle w:val="TextBody"/>
        <w:bidi w:val="0"/>
        <w:spacing w:before="0" w:after="0"/>
        <w:ind w:left="0" w:right="0" w:hanging="0"/>
        <w:jc w:val="left"/>
        <w:rPr>
          <w:caps w:val="false"/>
          <w:smallCaps w:val="false"/>
        </w:rPr>
      </w:pPr>
      <w:bookmarkStart w:id="1985" w:name="xdx_8A6_zepXHhs3L4X2"/>
      <w:bookmarkEnd w:id="19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consolidated statements of operations for the year ended December 31, 2025 and 2024 includes net loss of approximately $</w:t>
      </w:r>
      <w:bookmarkStart w:id="1986" w:name="xdx_906_eus-gaap--NetIncomeLoss_pn3n3_c2"/>
      <w:bookmarkEnd w:id="1986"/>
      <w:r>
        <w:rPr>
          <w:rFonts w:ascii="Times New Roman;Times;Serif" w:hAnsi="Times New Roman;Times;Serif"/>
          <w:b w:val="false"/>
          <w:i w:val="false"/>
          <w:caps w:val="false"/>
          <w:smallCaps w:val="false"/>
          <w:sz w:val="20"/>
        </w:rPr>
        <w:t>250 thousand and net income of $</w:t>
      </w:r>
      <w:bookmarkStart w:id="1987" w:name="xdx_907_eus-gaap--NetIncomeLoss_pn3n3_c2"/>
      <w:bookmarkEnd w:id="1987"/>
      <w:r>
        <w:rPr>
          <w:rFonts w:ascii="Times New Roman;Times;Serif" w:hAnsi="Times New Roman;Times;Serif"/>
          <w:b w:val="false"/>
          <w:i w:val="false"/>
          <w:caps w:val="false"/>
          <w:smallCaps w:val="false"/>
          <w:sz w:val="20"/>
        </w:rPr>
        <w:t>734 thousand, respectively, of Vidello from the date of acquisition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88" w:name="xdx_89D_eus-gaap--BusinessAcquisitionPro"/>
      <w:bookmarkEnd w:id="1988"/>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bookmarkStart w:id="1989" w:name="xdx_8B2_zRdSx5AE4mc7"/>
      <w:bookmarkEnd w:id="1989"/>
      <w:r>
        <w:rPr>
          <w:rFonts w:ascii="Times New Roman;Times;Serif" w:hAnsi="Times New Roman;Times;Serif"/>
          <w:b w:val="false"/>
          <w:i w:val="false"/>
          <w:caps w:val="false"/>
          <w:smallCaps w:val="false"/>
          <w:sz w:val="20"/>
        </w:rPr>
        <w:t>Summary of Pro Forma Financial Information</w:t>
      </w:r>
    </w:p>
    <w:tbl>
      <w:tblPr>
        <w:tblW w:w="9492" w:type="dxa"/>
        <w:jc w:val="left"/>
        <w:tblInd w:w="0" w:type="dxa"/>
        <w:tblLayout w:type="fixed"/>
        <w:tblCellMar>
          <w:top w:w="0" w:type="dxa"/>
          <w:left w:w="0" w:type="dxa"/>
          <w:bottom w:w="0" w:type="dxa"/>
          <w:right w:w="0" w:type="dxa"/>
        </w:tblCellMar>
      </w:tblPr>
      <w:tblGrid>
        <w:gridCol w:w="5915"/>
        <w:gridCol w:w="60"/>
        <w:gridCol w:w="171"/>
        <w:gridCol w:w="1438"/>
        <w:gridCol w:w="116"/>
        <w:gridCol w:w="73"/>
        <w:gridCol w:w="171"/>
        <w:gridCol w:w="1438"/>
        <w:gridCol w:w="11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1990" w:name="xdx_498_20250101__20251231__us-gaap--Bus"/>
            <w:bookmarkEnd w:id="1990"/>
          </w:p>
        </w:tc>
        <w:tc>
          <w:tcPr>
            <w:tcW w:w="14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1991" w:name="xdx_495_20240101__20241231__us-gaap--Bus"/>
            <w:bookmarkEnd w:id="1991"/>
          </w:p>
        </w:tc>
        <w:tc>
          <w:tcPr>
            <w:tcW w:w="14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1992" w:name="xdx_402_eus-gaap--BusinessAcquisitionsPr"/>
            <w:bookmarkEnd w:id="1992"/>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12,391,854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10,006,674</w:t>
            </w:r>
          </w:p>
        </w:tc>
        <w:tc>
          <w:tcPr>
            <w:tcW w:w="110" w:type="dxa"/>
            <w:tcBorders/>
            <w:shd w:fill="CCEEFF" w:val="clear"/>
            <w:vAlign w:val="center"/>
          </w:tcPr>
          <w:p>
            <w:pPr>
              <w:pStyle w:val="TableContents"/>
              <w:bidi w:val="0"/>
              <w:spacing w:before="0" w:after="283"/>
              <w:jc w:val="left"/>
              <w:rPr/>
            </w:pPr>
            <w:r>
              <w:rPr/>
              <w:t> </w:t>
            </w:r>
            <w:bookmarkStart w:id="1993" w:name="xdx_408_ecustom--BusinessAcquisitionProF"/>
            <w:bookmarkEnd w:id="1993"/>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2,379,038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2,114,675</w:t>
            </w:r>
          </w:p>
        </w:tc>
        <w:tc>
          <w:tcPr>
            <w:tcW w:w="110" w:type="dxa"/>
            <w:tcBorders/>
            <w:shd w:fill="FFFFFF" w:val="clear"/>
            <w:vAlign w:val="center"/>
          </w:tcPr>
          <w:p>
            <w:pPr>
              <w:pStyle w:val="TableContents"/>
              <w:bidi w:val="0"/>
              <w:spacing w:before="0" w:after="283"/>
              <w:jc w:val="left"/>
              <w:rPr/>
            </w:pPr>
            <w:r>
              <w:rPr/>
              <w:t> </w:t>
            </w:r>
            <w:bookmarkStart w:id="1994" w:name="xdx_402_ecustom--BusinessAcquisitionProF"/>
            <w:bookmarkEnd w:id="1994"/>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28,511,163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19,795,088</w:t>
            </w:r>
          </w:p>
        </w:tc>
        <w:tc>
          <w:tcPr>
            <w:tcW w:w="110" w:type="dxa"/>
            <w:tcBorders/>
            <w:shd w:fill="CCEEFF" w:val="clear"/>
            <w:vAlign w:val="center"/>
          </w:tcPr>
          <w:p>
            <w:pPr>
              <w:pStyle w:val="TableContents"/>
              <w:bidi w:val="0"/>
              <w:spacing w:before="0" w:after="283"/>
              <w:jc w:val="left"/>
              <w:rPr/>
            </w:pPr>
            <w:r>
              <w:rPr/>
              <w:t> </w:t>
            </w:r>
            <w:bookmarkStart w:id="1995" w:name="xdx_403_ecustom--BusinessAcquisitionProF"/>
            <w:bookmarkEnd w:id="1995"/>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0" w:type="dxa"/>
            <w:tcBorders/>
            <w:shd w:fill="FFFFFF" w:val="clear"/>
            <w:vAlign w:val="center"/>
          </w:tcPr>
          <w:p>
            <w:pPr>
              <w:pStyle w:val="TableContents"/>
              <w:bidi w:val="0"/>
              <w:spacing w:before="0" w:after="283"/>
              <w:jc w:val="left"/>
              <w:rPr/>
            </w:pPr>
            <w:r>
              <w:rPr/>
              <w:t> </w:t>
            </w:r>
            <w:bookmarkStart w:id="1996" w:name="xdx_40A_eus-gaap--BusinessCombinationPro"/>
            <w:bookmarkEnd w:id="1996"/>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(22,464,825</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(29,948,734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1997" w:name="xdx_8A3_zly8BAvy7558"/>
      <w:bookmarkEnd w:id="199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98" w:name="xdx_800_eus-gaap--RelatedPartyTransactio"/>
      <w:bookmarkEnd w:id="1998"/>
      <w:r>
        <w:rPr>
          <w:rFonts w:ascii="Times New Roman;Times;Serif" w:hAnsi="Times New Roman;Times;Serif"/>
          <w:b/>
          <w:i w:val="false"/>
          <w:caps w:val="false"/>
          <w:smallCaps w:val="false"/>
          <w:sz w:val="20"/>
        </w:rPr>
        <w:t xml:space="preserve">5. </w:t>
      </w:r>
      <w:bookmarkStart w:id="1999" w:name="xdx_82B_zUXxESq0Jufb"/>
      <w:bookmarkEnd w:id="1999"/>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Sponsor paid certain expenses on behalf of 7GC. Upon Closing of the Merger, Banzai assumed the $</w:t>
      </w:r>
      <w:bookmarkStart w:id="2000" w:name="xdx_90F_eus-gaap--OtherLiabilitiesCurren"/>
      <w:bookmarkEnd w:id="2000"/>
      <w:r>
        <w:rPr>
          <w:rFonts w:ascii="Times New Roman;Times;Serif" w:hAnsi="Times New Roman;Times;Serif"/>
          <w:b w:val="false"/>
          <w:i w:val="false"/>
          <w:caps w:val="false"/>
          <w:smallCaps w:val="false"/>
          <w:sz w:val="20"/>
        </w:rPr>
        <w:t xml:space="preserve">67,118 liability. As of December 31, 2025, there is </w:t>
      </w:r>
      <w:bookmarkStart w:id="2001" w:name="xdx_90E_eus-gaap--OtherLiabilitiesCurren"/>
      <w:bookmarkEnd w:id="2001"/>
      <w:r>
        <w:rPr>
          <w:rFonts w:ascii="Times New Roman;Times;Serif" w:hAnsi="Times New Roman;Times;Serif"/>
          <w:b w:val="false"/>
          <w:i w:val="false"/>
          <w:caps w:val="false"/>
          <w:smallCaps w:val="false"/>
          <w:sz w:val="20"/>
        </w:rPr>
        <w:t>no remaining balance outstanding related to this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w:t>
      </w:r>
      <w:bookmarkStart w:id="2002" w:name="xdx_903_eus-gaap--DebtInstrumentConverti"/>
      <w:bookmarkEnd w:id="2002"/>
      <w:r>
        <w:rPr>
          <w:rFonts w:ascii="Times New Roman;Times;Serif" w:hAnsi="Times New Roman;Times;Serif"/>
          <w:b w:val="false"/>
          <w:i w:val="false"/>
          <w:caps w:val="false"/>
          <w:smallCaps w:val="false"/>
          <w:sz w:val="20"/>
        </w:rPr>
        <w:t xml:space="preserve">1one term note and </w:t>
      </w:r>
      <w:bookmarkStart w:id="2003" w:name="xdx_903_eus-gaap--DebtInstrumentConverti"/>
      <w:bookmarkEnd w:id="2003"/>
      <w:r>
        <w:rPr>
          <w:rFonts w:ascii="Times New Roman;Times;Serif" w:hAnsi="Times New Roman;Times;Serif"/>
          <w:b w:val="false"/>
          <w:i w:val="false"/>
          <w:caps w:val="false"/>
          <w:smallCaps w:val="false"/>
          <w:sz w:val="20"/>
        </w:rPr>
        <w:t xml:space="preserve">2two convertible notes into </w:t>
      </w:r>
      <w:bookmarkStart w:id="2004" w:name="xdx_90D_eus-gaap--DebtInstrumentConverti"/>
      <w:bookmarkEnd w:id="2004"/>
      <w:r>
        <w:rPr>
          <w:rFonts w:ascii="Times New Roman;Times;Serif" w:hAnsi="Times New Roman;Times;Serif"/>
          <w:b w:val="false"/>
          <w:i w:val="false"/>
          <w:caps w:val="false"/>
          <w:smallCaps w:val="false"/>
          <w:sz w:val="20"/>
        </w:rPr>
        <w:t xml:space="preserve">1one new consolidated convertible note. The newly issued consolidated convertible note was issued on </w:t>
      </w:r>
      <w:bookmarkStart w:id="2005" w:name="xdx_90D_eus-gaap--DebtInstrumentIssuance"/>
      <w:bookmarkEnd w:id="2005"/>
      <w:r>
        <w:rPr>
          <w:rFonts w:ascii="Times New Roman;Times;Serif" w:hAnsi="Times New Roman;Times;Serif"/>
          <w:b w:val="false"/>
          <w:i w:val="false"/>
          <w:caps w:val="false"/>
          <w:smallCaps w:val="false"/>
          <w:sz w:val="20"/>
        </w:rPr>
        <w:t>September 23, 2024. Additionally on September 23, 2024, the Company and CP BF entered into a share purchase agreement where the Company issued equity in the form of common stock, common stock warrants and pre-funded warrants to CP BF for the reduction of $</w:t>
      </w:r>
      <w:bookmarkStart w:id="2006" w:name="xdx_900_ecustom--ReductionOfDebt_iI_pn5n"/>
      <w:bookmarkEnd w:id="2006"/>
      <w:r>
        <w:rPr>
          <w:rFonts w:ascii="Times New Roman;Times;Serif" w:hAnsi="Times New Roman;Times;Serif"/>
          <w:b w:val="false"/>
          <w:i w:val="false"/>
          <w:caps w:val="false"/>
          <w:smallCaps w:val="false"/>
          <w:sz w:val="20"/>
        </w:rPr>
        <w:t xml:space="preserve">2 million of debt under the newly issued consolidated convertible note.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Company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the CEO of the Company loaned the Company an advance of $</w:t>
      </w:r>
      <w:bookmarkStart w:id="2007" w:name="xdx_903_eus-gaap--ProceedsFromRelatedPar"/>
      <w:bookmarkEnd w:id="2007"/>
      <w:r>
        <w:rPr>
          <w:rFonts w:ascii="Times New Roman;Times;Serif" w:hAnsi="Times New Roman;Times;Serif"/>
          <w:b w:val="false"/>
          <w:i w:val="false"/>
          <w:caps w:val="false"/>
          <w:smallCaps w:val="false"/>
          <w:sz w:val="20"/>
        </w:rPr>
        <w:t>100,000. The advance is non-interest bearing, and matures one year from issuance. During the year ended December 31, 2025, the outstanding balance was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08" w:name="xdx_801_eus-gaap--RevenueFromContractWit"/>
      <w:bookmarkEnd w:id="2008"/>
      <w:r>
        <w:rPr>
          <w:rFonts w:ascii="Times New Roman;Times;Serif" w:hAnsi="Times New Roman;Times;Serif"/>
          <w:b/>
          <w:i w:val="false"/>
          <w:caps w:val="false"/>
          <w:smallCaps w:val="false"/>
          <w:sz w:val="20"/>
        </w:rPr>
        <w:t xml:space="preserve">6. </w:t>
      </w:r>
      <w:bookmarkStart w:id="2009" w:name="xdx_82B_zyQDHPVPogGb"/>
      <w:bookmarkEnd w:id="2009"/>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w:t>
      </w:r>
      <w:bookmarkStart w:id="2010" w:name="xdx_907_eus-gaap--RevenuePerformanceObli"/>
      <w:bookmarkEnd w:id="2010"/>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w:t>
      </w:r>
      <w:bookmarkStart w:id="2011" w:name="xdx_908_eus-gaap--RevenuePerformanceObli"/>
      <w:bookmarkEnd w:id="2011"/>
      <w:r>
        <w:rPr>
          <w:rFonts w:ascii="Times New Roman;Times;Serif" w:hAnsi="Times New Roman;Times;Serif"/>
          <w:b w:val="false"/>
          <w:i w:val="false"/>
          <w:caps w:val="false"/>
          <w:smallCaps w:val="false"/>
          <w:sz w:val="20"/>
        </w:rPr>
        <w:t>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OpenReel product offers subscription-based software as a service (SaaS) offerings to enterprise, media, entertainment and agency teams to remotely control, direct, script, film, and collaborate on high definition video projects from a mobile device or webcam. </w:t>
      </w:r>
      <w:bookmarkStart w:id="2012" w:name="xdx_900_eus-gaap--RevenuePerformanceObli"/>
      <w:bookmarkEnd w:id="2012"/>
      <w:r>
        <w:rPr>
          <w:rFonts w:ascii="Times New Roman;Times;Serif" w:hAnsi="Times New Roman;Times;Serif"/>
          <w:b w:val="false"/>
          <w:i w:val="false"/>
          <w:caps w:val="false"/>
          <w:smallCaps w:val="false"/>
          <w:sz w:val="20"/>
        </w:rPr>
        <w:t>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product is a video hosting and marketing platform designed to help businesses manage, customize, and optimize their video content. Revenue is generated through Vidello providing video hosting and marketing platform subscription software service for a set period of time. </w:t>
      </w:r>
      <w:bookmarkStart w:id="2013" w:name="xdx_909_eus-gaap--RevenuePerformanceObli"/>
      <w:bookmarkEnd w:id="2013"/>
      <w:r>
        <w:rPr>
          <w:rFonts w:ascii="Times New Roman;Times;Serif" w:hAnsi="Times New Roman;Times;Serif"/>
          <w:b w:val="false"/>
          <w:i w:val="false"/>
          <w:caps w:val="false"/>
          <w:smallCaps w:val="false"/>
          <w:sz w:val="20"/>
        </w:rPr>
        <w:t>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w:t>
      </w:r>
      <w:bookmarkStart w:id="2014" w:name="xdx_90E_ecustom--ServicesRevenueFromVend"/>
      <w:bookmarkEnd w:id="2014"/>
      <w:r>
        <w:rPr>
          <w:rFonts w:ascii="Times New Roman;Times;Serif" w:hAnsi="Times New Roman;Times;Serif"/>
          <w:b w:val="false"/>
          <w:i w:val="false"/>
          <w:caps w:val="false"/>
          <w:smallCaps w:val="false"/>
          <w:sz w:val="20"/>
        </w:rPr>
        <w:t>125,000 and $</w:t>
      </w:r>
      <w:bookmarkStart w:id="2015" w:name="xdx_90B_ecustom--ServicesRevenueFromVend"/>
      <w:bookmarkEnd w:id="2015"/>
      <w:r>
        <w:rPr>
          <w:rFonts w:ascii="Times New Roman;Times;Serif" w:hAnsi="Times New Roman;Times;Serif"/>
          <w:b w:val="false"/>
          <w:i w:val="false"/>
          <w:caps w:val="false"/>
          <w:smallCaps w:val="false"/>
          <w:sz w:val="20"/>
        </w:rPr>
        <w:t>239,000,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16" w:name="xdx_89D_eus-gaap--DisaggregationOfRevenu"/>
      <w:bookmarkEnd w:id="2016"/>
      <w:r>
        <w:rPr>
          <w:rFonts w:ascii="Times New Roman;Times;Serif" w:hAnsi="Times New Roman;Times;Serif"/>
          <w:b w:val="false"/>
          <w:i w:val="false"/>
          <w:caps w:val="false"/>
          <w:smallCaps w:val="false"/>
          <w:sz w:val="20"/>
        </w:rPr>
        <w:t>The following table summarizes revenue by region based on the billing address of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2017" w:name="xdx_8BD_znesNF5RLcnj"/>
      <w:bookmarkEnd w:id="2017"/>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059"/>
        <w:gridCol w:w="60"/>
        <w:gridCol w:w="140"/>
        <w:gridCol w:w="1100"/>
        <w:gridCol w:w="60"/>
        <w:gridCol w:w="60"/>
        <w:gridCol w:w="270"/>
        <w:gridCol w:w="1719"/>
        <w:gridCol w:w="215"/>
        <w:gridCol w:w="60"/>
        <w:gridCol w:w="140"/>
        <w:gridCol w:w="980"/>
        <w:gridCol w:w="60"/>
        <w:gridCol w:w="60"/>
        <w:gridCol w:w="270"/>
        <w:gridCol w:w="1719"/>
        <w:gridCol w:w="233"/>
      </w:tblGrid>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33" w:type="dxa"/>
            <w:tcBorders/>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18" w:name="xdx_98E_eus-gaap--RevenueFromContractWit"/>
            <w:bookmarkEnd w:id="2018"/>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bookmarkStart w:id="2019" w:name="xdx_900_eus-gaap--ConcentrationRiskPerce"/>
            <w:bookmarkEnd w:id="2019"/>
            <w:r>
              <w:rPr>
                <w:rFonts w:ascii="Times New Roman;Times;Serif" w:hAnsi="Times New Roman;Times;Serif"/>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20" w:name="xdx_98B_eus-gaap--RevenueFromContractWit"/>
            <w:bookmarkEnd w:id="202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bookmarkStart w:id="2021" w:name="xdx_905_eus-gaap--ConcentrationRiskPerce"/>
            <w:bookmarkEnd w:id="2021"/>
            <w:r>
              <w:rPr>
                <w:rFonts w:ascii="Times New Roman;Times;Serif" w:hAnsi="Times New Roman;Times;Serif"/>
              </w:rPr>
              <w:t>57</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22" w:name="xdx_980_eus-gaap--RevenueFromContractWit"/>
            <w:bookmarkEnd w:id="202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bookmarkStart w:id="2023" w:name="xdx_90A_eus-gaap--ConcentrationRiskPerce"/>
            <w:bookmarkEnd w:id="2023"/>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24" w:name="xdx_986_eus-gaap--RevenueFromContractWit"/>
            <w:bookmarkEnd w:id="202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bookmarkStart w:id="2025" w:name="xdx_906_eus-gaap--ConcentrationRiskPerce"/>
            <w:bookmarkEnd w:id="2025"/>
            <w:r>
              <w:rPr>
                <w:rFonts w:ascii="Times New Roman;Times;Serif" w:hAnsi="Times New Roman;Times;Serif"/>
              </w:rPr>
              <w:t>33</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26" w:name="xdx_989_eus-gaap--RevenueFromContractWit"/>
            <w:bookmarkEnd w:id="202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027" w:name="xdx_905_eus-gaap--ConcentrationRiskPerce"/>
            <w:bookmarkEnd w:id="2027"/>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28" w:name="xdx_984_eus-gaap--RevenueFromContractWit"/>
            <w:bookmarkEnd w:id="202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029" w:name="xdx_90C_eus-gaap--ConcentrationRiskPerce"/>
            <w:bookmarkEnd w:id="2029"/>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0" w:name="xdx_983_eus-gaap--RevenueFromContractWit"/>
            <w:bookmarkEnd w:id="203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2031" w:name="xdx_904_eus-gaap--ConcentrationRiskPerce"/>
            <w:bookmarkEnd w:id="2031"/>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2" w:name="xdx_986_eus-gaap--RevenueFromContractWit"/>
            <w:bookmarkEnd w:id="203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2033" w:name="xdx_909_eus-gaap--ConcentrationRiskPerce"/>
            <w:bookmarkEnd w:id="2033"/>
            <w:r>
              <w:rPr>
                <w:rFonts w:ascii="Times New Roman;Times;Serif" w:hAnsi="Times New Roman;Times;Serif"/>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2034" w:name="xdx_8A4_znnR9OOHFix9"/>
      <w:bookmarkEnd w:id="203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35" w:name="xdx_897_eus-gaap--ScheduleOfAccountsNote"/>
      <w:bookmarkEnd w:id="2035"/>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bookmarkStart w:id="2036" w:name="xdx_8B8_zCyKfVaDgfIg"/>
      <w:bookmarkEnd w:id="2036"/>
      <w:r>
        <w:rPr>
          <w:rFonts w:ascii="Times New Roman;Times;Serif" w:hAnsi="Times New Roman;Times;Serif"/>
          <w:b w:val="false"/>
          <w:i w:val="false"/>
          <w:caps w:val="false"/>
          <w:smallCaps w:val="false"/>
          <w:sz w:val="20"/>
        </w:rPr>
        <w:t>Summary of Accounts Receivable, Net</w:t>
      </w:r>
    </w:p>
    <w:tbl>
      <w:tblPr>
        <w:tblW w:w="3990" w:type="dxa"/>
        <w:jc w:val="left"/>
        <w:tblInd w:w="0" w:type="dxa"/>
        <w:tblLayout w:type="fixed"/>
        <w:tblCellMar>
          <w:top w:w="0" w:type="dxa"/>
          <w:left w:w="0" w:type="dxa"/>
          <w:bottom w:w="0" w:type="dxa"/>
          <w:right w:w="0" w:type="dxa"/>
        </w:tblCellMar>
      </w:tblPr>
      <w:tblGrid>
        <w:gridCol w:w="2915"/>
        <w:gridCol w:w="60"/>
        <w:gridCol w:w="140"/>
        <w:gridCol w:w="800"/>
        <w:gridCol w:w="75"/>
      </w:tblGrid>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37" w:name="xdx_983_eus-gaap--AccountsReceivableNetC"/>
            <w:bookmarkEnd w:id="2037"/>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38" w:name="xdx_984_eus-gaap--AccountsReceivableNetC"/>
            <w:bookmarkEnd w:id="2038"/>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39" w:name="xdx_983_eus-gaap--AccountsReceivableNetC"/>
            <w:bookmarkEnd w:id="203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40" w:name="xdx_8A1_zJAoTnkSwxO6"/>
      <w:bookmarkEnd w:id="204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41" w:name="xdx_898_eus-gaap--CapitalizedContractCos"/>
      <w:bookmarkEnd w:id="2041"/>
      <w:r>
        <w:rPr>
          <w:rFonts w:ascii="Times New Roman;Times;Serif" w:hAnsi="Times New Roman;Times;Serif"/>
          <w:b w:val="false"/>
          <w:i w:val="false"/>
          <w:caps w:val="false"/>
          <w:smallCaps w:val="false"/>
          <w:sz w:val="20"/>
        </w:rPr>
        <w:t>Commission expenses were $</w:t>
      </w:r>
      <w:bookmarkStart w:id="2042" w:name="xdx_907_eus-gaap--SalesCommissionsAndFee"/>
      <w:bookmarkEnd w:id="2042"/>
      <w:r>
        <w:rPr>
          <w:rFonts w:ascii="Times New Roman;Times;Serif" w:hAnsi="Times New Roman;Times;Serif"/>
          <w:b w:val="false"/>
          <w:i w:val="false"/>
          <w:caps w:val="false"/>
          <w:smallCaps w:val="false"/>
          <w:sz w:val="20"/>
        </w:rPr>
        <w:t>466,951 and $</w:t>
      </w:r>
      <w:bookmarkStart w:id="2043" w:name="xdx_904_eus-gaap--SalesCommissionsAndFee"/>
      <w:bookmarkEnd w:id="2043"/>
      <w:r>
        <w:rPr>
          <w:rFonts w:ascii="Times New Roman;Times;Serif" w:hAnsi="Times New Roman;Times;Serif"/>
          <w:b w:val="false"/>
          <w:i w:val="false"/>
          <w:caps w:val="false"/>
          <w:smallCaps w:val="false"/>
          <w:sz w:val="20"/>
        </w:rPr>
        <w:t>193,995 for the years ended December 31, 2025 and 2024, respectively. The following summarizes the activity related to costs to obtain a contract during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44" w:name="xdx_8B1_zVTNZDsPPe8k"/>
      <w:bookmarkEnd w:id="2044"/>
      <w:r>
        <w:rPr>
          <w:rFonts w:ascii="Times New Roman;Times;Serif" w:hAnsi="Times New Roman;Times;Serif"/>
          <w:b w:val="false"/>
          <w:i w:val="false"/>
          <w:caps w:val="false"/>
          <w:smallCaps w:val="false"/>
          <w:sz w:val="20"/>
        </w:rPr>
        <w:t>Summary of Activity Related to Costs to Obtain Contract </w:t>
      </w:r>
    </w:p>
    <w:tbl>
      <w:tblPr>
        <w:tblW w:w="4430" w:type="dxa"/>
        <w:jc w:val="left"/>
        <w:tblInd w:w="0" w:type="dxa"/>
        <w:tblLayout w:type="fixed"/>
        <w:tblCellMar>
          <w:top w:w="0" w:type="dxa"/>
          <w:left w:w="0" w:type="dxa"/>
          <w:bottom w:w="0" w:type="dxa"/>
          <w:right w:w="0" w:type="dxa"/>
        </w:tblCellMar>
      </w:tblPr>
      <w:tblGrid>
        <w:gridCol w:w="3245"/>
        <w:gridCol w:w="60"/>
        <w:gridCol w:w="140"/>
        <w:gridCol w:w="875"/>
        <w:gridCol w:w="110"/>
      </w:tblGrid>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45" w:name="xdx_983_eus-gaap--CapitalizedContractCos"/>
            <w:bookmarkEnd w:id="2045"/>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46" w:name="xdx_98E_ecustom--CommissionsIncurred_c20"/>
            <w:bookmarkEnd w:id="2046"/>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47" w:name="xdx_98A_ecustom--DeferredCommissionsReco"/>
            <w:bookmarkEnd w:id="2047"/>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048" w:name="xdx_98E_eus-gaap--CapitalizedContractCos"/>
            <w:bookmarkEnd w:id="2048"/>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049" w:name="xdx_981_ecustom--CommissionsIncurred_c20"/>
            <w:bookmarkEnd w:id="2049"/>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50" w:name="xdx_984_ecustom--DeferredCommissionsReco"/>
            <w:bookmarkEnd w:id="2050"/>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1" w:name="xdx_984_eus-gaap--CapitalizedContractCos"/>
            <w:bookmarkEnd w:id="2051"/>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52" w:name="xdx_8A7_ziQFHmesCg9b"/>
      <w:bookmarkEnd w:id="205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w:t>
      </w:r>
      <w:bookmarkStart w:id="2053" w:name="xdx_901_eus-gaap--ContractWithCustomerLi"/>
      <w:bookmarkEnd w:id="2053"/>
      <w:r>
        <w:rPr>
          <w:rFonts w:ascii="Times New Roman;Times;Serif" w:hAnsi="Times New Roman;Times;Serif"/>
          <w:b w:val="false"/>
          <w:i w:val="false"/>
          <w:caps w:val="false"/>
          <w:smallCaps w:val="false"/>
          <w:sz w:val="20"/>
        </w:rPr>
        <w:t xml:space="preserve">3,867,853 and </w:t>
      </w:r>
      <w:r>
        <w:rPr>
          <w:rFonts w:ascii="Times New Roman;Times;Serif" w:hAnsi="Times New Roman;Times;Serif"/>
          <w:b w:val="false"/>
          <w:i w:val="false"/>
          <w:caps w:val="false"/>
          <w:smallCaps w:val="false"/>
          <w:sz w:val="20"/>
          <w:shd w:fill="FFFFFF" w:val="clear"/>
        </w:rPr>
        <w:t>$</w:t>
      </w:r>
      <w:bookmarkStart w:id="2054" w:name="xdx_908_eus-gaap--ContractWithCustomerLi"/>
      <w:bookmarkEnd w:id="2054"/>
      <w:r>
        <w:rPr>
          <w:rFonts w:ascii="Times New Roman;Times;Serif" w:hAnsi="Times New Roman;Times;Serif"/>
          <w:b w:val="false"/>
          <w:i w:val="false"/>
          <w:caps w:val="false"/>
          <w:smallCaps w:val="false"/>
          <w:sz w:val="20"/>
          <w:shd w:fill="FFFFFF" w:val="clear"/>
        </w:rPr>
        <w:t>1,214,096</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55" w:name="xdx_898_eus-gaap--ContractWithCustomerAs"/>
      <w:bookmarkEnd w:id="2055"/>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56" w:name="xdx_8B1_zIf6EXzCIT1g"/>
      <w:bookmarkEnd w:id="2056"/>
      <w:r>
        <w:rPr>
          <w:rFonts w:ascii="Times New Roman;Times;Serif" w:hAnsi="Times New Roman;Times;Serif"/>
          <w:b w:val="false"/>
          <w:i w:val="false"/>
          <w:caps w:val="false"/>
          <w:smallCaps w:val="false"/>
          <w:sz w:val="20"/>
        </w:rPr>
        <w:t>Summary of Changes in Total Deferred Revenue </w:t>
      </w:r>
    </w:p>
    <w:tbl>
      <w:tblPr>
        <w:tblW w:w="9372" w:type="dxa"/>
        <w:jc w:val="left"/>
        <w:tblInd w:w="0" w:type="dxa"/>
        <w:tblLayout w:type="fixed"/>
        <w:tblCellMar>
          <w:top w:w="0" w:type="dxa"/>
          <w:left w:w="0" w:type="dxa"/>
          <w:bottom w:w="0" w:type="dxa"/>
          <w:right w:w="0" w:type="dxa"/>
        </w:tblCellMar>
      </w:tblPr>
      <w:tblGrid>
        <w:gridCol w:w="6485"/>
        <w:gridCol w:w="60"/>
        <w:gridCol w:w="149"/>
        <w:gridCol w:w="1127"/>
        <w:gridCol w:w="101"/>
        <w:gridCol w:w="64"/>
        <w:gridCol w:w="149"/>
        <w:gridCol w:w="1127"/>
        <w:gridCol w:w="11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2057" w:name="xdx_49F_20250101__20251231_zUstySWQbrhh"/>
            <w:bookmarkEnd w:id="2057"/>
          </w:p>
        </w:tc>
        <w:tc>
          <w:tcPr>
            <w:tcW w:w="112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2058" w:name="xdx_49E_20240101__20241231_zHB1dX9URzSe"/>
            <w:bookmarkEnd w:id="2058"/>
          </w:p>
        </w:tc>
        <w:tc>
          <w:tcPr>
            <w:tcW w:w="11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059" w:name="xdx_405_eus-gaap--ContractWithCustomerLi"/>
            <w:bookmarkEnd w:id="2059"/>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pPr>
            <w:r>
              <w:rPr/>
              <w:t> </w:t>
            </w:r>
            <w:bookmarkStart w:id="2060" w:name="xdx_405_ecustom--ContractWithCustomerLia"/>
            <w:bookmarkEnd w:id="2060"/>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9,487,029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4,362,730</w:t>
            </w:r>
          </w:p>
        </w:tc>
        <w:tc>
          <w:tcPr>
            <w:tcW w:w="110" w:type="dxa"/>
            <w:tcBorders/>
            <w:shd w:fill="FFFFFF" w:val="clear"/>
            <w:vAlign w:val="center"/>
          </w:tcPr>
          <w:p>
            <w:pPr>
              <w:pStyle w:val="TableContents"/>
              <w:bidi w:val="0"/>
              <w:spacing w:before="0" w:after="283"/>
              <w:jc w:val="left"/>
              <w:rPr/>
            </w:pPr>
            <w:r>
              <w:rPr/>
              <w:t> </w:t>
            </w:r>
            <w:bookmarkStart w:id="2061" w:name="xdx_40B_ecustom--ContractWithCustomerLia"/>
            <w:bookmarkEnd w:id="2061"/>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(3,867,853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2" w:name="xdx_405_ecustom--ContractWithCustomerLia"/>
            <w:bookmarkEnd w:id="2062"/>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(6,383,159</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(3,091,333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63" w:name="xdx_407_eus-gaap--ContractWithCustomerLi"/>
            <w:bookmarkEnd w:id="2063"/>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OpenReel (see Note 4 – Acquisitions)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2,780,873</w:t>
            </w:r>
          </w:p>
        </w:tc>
        <w:tc>
          <w:tcPr>
            <w:tcW w:w="110" w:type="dxa"/>
            <w:tcBorders/>
            <w:shd w:fill="CCEEFF" w:val="clear"/>
            <w:vAlign w:val="center"/>
          </w:tcPr>
          <w:p>
            <w:pPr>
              <w:pStyle w:val="TableContents"/>
              <w:bidi w:val="0"/>
              <w:spacing w:before="0" w:after="283"/>
              <w:jc w:val="left"/>
              <w:rPr/>
            </w:pPr>
            <w:r>
              <w:rPr/>
              <w:t> </w:t>
            </w:r>
            <w:bookmarkStart w:id="2064" w:name="xdx_405_eus-gaap--ContractWithCustomerLi"/>
            <w:bookmarkEnd w:id="2064"/>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Vidello (see Note 4 – Acquisitions)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65" w:name="xdx_405_eus-gaap--ContractWithCustomerLi"/>
            <w:bookmarkEnd w:id="2065"/>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end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3,736,253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66" w:name="xdx_80F_eus-gaap--FairValueDisclosuresTe"/>
      <w:bookmarkEnd w:id="2066"/>
      <w:r>
        <w:rPr>
          <w:rFonts w:ascii="Times New Roman;Times;Serif" w:hAnsi="Times New Roman;Times;Serif"/>
          <w:b/>
          <w:i w:val="false"/>
          <w:caps w:val="false"/>
          <w:smallCaps w:val="false"/>
          <w:sz w:val="20"/>
        </w:rPr>
        <w:t xml:space="preserve">7. </w:t>
      </w:r>
      <w:bookmarkStart w:id="2067" w:name="xdx_829_zKezHtFRI3si"/>
      <w:bookmarkEnd w:id="2067"/>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68" w:name="xdx_8BE_zg0sxR6tcfP2"/>
      <w:bookmarkStart w:id="2069" w:name="xdx_89C_eus-gaap--FairValueAssetsAndLiab"/>
      <w:bookmarkEnd w:id="2068"/>
      <w:bookmarkEnd w:id="2069"/>
      <w:r>
        <w:rPr>
          <w:rFonts w:ascii="Times New Roman;Times;Serif" w:hAnsi="Times New Roman;Times;Serif"/>
          <w:b w:val="false"/>
          <w:i w:val="false"/>
          <w:caps w:val="false"/>
          <w:smallCaps w:val="false"/>
          <w:sz w:val="20"/>
        </w:rPr>
        <w:t>Schedule of Fair Value on Recurring Basis </w:t>
      </w:r>
    </w:p>
    <w:tbl>
      <w:tblPr>
        <w:tblW w:w="8400" w:type="dxa"/>
        <w:jc w:val="left"/>
        <w:tblInd w:w="0" w:type="dxa"/>
        <w:tblLayout w:type="fixed"/>
        <w:tblCellMar>
          <w:top w:w="0" w:type="dxa"/>
          <w:left w:w="0" w:type="dxa"/>
          <w:bottom w:w="28" w:type="dxa"/>
          <w:right w:w="0" w:type="dxa"/>
        </w:tblCellMar>
      </w:tblPr>
      <w:tblGrid>
        <w:gridCol w:w="4970"/>
        <w:gridCol w:w="60"/>
        <w:gridCol w:w="575"/>
        <w:gridCol w:w="60"/>
        <w:gridCol w:w="60"/>
        <w:gridCol w:w="140"/>
        <w:gridCol w:w="1100"/>
        <w:gridCol w:w="60"/>
        <w:gridCol w:w="60"/>
        <w:gridCol w:w="140"/>
        <w:gridCol w:w="1100"/>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070" w:name="xdx_49E_20251231_zo4rTzyrE77k"/>
            <w:bookmarkEnd w:id="2070"/>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071" w:name="xdx_496_20241231_za4ZBVzF78C9"/>
            <w:bookmarkEnd w:id="2071"/>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072" w:name="xdx_406_eus-gaap--EmbeddedDerivativeFair"/>
            <w:bookmarkEnd w:id="2072"/>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75" w:type="dxa"/>
            <w:tcBorders/>
            <w:shd w:fill="FFFFFF" w:val="clear"/>
            <w:tcMar>
              <w:bottom w:w="0" w:type="dxa"/>
            </w:tcMar>
            <w:vAlign w:val="center"/>
          </w:tcPr>
          <w:p>
            <w:pPr>
              <w:pStyle w:val="TableContents"/>
              <w:bidi w:val="0"/>
              <w:spacing w:before="0" w:after="283"/>
              <w:jc w:val="left"/>
              <w:rPr/>
            </w:pPr>
            <w:r>
              <w:rPr/>
              <w:t> </w:t>
            </w:r>
            <w:bookmarkStart w:id="2073" w:name="xdx_400_ecustom--DefiniteLivedIntangible"/>
            <w:bookmarkEnd w:id="2073"/>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Definite-lived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75" w:type="dxa"/>
            <w:tcBorders/>
            <w:shd w:fill="CCEEFF" w:val="clear"/>
            <w:tcMar>
              <w:bottom w:w="0" w:type="dxa"/>
            </w:tcMar>
            <w:vAlign w:val="center"/>
          </w:tcPr>
          <w:p>
            <w:pPr>
              <w:pStyle w:val="TableContents"/>
              <w:bidi w:val="0"/>
              <w:spacing w:before="0" w:after="283"/>
              <w:jc w:val="left"/>
              <w:rPr/>
            </w:pPr>
            <w:r>
              <w:rPr/>
              <w:t> </w:t>
            </w:r>
            <w:bookmarkStart w:id="2074" w:name="xdx_408_eus-gaap--Goodwill_iI_hus-gaap--"/>
            <w:bookmarkEnd w:id="2074"/>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075" w:name="xdx_408_ecustom--WarrantLiabilitiesPubli"/>
            <w:bookmarkEnd w:id="2075"/>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 – public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75" w:type="dxa"/>
            <w:tcBorders/>
            <w:shd w:fill="FFFFFF" w:val="clear"/>
            <w:tcMar>
              <w:bottom w:w="0" w:type="dxa"/>
            </w:tcMar>
            <w:vAlign w:val="center"/>
          </w:tcPr>
          <w:p>
            <w:pPr>
              <w:pStyle w:val="TableContents"/>
              <w:bidi w:val="0"/>
              <w:spacing w:before="0" w:after="283"/>
              <w:jc w:val="left"/>
              <w:rPr/>
            </w:pPr>
            <w:r>
              <w:rPr/>
              <w:t> </w:t>
            </w:r>
            <w:bookmarkStart w:id="2076" w:name="xdx_408_ecustom--GemWarransLiabilities_i"/>
            <w:bookmarkEnd w:id="2076"/>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tcMar>
              <w:bottom w:w="0" w:type="dxa"/>
            </w:tcMar>
            <w:vAlign w:val="center"/>
          </w:tcPr>
          <w:p>
            <w:pPr>
              <w:pStyle w:val="TableContents"/>
              <w:bidi w:val="0"/>
              <w:spacing w:before="0" w:after="283"/>
              <w:jc w:val="left"/>
              <w:rPr/>
            </w:pPr>
            <w:r>
              <w:rPr/>
              <w:t> </w:t>
            </w:r>
            <w:bookmarkStart w:id="2077" w:name="xdx_409_ecustom--EarnoutLiabilityCurrent"/>
            <w:bookmarkEnd w:id="2077"/>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2078" w:name="xdx_406_ecustom--ConvertibleDebts_iI_hus"/>
            <w:bookmarkEnd w:id="2078"/>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2079" w:name="xdx_405_eus-gaap--NotesPayable_iI_hus-ga"/>
            <w:bookmarkEnd w:id="2079"/>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Agile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75" w:type="dxa"/>
            <w:tcBorders/>
            <w:shd w:fill="FFFFFF" w:val="clear"/>
            <w:tcMar>
              <w:bottom w:w="0" w:type="dxa"/>
            </w:tcMar>
            <w:vAlign w:val="center"/>
          </w:tcPr>
          <w:p>
            <w:pPr>
              <w:pStyle w:val="TableContents"/>
              <w:bidi w:val="0"/>
              <w:spacing w:before="0" w:after="283"/>
              <w:jc w:val="left"/>
              <w:rPr/>
            </w:pPr>
            <w:r>
              <w:rPr/>
              <w:t> </w:t>
            </w:r>
            <w:bookmarkStart w:id="2080" w:name="xdx_409_eus-gaap--ConvertibleNotesPayabl"/>
            <w:bookmarkEnd w:id="2080"/>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1800 Diagonal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75" w:type="dxa"/>
            <w:tcBorders/>
            <w:shd w:fill="CCEEFF" w:val="clear"/>
            <w:tcMar>
              <w:bottom w:w="0" w:type="dxa"/>
            </w:tcMar>
            <w:vAlign w:val="center"/>
          </w:tcPr>
          <w:p>
            <w:pPr>
              <w:pStyle w:val="TableContents"/>
              <w:bidi w:val="0"/>
              <w:spacing w:before="0" w:after="283"/>
              <w:jc w:val="left"/>
              <w:rPr/>
            </w:pPr>
            <w:r>
              <w:rPr/>
              <w:t> </w:t>
            </w:r>
            <w:bookmarkStart w:id="2081" w:name="xdx_402_eus-gaap--ConvertibleDebtFairVal"/>
            <w:bookmarkEnd w:id="2081"/>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Convertible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2082" w:name="xdx_40C_ecustom--PrivatePlacementWarrant"/>
            <w:bookmarkEnd w:id="2082"/>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2083" w:name="xdx_40B_ecustom--BootCapitalNote_iI_hus-"/>
            <w:bookmarkEnd w:id="2083"/>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Boot Capital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84" w:name="xdx_8A8_zwJC7RPLxXif"/>
      <w:bookmarkEnd w:id="20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December 31, 2025.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085" w:name="xdx_89B_ecustom--SummaryOfChangesInTheFa"/>
      <w:bookmarkEnd w:id="2085"/>
      <w:r>
        <w:rPr>
          <w:caps w:val="false"/>
          <w:smallCaps w:val="false"/>
        </w:rPr>
        <w:t> </w:t>
      </w:r>
      <w:bookmarkStart w:id="2086" w:name="xdx_8B2_zBJbaJYJtYMg"/>
      <w:bookmarkEnd w:id="2086"/>
      <w:r>
        <w:rPr>
          <w:rFonts w:ascii="Times New Roman;Times;Serif" w:hAnsi="Times New Roman;Times;Serif"/>
          <w:b w:val="false"/>
          <w:i w:val="false"/>
          <w:caps w:val="false"/>
          <w:smallCaps w:val="false"/>
          <w:sz w:val="20"/>
        </w:rPr>
        <w:t>Summary of Changes in the Fair Value of the Warrants Liability</w:t>
      </w:r>
    </w:p>
    <w:tbl>
      <w:tblPr>
        <w:tblW w:w="4844" w:type="dxa"/>
        <w:jc w:val="left"/>
        <w:tblInd w:w="0" w:type="dxa"/>
        <w:tblLayout w:type="fixed"/>
        <w:tblCellMar>
          <w:top w:w="0" w:type="dxa"/>
          <w:left w:w="0" w:type="dxa"/>
          <w:bottom w:w="0" w:type="dxa"/>
          <w:right w:w="0" w:type="dxa"/>
        </w:tblCellMar>
      </w:tblPr>
      <w:tblGrid>
        <w:gridCol w:w="2960"/>
        <w:gridCol w:w="60"/>
        <w:gridCol w:w="309"/>
        <w:gridCol w:w="140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087" w:name="xdx_492_20250101__20251231_zx6HHtaCyFEf"/>
            <w:bookmarkEnd w:id="2087"/>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Public Warrants</w:t>
            </w:r>
          </w:p>
        </w:tc>
        <w:tc>
          <w:tcPr>
            <w:tcW w:w="110" w:type="dxa"/>
            <w:tcBorders/>
            <w:vAlign w:val="center"/>
          </w:tcPr>
          <w:p>
            <w:pPr>
              <w:pStyle w:val="TableContents"/>
              <w:bidi w:val="0"/>
              <w:spacing w:before="0" w:after="283"/>
              <w:jc w:val="left"/>
              <w:rPr/>
            </w:pPr>
            <w:r>
              <w:rPr/>
              <w:t> </w:t>
            </w:r>
            <w:bookmarkStart w:id="2088" w:name="xdx_408_ecustom--PublicWarrantsLiability"/>
            <w:bookmarkEnd w:id="2088"/>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bookmarkStart w:id="2089" w:name="xdx_405_ecustom--ChangeInFairValueOfPubl"/>
            <w:bookmarkEnd w:id="2089"/>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0" w:name="xdx_40F_ecustom--PublicWarrantsLiability"/>
            <w:bookmarkEnd w:id="2090"/>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91" w:name="xdx_8A1_zZURuLAQF0Ib"/>
      <w:bookmarkEnd w:id="209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92" w:name="xdx_8BE_zURThKEwXMxd"/>
      <w:bookmarkStart w:id="2093" w:name="xdx_897_ecustom--SummaryOfChangesInTheFa"/>
      <w:bookmarkEnd w:id="2092"/>
      <w:bookmarkEnd w:id="2093"/>
      <w:r>
        <w:rPr>
          <w:rFonts w:ascii="Times New Roman;Times;Serif" w:hAnsi="Times New Roman;Times;Serif"/>
          <w:b w:val="false"/>
          <w:i w:val="false"/>
          <w:caps w:val="false"/>
          <w:smallCaps w:val="false"/>
          <w:sz w:val="20"/>
        </w:rPr>
        <w:t>Summary of Changes in the Fair Value of the Warrants Liability</w:t>
      </w:r>
    </w:p>
    <w:tbl>
      <w:tblPr>
        <w:tblW w:w="4769" w:type="dxa"/>
        <w:jc w:val="left"/>
        <w:tblInd w:w="0" w:type="dxa"/>
        <w:tblLayout w:type="fixed"/>
        <w:tblCellMar>
          <w:top w:w="0" w:type="dxa"/>
          <w:left w:w="0" w:type="dxa"/>
          <w:bottom w:w="0" w:type="dxa"/>
          <w:right w:w="0" w:type="dxa"/>
        </w:tblCellMar>
      </w:tblPr>
      <w:tblGrid>
        <w:gridCol w:w="2960"/>
        <w:gridCol w:w="60"/>
        <w:gridCol w:w="254"/>
        <w:gridCol w:w="138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094" w:name="xdx_498_20250101__20251231_zYaTDwwIzwYk"/>
            <w:bookmarkEnd w:id="2094"/>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GEM Warrants</w:t>
            </w:r>
          </w:p>
        </w:tc>
        <w:tc>
          <w:tcPr>
            <w:tcW w:w="110" w:type="dxa"/>
            <w:tcBorders/>
            <w:vAlign w:val="center"/>
          </w:tcPr>
          <w:p>
            <w:pPr>
              <w:pStyle w:val="TableContents"/>
              <w:bidi w:val="0"/>
              <w:spacing w:before="0" w:after="283"/>
              <w:jc w:val="left"/>
              <w:rPr/>
            </w:pPr>
            <w:r>
              <w:rPr/>
              <w:t> </w:t>
            </w:r>
            <w:bookmarkStart w:id="2095" w:name="xdx_402_ecustom--GemWarrantsLiability_iS"/>
            <w:bookmarkEnd w:id="2095"/>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bookmarkStart w:id="2096" w:name="xdx_409_ecustom--ChangeInFairValueOfGemW"/>
            <w:bookmarkEnd w:id="2096"/>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97" w:name="xdx_402_ecustom--GemWarrantsLiability_iE"/>
            <w:bookmarkEnd w:id="209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098" w:name="xdx_8AB_zya4xqbQhbha"/>
      <w:bookmarkEnd w:id="209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099" w:name="xdx_8BA_zsCDeUtsjyr3"/>
      <w:bookmarkStart w:id="2100" w:name="xdx_89A_ecustom--SummaryOfChangesInFairV"/>
      <w:bookmarkEnd w:id="2099"/>
      <w:bookmarkEnd w:id="2100"/>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8084" w:type="dxa"/>
        <w:jc w:val="left"/>
        <w:tblInd w:w="0" w:type="dxa"/>
        <w:tblLayout w:type="fixed"/>
        <w:tblCellMar>
          <w:top w:w="0" w:type="dxa"/>
          <w:left w:w="0" w:type="dxa"/>
          <w:bottom w:w="0" w:type="dxa"/>
          <w:right w:w="0" w:type="dxa"/>
        </w:tblCellMar>
      </w:tblPr>
      <w:tblGrid>
        <w:gridCol w:w="5150"/>
        <w:gridCol w:w="60"/>
        <w:gridCol w:w="321"/>
        <w:gridCol w:w="2443"/>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01" w:name="xdx_491_20250101__20251231_z0NMnx7Z5Uo1"/>
            <w:bookmarkEnd w:id="2101"/>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Yorkville Convertible Note</w:t>
            </w:r>
          </w:p>
        </w:tc>
        <w:tc>
          <w:tcPr>
            <w:tcW w:w="110" w:type="dxa"/>
            <w:tcBorders/>
            <w:vAlign w:val="center"/>
          </w:tcPr>
          <w:p>
            <w:pPr>
              <w:pStyle w:val="TableContents"/>
              <w:bidi w:val="0"/>
              <w:spacing w:before="0" w:after="283"/>
              <w:jc w:val="left"/>
              <w:rPr/>
            </w:pPr>
            <w:r>
              <w:rPr/>
              <w:t> </w:t>
            </w:r>
            <w:bookmarkStart w:id="2102" w:name="xdx_40C_eus-gaap--ConvertibleDebt_iS_hus"/>
            <w:bookmarkEnd w:id="2102"/>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03" w:name="xdx_403_ecustom--IssuanceOfYorkvilleConv"/>
            <w:bookmarkEnd w:id="2103"/>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4,950,000</w:t>
            </w:r>
          </w:p>
        </w:tc>
        <w:tc>
          <w:tcPr>
            <w:tcW w:w="110" w:type="dxa"/>
            <w:tcBorders/>
            <w:shd w:fill="FFFFFF" w:val="clear"/>
            <w:vAlign w:val="center"/>
          </w:tcPr>
          <w:p>
            <w:pPr>
              <w:pStyle w:val="TableContents"/>
              <w:bidi w:val="0"/>
              <w:spacing w:before="0" w:after="283"/>
              <w:jc w:val="left"/>
              <w:rPr/>
            </w:pPr>
            <w:r>
              <w:rPr/>
              <w:t> </w:t>
            </w:r>
            <w:bookmarkStart w:id="2104" w:name="xdx_407_ecustom--GainsLossesOnDebtIssuan"/>
            <w:bookmarkEnd w:id="2104"/>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0" w:type="dxa"/>
            <w:tcBorders/>
            <w:shd w:fill="CCEEFF" w:val="clear"/>
            <w:vAlign w:val="center"/>
          </w:tcPr>
          <w:p>
            <w:pPr>
              <w:pStyle w:val="TableContents"/>
              <w:bidi w:val="0"/>
              <w:spacing w:before="0" w:after="283"/>
              <w:jc w:val="left"/>
              <w:rPr/>
            </w:pPr>
            <w:r>
              <w:rPr/>
              <w:t> </w:t>
            </w:r>
            <w:bookmarkStart w:id="2105" w:name="xdx_40D_ecustom--PaymentInSharesToSettle"/>
            <w:bookmarkEnd w:id="2105"/>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06" w:name="xdx_403_eus-gaap--RepaymentsOfConvertibl"/>
            <w:bookmarkEnd w:id="2106"/>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in cash of Yorkville convertible notes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07" w:name="xdx_40A_ecustom--Conversions_hus-gaap--F"/>
            <w:bookmarkEnd w:id="2107"/>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08" w:name="xdx_406_ecustom--ChangeInFairValueOfYork"/>
            <w:bookmarkEnd w:id="2108"/>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321,165</w:t>
            </w:r>
          </w:p>
        </w:tc>
        <w:tc>
          <w:tcPr>
            <w:tcW w:w="110" w:type="dxa"/>
            <w:tcBorders/>
            <w:shd w:fill="CCEEFF" w:val="clear"/>
            <w:vAlign w:val="center"/>
          </w:tcPr>
          <w:p>
            <w:pPr>
              <w:pStyle w:val="TableContents"/>
              <w:bidi w:val="0"/>
              <w:spacing w:before="0" w:after="283"/>
              <w:jc w:val="left"/>
              <w:rPr/>
            </w:pPr>
            <w:r>
              <w:rPr/>
              <w:t> </w:t>
            </w:r>
            <w:bookmarkStart w:id="2109" w:name="xdx_407_eus-gaap--ConvertibleDebt_iE_hus"/>
            <w:bookmarkEnd w:id="2109"/>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10" w:name="xdx_8A1_zXYFHlyniVC"/>
      <w:bookmarkEnd w:id="211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w:t>
      </w:r>
      <w:bookmarkStart w:id="2111" w:name="xdx_906_eus-gaap--DerivativeFairValueOfD"/>
      <w:bookmarkEnd w:id="2111"/>
      <w:r>
        <w:rPr>
          <w:rFonts w:ascii="Times New Roman;Times;Serif" w:hAnsi="Times New Roman;Times;Serif"/>
          <w:b w:val="false"/>
          <w:i w:val="false"/>
          <w:caps w:val="false"/>
          <w:smallCaps w:val="false"/>
          <w:sz w:val="20"/>
        </w:rPr>
        <w:t>12,000. The fair value of the bifurcated derivative asset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bifurcated embedded derivative asset for the year ended December 31, 2025,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112" w:name="xdx_89D_ecustom--ScheduleOfDerivativeAss"/>
      <w:bookmarkEnd w:id="2112"/>
      <w:r>
        <w:rPr>
          <w:caps w:val="false"/>
          <w:smallCaps w:val="false"/>
        </w:rPr>
        <w:t> </w:t>
      </w:r>
      <w:bookmarkStart w:id="2113" w:name="xdx_8BE_zCS7Mg3L3qkd"/>
      <w:bookmarkEnd w:id="2113"/>
      <w:r>
        <w:rPr>
          <w:rFonts w:ascii="Times New Roman;Times;Serif" w:hAnsi="Times New Roman;Times;Serif"/>
          <w:b w:val="false"/>
          <w:i w:val="false"/>
          <w:caps w:val="false"/>
          <w:smallCaps w:val="false"/>
          <w:sz w:val="20"/>
        </w:rPr>
        <w:t>Schedule of Derivate Assets</w:t>
      </w:r>
    </w:p>
    <w:tbl>
      <w:tblPr>
        <w:tblW w:w="4244" w:type="dxa"/>
        <w:jc w:val="left"/>
        <w:tblInd w:w="0" w:type="dxa"/>
        <w:tblLayout w:type="fixed"/>
        <w:tblCellMar>
          <w:top w:w="0" w:type="dxa"/>
          <w:left w:w="0" w:type="dxa"/>
          <w:bottom w:w="0" w:type="dxa"/>
          <w:right w:w="0" w:type="dxa"/>
        </w:tblCellMar>
      </w:tblPr>
      <w:tblGrid>
        <w:gridCol w:w="2960"/>
        <w:gridCol w:w="60"/>
        <w:gridCol w:w="174"/>
        <w:gridCol w:w="940"/>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14" w:name="xdx_494_20250101__20251231_zHbC7AwyYBH7"/>
            <w:bookmarkEnd w:id="2114"/>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bookmarkStart w:id="2115" w:name="xdx_40B_eus-gaap--DerivativeAssetsLiabil"/>
            <w:bookmarkEnd w:id="2115"/>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CCEEFF" w:val="clear"/>
            <w:vAlign w:val="center"/>
          </w:tcPr>
          <w:p>
            <w:pPr>
              <w:pStyle w:val="TableContents"/>
              <w:bidi w:val="0"/>
              <w:spacing w:before="0" w:after="283"/>
              <w:jc w:val="left"/>
              <w:rPr/>
            </w:pPr>
            <w:r>
              <w:rPr/>
              <w:t> </w:t>
            </w:r>
            <w:bookmarkStart w:id="2116" w:name="xdx_400_eus-gaap--EmbeddedDerivativeGain"/>
            <w:bookmarkEnd w:id="2116"/>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17" w:name="xdx_40F_eus-gaap--DerivativeAssetsLiabil"/>
            <w:bookmarkEnd w:id="2117"/>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18" w:name="xdx_8AD_zdKrFvOhlTbg"/>
      <w:bookmarkEnd w:id="211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19" w:name="xdx_8B5_znkuPS2jWKWk"/>
      <w:bookmarkStart w:id="2120" w:name="xdx_899_eus-gaap--FairValueNetDerivative"/>
      <w:bookmarkEnd w:id="2119"/>
      <w:bookmarkEnd w:id="2120"/>
      <w:r>
        <w:rPr>
          <w:rFonts w:ascii="Times New Roman;Times;Serif" w:hAnsi="Times New Roman;Times;Serif"/>
          <w:b w:val="false"/>
          <w:i w:val="false"/>
          <w:caps w:val="false"/>
          <w:smallCaps w:val="false"/>
          <w:sz w:val="20"/>
        </w:rPr>
        <w:t>Summary of Ranges of Inputs in Fair Value of the Private Placement Warrant Liability</w:t>
      </w:r>
    </w:p>
    <w:tbl>
      <w:tblPr>
        <w:tblW w:w="4559" w:type="dxa"/>
        <w:jc w:val="left"/>
        <w:tblInd w:w="0" w:type="dxa"/>
        <w:tblLayout w:type="fixed"/>
        <w:tblCellMar>
          <w:top w:w="0" w:type="dxa"/>
          <w:left w:w="0" w:type="dxa"/>
          <w:bottom w:w="28" w:type="dxa"/>
          <w:right w:w="0" w:type="dxa"/>
        </w:tblCellMar>
      </w:tblPr>
      <w:tblGrid>
        <w:gridCol w:w="2315"/>
        <w:gridCol w:w="60"/>
        <w:gridCol w:w="176"/>
        <w:gridCol w:w="1778"/>
        <w:gridCol w:w="230"/>
      </w:tblGrid>
      <w:tr>
        <w:trPr/>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Key Inputs</w:t>
            </w:r>
          </w:p>
        </w:tc>
        <w:tc>
          <w:tcPr>
            <w:tcW w:w="60" w:type="dxa"/>
            <w:tcBorders/>
            <w:tcMar>
              <w:bottom w:w="0" w:type="dxa"/>
            </w:tcMar>
            <w:vAlign w:val="center"/>
          </w:tcPr>
          <w:p>
            <w:pPr>
              <w:pStyle w:val="TableContents"/>
              <w:bidi w:val="0"/>
              <w:spacing w:before="0" w:after="283"/>
              <w:jc w:val="left"/>
              <w:rPr/>
            </w:pPr>
            <w:r>
              <w:rPr/>
              <w:t> </w:t>
            </w:r>
            <w:bookmarkStart w:id="2121" w:name="xdx_49F_20251231_zNxa1kP6pJO1"/>
            <w:bookmarkEnd w:id="2121"/>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122" w:name="xdx_901_eus-gaap--WarrantsAndRightsOutst"/>
            <w:bookmarkEnd w:id="2122"/>
            <w:r>
              <w:rPr>
                <w:rFonts w:ascii="Times New Roman;Times;Serif" w:hAnsi="Times New Roman;Times;Serif"/>
              </w:rPr>
              <w:t>19.40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23" w:name="xdx_902_eus-gaap--WarrantsAndRightsOutst"/>
            <w:bookmarkEnd w:id="2123"/>
            <w:r>
              <w:rPr>
                <w:rFonts w:ascii="Times New Roman;Times;Serif" w:hAnsi="Times New Roman;Times;Serif"/>
              </w:rPr>
              <w:t xml:space="preserve">2.50 - </w:t>
            </w:r>
            <w:bookmarkStart w:id="2124" w:name="xdx_90E_eus-gaap--WarrantsAndRightsOutst"/>
            <w:bookmarkEnd w:id="2124"/>
            <w:r>
              <w:rPr>
                <w:rFonts w:ascii="Times New Roman;Times;Serif" w:hAnsi="Times New Roman;Times;Serif"/>
              </w:rPr>
              <w:t>4.77</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2125" w:name="xdx_904_eus-gaap--WarrantsAndRightsOutst"/>
            <w:bookmarkEnd w:id="2125"/>
            <w:r>
              <w:rPr>
                <w:rFonts w:ascii="Times New Roman;Times;Serif" w:hAnsi="Times New Roman;Times;Serif"/>
              </w:rPr>
              <w:t xml:space="preserve">3.5% - </w:t>
            </w:r>
            <w:bookmarkStart w:id="2126" w:name="xdx_906_eus-gaap--WarrantsAndRightsOutst"/>
            <w:bookmarkEnd w:id="2126"/>
            <w:r>
              <w:rPr>
                <w:rFonts w:ascii="Times New Roman;Times;Serif" w:hAnsi="Times New Roman;Times;Serif"/>
              </w:rPr>
              <w:t>3.7%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r>
              <w:rPr>
                <w:rFonts w:ascii="Times New Roman;Times;Serif" w:hAnsi="Times New Roman;Times;Serif"/>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27" w:name="xdx_903_eus-gaap--WarrantsAndRightsOutst"/>
            <w:bookmarkEnd w:id="2127"/>
            <w:r>
              <w:rPr>
                <w:rFonts w:ascii="Times New Roman;Times;Serif" w:hAnsi="Times New Roman;Times;Serif"/>
              </w:rPr>
              <w:t>125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pPr>
            <w:r>
              <w:rPr>
                <w:rFonts w:ascii="Times New Roman;Times;Serif" w:hAnsi="Times New Roman;Times;Serif"/>
              </w:rPr>
              <w:t>$</w:t>
            </w:r>
            <w:bookmarkStart w:id="2128" w:name="xdx_90E_eus-gaap--WarrantsAndRightsOutst"/>
            <w:bookmarkEnd w:id="2128"/>
            <w:r>
              <w:rPr>
                <w:rFonts w:ascii="Times New Roman;Times;Serif" w:hAnsi="Times New Roman;Times;Serif"/>
              </w:rPr>
              <w:t>50.00-$</w:t>
            </w:r>
            <w:bookmarkStart w:id="2129" w:name="xdx_908_eus-gaap--WarrantsAndRightsOutst"/>
            <w:bookmarkEnd w:id="2129"/>
            <w:r>
              <w:rPr>
                <w:rFonts w:ascii="Times New Roman;Times;Serif" w:hAnsi="Times New Roman;Times;Serif"/>
              </w:rPr>
              <w:t>87.20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2130" w:name="xdx_90A_eus-gaap--WarrantsAndRightsOutst"/>
            <w:bookmarkEnd w:id="2130"/>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131" w:name="xdx_8A4_znEp5NvYvHFi"/>
      <w:bookmarkEnd w:id="2131"/>
      <w:r>
        <w:rPr>
          <w:caps w:val="false"/>
          <w:smallCaps w:val="false"/>
        </w:rPr>
        <w:t> </w:t>
      </w:r>
    </w:p>
    <w:p>
      <w:pPr>
        <w:pStyle w:val="TextBody"/>
        <w:bidi w:val="0"/>
        <w:spacing w:before="0" w:after="0"/>
        <w:ind w:left="0" w:right="0" w:hanging="0"/>
        <w:jc w:val="both"/>
        <w:rPr>
          <w:caps w:val="false"/>
          <w:smallCaps w:val="false"/>
        </w:rPr>
      </w:pPr>
      <w:bookmarkStart w:id="2132" w:name="xdx_896_ecustom--FairValueChangeOfPrivat"/>
      <w:bookmarkEnd w:id="2132"/>
      <w:r>
        <w:rPr>
          <w:caps w:val="false"/>
          <w:smallCaps w:val="false"/>
        </w:rPr>
        <w:t> </w:t>
      </w:r>
      <w:bookmarkStart w:id="2133" w:name="xdx_8BF_zjiI8WExjyFk"/>
      <w:bookmarkEnd w:id="2133"/>
      <w:r>
        <w:rPr>
          <w:rFonts w:ascii="Times New Roman;Times;Serif" w:hAnsi="Times New Roman;Times;Serif"/>
          <w:b w:val="false"/>
          <w:i w:val="false"/>
          <w:caps w:val="false"/>
          <w:smallCaps w:val="false"/>
          <w:sz w:val="20"/>
        </w:rPr>
        <w:t>Summary of Changes in Fair Value of Private Placement Warrant Liability</w:t>
      </w:r>
    </w:p>
    <w:tbl>
      <w:tblPr>
        <w:tblW w:w="6554" w:type="dxa"/>
        <w:jc w:val="left"/>
        <w:tblInd w:w="0" w:type="dxa"/>
        <w:tblLayout w:type="fixed"/>
        <w:tblCellMar>
          <w:top w:w="0" w:type="dxa"/>
          <w:left w:w="0" w:type="dxa"/>
          <w:bottom w:w="0" w:type="dxa"/>
          <w:right w:w="0" w:type="dxa"/>
        </w:tblCellMar>
      </w:tblPr>
      <w:tblGrid>
        <w:gridCol w:w="3470"/>
        <w:gridCol w:w="60"/>
        <w:gridCol w:w="341"/>
        <w:gridCol w:w="2573"/>
        <w:gridCol w:w="110"/>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34" w:name="xdx_498_20250101__20251231_zh4v7CDFLPI1"/>
            <w:bookmarkEnd w:id="2134"/>
          </w:p>
        </w:tc>
        <w:tc>
          <w:tcPr>
            <w:tcW w:w="2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c>
          <w:tcPr>
            <w:tcW w:w="110" w:type="dxa"/>
            <w:tcBorders/>
            <w:vAlign w:val="center"/>
          </w:tcPr>
          <w:p>
            <w:pPr>
              <w:pStyle w:val="TableContents"/>
              <w:bidi w:val="0"/>
              <w:spacing w:before="0" w:after="283"/>
              <w:jc w:val="left"/>
              <w:rPr/>
            </w:pPr>
            <w:r>
              <w:rPr/>
              <w:t> </w:t>
            </w:r>
            <w:bookmarkStart w:id="2135" w:name="xdx_409_eus-gaap--FairValueNetDerivative"/>
            <w:bookmarkEnd w:id="2135"/>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36" w:name="xdx_401_ecustom--IssuanceOfPrivatePlacem"/>
            <w:bookmarkEnd w:id="2136"/>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June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361,000</w:t>
            </w:r>
          </w:p>
        </w:tc>
        <w:tc>
          <w:tcPr>
            <w:tcW w:w="110" w:type="dxa"/>
            <w:tcBorders/>
            <w:shd w:fill="FFFFFF" w:val="clear"/>
            <w:vAlign w:val="center"/>
          </w:tcPr>
          <w:p>
            <w:pPr>
              <w:pStyle w:val="TableContents"/>
              <w:bidi w:val="0"/>
              <w:spacing w:before="0" w:after="283"/>
              <w:jc w:val="left"/>
              <w:rPr/>
            </w:pPr>
            <w:r>
              <w:rPr/>
              <w:t> </w:t>
            </w:r>
            <w:bookmarkStart w:id="2137" w:name="xdx_40A_ecustom--IssuanceOfPrivatePlacem"/>
            <w:bookmarkEnd w:id="2137"/>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August Warrant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356,000</w:t>
            </w:r>
          </w:p>
        </w:tc>
        <w:tc>
          <w:tcPr>
            <w:tcW w:w="110" w:type="dxa"/>
            <w:tcBorders/>
            <w:shd w:fill="CCEEFF" w:val="clear"/>
            <w:vAlign w:val="center"/>
          </w:tcPr>
          <w:p>
            <w:pPr>
              <w:pStyle w:val="TableContents"/>
              <w:bidi w:val="0"/>
              <w:spacing w:before="0" w:after="283"/>
              <w:jc w:val="left"/>
              <w:rPr/>
            </w:pPr>
            <w:r>
              <w:rPr/>
              <w:t> </w:t>
            </w:r>
            <w:bookmarkStart w:id="2138" w:name="xdx_406_ecustom--IssuanceOfPrivatePlacem"/>
            <w:bookmarkEnd w:id="2138"/>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October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bookmarkStart w:id="2139" w:name="xdx_40D_ecustom--IssuanceOfPrivatePlacem"/>
            <w:bookmarkEnd w:id="2139"/>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bookmarkStart w:id="2140" w:name="xdx_409_eus-gaap--FairValueNetDerivative"/>
            <w:bookmarkEnd w:id="2140"/>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41" w:name="xdx_405_eus-gaap--FairValueNetDerivative"/>
            <w:bookmarkEnd w:id="2141"/>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42" w:name="xdx_8AE_zNIhmLcRuJXh"/>
      <w:bookmarkEnd w:id="21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43" w:name="xdx_80C_eus-gaap--PropertyPlantAndEquipm"/>
      <w:bookmarkEnd w:id="2143"/>
      <w:r>
        <w:rPr>
          <w:rFonts w:ascii="Times New Roman;Times;Serif" w:hAnsi="Times New Roman;Times;Serif"/>
          <w:b/>
          <w:i w:val="false"/>
          <w:caps w:val="false"/>
          <w:smallCaps w:val="false"/>
          <w:sz w:val="20"/>
        </w:rPr>
        <w:t xml:space="preserve">8. </w:t>
      </w:r>
      <w:bookmarkStart w:id="2144" w:name="xdx_82C_ztAw06Wupp35"/>
      <w:bookmarkEnd w:id="2144"/>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45" w:name="xdx_89E_eus-gaap--PropertyPlantAndEquipm"/>
      <w:bookmarkEnd w:id="2145"/>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146" w:name="xdx_8BE_zuEMySCgGqk8"/>
      <w:bookmarkEnd w:id="2146"/>
      <w:r>
        <w:rPr>
          <w:rFonts w:ascii="Times New Roman;Times;Serif" w:hAnsi="Times New Roman;Times;Serif"/>
          <w:b w:val="false"/>
          <w:i w:val="false"/>
          <w:caps w:val="false"/>
          <w:smallCaps w:val="false"/>
          <w:sz w:val="20"/>
        </w:rPr>
        <w:t>Summary of Property and Equipment</w:t>
      </w:r>
    </w:p>
    <w:tbl>
      <w:tblPr>
        <w:tblW w:w="7223" w:type="dxa"/>
        <w:jc w:val="left"/>
        <w:tblInd w:w="0" w:type="dxa"/>
        <w:tblLayout w:type="fixed"/>
        <w:tblCellMar>
          <w:top w:w="0" w:type="dxa"/>
          <w:left w:w="0" w:type="dxa"/>
          <w:bottom w:w="0" w:type="dxa"/>
          <w:right w:w="0" w:type="dxa"/>
        </w:tblCellMar>
      </w:tblPr>
      <w:tblGrid>
        <w:gridCol w:w="2990"/>
        <w:gridCol w:w="60"/>
        <w:gridCol w:w="333"/>
        <w:gridCol w:w="1621"/>
        <w:gridCol w:w="95"/>
        <w:gridCol w:w="60"/>
        <w:gridCol w:w="305"/>
        <w:gridCol w:w="1649"/>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47" w:name="xdx_490_20251231_zBOseNl5CHe8"/>
            <w:bookmarkEnd w:id="214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48" w:name="xdx_496_20241231_zB5Uftqmefyi"/>
            <w:bookmarkEnd w:id="214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bookmarkStart w:id="2149" w:name="xdx_400_eus-gaap--PropertyPlantAndEquipm"/>
            <w:bookmarkEnd w:id="2149"/>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equipment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34,474</w:t>
            </w:r>
          </w:p>
        </w:tc>
        <w:tc>
          <w:tcPr>
            <w:tcW w:w="110" w:type="dxa"/>
            <w:tcBorders/>
            <w:shd w:fill="CCEEFF" w:val="clear"/>
            <w:vAlign w:val="center"/>
          </w:tcPr>
          <w:p>
            <w:pPr>
              <w:pStyle w:val="TableContents"/>
              <w:bidi w:val="0"/>
              <w:spacing w:before="0" w:after="283"/>
              <w:jc w:val="left"/>
              <w:rPr/>
            </w:pPr>
            <w:r>
              <w:rPr/>
              <w:t> </w:t>
            </w:r>
            <w:bookmarkStart w:id="2150" w:name="xdx_40A_eus-gaap--AccumulatedDepreciatio"/>
            <w:bookmarkEnd w:id="2150"/>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51" w:name="xdx_40C_eus-gaap--PropertyPlantAndEquipm"/>
            <w:bookmarkEnd w:id="2151"/>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and 2024 was $</w:t>
      </w:r>
      <w:bookmarkStart w:id="2152" w:name="xdx_906_eus-gaap--Depreciation_c20250101"/>
      <w:bookmarkEnd w:id="2152"/>
      <w:r>
        <w:rPr>
          <w:rFonts w:ascii="Times New Roman;Times;Serif" w:hAnsi="Times New Roman;Times;Serif"/>
          <w:b w:val="false"/>
          <w:i w:val="false"/>
          <w:caps w:val="false"/>
          <w:smallCaps w:val="false"/>
          <w:sz w:val="20"/>
        </w:rPr>
        <w:t>4,424 and $</w:t>
      </w:r>
      <w:bookmarkStart w:id="2153" w:name="xdx_905_eus-gaap--Depreciation_c20240101"/>
      <w:bookmarkEnd w:id="2153"/>
      <w:r>
        <w:rPr>
          <w:rFonts w:ascii="Times New Roman;Times;Serif" w:hAnsi="Times New Roman;Times;Serif"/>
          <w:b w:val="false"/>
          <w:i w:val="false"/>
          <w:caps w:val="false"/>
          <w:smallCaps w:val="false"/>
          <w:sz w:val="20"/>
        </w:rPr>
        <w:t>2,825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54" w:name="xdx_800_ecustom--PrepaidExpensesAndOther"/>
      <w:bookmarkEnd w:id="2154"/>
      <w:r>
        <w:rPr>
          <w:rFonts w:ascii="Times New Roman;Times;Serif" w:hAnsi="Times New Roman;Times;Serif"/>
          <w:b/>
          <w:i w:val="false"/>
          <w:caps w:val="false"/>
          <w:smallCaps w:val="false"/>
          <w:sz w:val="20"/>
        </w:rPr>
        <w:t xml:space="preserve">9. </w:t>
      </w:r>
      <w:bookmarkStart w:id="2155" w:name="xdx_820_zYZtymuaMJti"/>
      <w:bookmarkEnd w:id="2155"/>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56" w:name="xdx_897_eus-gaap--DeferredCostsCapitaliz"/>
      <w:bookmarkEnd w:id="2156"/>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2157" w:name="xdx_8B1_zhSKhB63WmSc"/>
      <w:bookmarkEnd w:id="2157"/>
      <w:r>
        <w:rPr>
          <w:rFonts w:ascii="Times New Roman;Times;Serif" w:hAnsi="Times New Roman;Times;Serif"/>
          <w:b w:val="false"/>
          <w:i w:val="false"/>
          <w:caps w:val="false"/>
          <w:smallCaps w:val="false"/>
          <w:sz w:val="20"/>
        </w:rPr>
        <w:t>Summary of Prepaid Expenses and Other Current Assets  </w:t>
      </w:r>
    </w:p>
    <w:tbl>
      <w:tblPr>
        <w:tblW w:w="8638" w:type="dxa"/>
        <w:jc w:val="left"/>
        <w:tblInd w:w="0" w:type="dxa"/>
        <w:tblLayout w:type="fixed"/>
        <w:tblCellMar>
          <w:top w:w="0" w:type="dxa"/>
          <w:left w:w="0" w:type="dxa"/>
          <w:bottom w:w="0" w:type="dxa"/>
          <w:right w:w="0" w:type="dxa"/>
        </w:tblCellMar>
      </w:tblPr>
      <w:tblGrid>
        <w:gridCol w:w="4475"/>
        <w:gridCol w:w="60"/>
        <w:gridCol w:w="290"/>
        <w:gridCol w:w="1664"/>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58" w:name="xdx_492_20251231_zvVwo7IWDRsf"/>
            <w:bookmarkEnd w:id="215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9" w:name="xdx_49B_20241231_zgLRSUWNmh3a"/>
            <w:bookmarkEnd w:id="2159"/>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160" w:name="xdx_40C_ecustom--PrepaidSoftwareCosts_iI"/>
            <w:bookmarkEnd w:id="2160"/>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59,855</w:t>
            </w:r>
          </w:p>
        </w:tc>
        <w:tc>
          <w:tcPr>
            <w:tcW w:w="75" w:type="dxa"/>
            <w:tcBorders/>
            <w:shd w:fill="FFFFFF" w:val="clear"/>
            <w:vAlign w:val="center"/>
          </w:tcPr>
          <w:p>
            <w:pPr>
              <w:pStyle w:val="TableContents"/>
              <w:bidi w:val="0"/>
              <w:spacing w:before="0" w:after="283"/>
              <w:jc w:val="left"/>
              <w:rPr/>
            </w:pPr>
            <w:r>
              <w:rPr/>
              <w:t> </w:t>
            </w:r>
            <w:bookmarkStart w:id="2161" w:name="xdx_404_ecustom--ServiceTrade_iI_zcO09Lz"/>
            <w:bookmarkEnd w:id="2161"/>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 trade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239,041</w:t>
            </w:r>
          </w:p>
        </w:tc>
        <w:tc>
          <w:tcPr>
            <w:tcW w:w="75" w:type="dxa"/>
            <w:tcBorders/>
            <w:shd w:fill="CCEEFF" w:val="clear"/>
            <w:vAlign w:val="center"/>
          </w:tcPr>
          <w:p>
            <w:pPr>
              <w:pStyle w:val="TableContents"/>
              <w:bidi w:val="0"/>
              <w:spacing w:before="0" w:after="283"/>
              <w:jc w:val="left"/>
              <w:rPr/>
            </w:pPr>
            <w:r>
              <w:rPr/>
              <w:t> </w:t>
            </w:r>
            <w:bookmarkStart w:id="2162" w:name="xdx_40D_ecustom--EmployeeReceivable_iI_z"/>
            <w:bookmarkEnd w:id="2162"/>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receivable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bookmarkStart w:id="2163" w:name="xdx_407_eus-gaap--PrepaidInsurance_iI_z0"/>
            <w:bookmarkEnd w:id="2163"/>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130,345</w:t>
            </w:r>
          </w:p>
        </w:tc>
        <w:tc>
          <w:tcPr>
            <w:tcW w:w="75" w:type="dxa"/>
            <w:tcBorders/>
            <w:shd w:fill="CCEEFF" w:val="clear"/>
            <w:vAlign w:val="center"/>
          </w:tcPr>
          <w:p>
            <w:pPr>
              <w:pStyle w:val="TableContents"/>
              <w:bidi w:val="0"/>
              <w:spacing w:before="0" w:after="283"/>
              <w:jc w:val="left"/>
              <w:rPr/>
            </w:pPr>
            <w:r>
              <w:rPr/>
              <w:t> </w:t>
            </w:r>
            <w:bookmarkStart w:id="2164" w:name="xdx_40F_ecustom--PrepaidCommissions_iI_z"/>
            <w:bookmarkEnd w:id="2164"/>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commissions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75" w:type="dxa"/>
            <w:tcBorders/>
            <w:shd w:fill="FFFFFF" w:val="clear"/>
            <w:vAlign w:val="center"/>
          </w:tcPr>
          <w:p>
            <w:pPr>
              <w:pStyle w:val="TableContents"/>
              <w:bidi w:val="0"/>
              <w:spacing w:before="0" w:after="283"/>
              <w:jc w:val="left"/>
              <w:rPr/>
            </w:pPr>
            <w:r>
              <w:rPr/>
              <w:t> </w:t>
            </w:r>
            <w:bookmarkStart w:id="2165" w:name="xdx_40C_ecustom--PrepaidConsultingCosts_"/>
            <w:bookmarkEnd w:id="2165"/>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76,767</w:t>
            </w:r>
          </w:p>
        </w:tc>
        <w:tc>
          <w:tcPr>
            <w:tcW w:w="75" w:type="dxa"/>
            <w:tcBorders/>
            <w:shd w:fill="CCEEFF" w:val="clear"/>
            <w:vAlign w:val="center"/>
          </w:tcPr>
          <w:p>
            <w:pPr>
              <w:pStyle w:val="TableContents"/>
              <w:bidi w:val="0"/>
              <w:spacing w:before="0" w:after="283"/>
              <w:jc w:val="left"/>
              <w:rPr/>
            </w:pPr>
            <w:r>
              <w:rPr/>
              <w:t> </w:t>
            </w:r>
            <w:bookmarkStart w:id="2166" w:name="xdx_400_eus-gaap--PrepaidAdvertising_iI_"/>
            <w:bookmarkEnd w:id="2166"/>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29,133</w:t>
            </w:r>
          </w:p>
        </w:tc>
        <w:tc>
          <w:tcPr>
            <w:tcW w:w="75" w:type="dxa"/>
            <w:tcBorders/>
            <w:shd w:fill="FFFFFF" w:val="clear"/>
            <w:vAlign w:val="center"/>
          </w:tcPr>
          <w:p>
            <w:pPr>
              <w:pStyle w:val="TableContents"/>
              <w:bidi w:val="0"/>
              <w:spacing w:before="0" w:after="283"/>
              <w:jc w:val="left"/>
              <w:rPr/>
            </w:pPr>
            <w:r>
              <w:rPr/>
              <w:t> </w:t>
            </w:r>
            <w:bookmarkStart w:id="2167" w:name="xdx_40A_ecustom--PrepaidMerchantFees_iI_"/>
            <w:bookmarkEnd w:id="2167"/>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merchant fees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26,690</w:t>
            </w:r>
          </w:p>
        </w:tc>
        <w:tc>
          <w:tcPr>
            <w:tcW w:w="75" w:type="dxa"/>
            <w:tcBorders/>
            <w:shd w:fill="CCEEFF" w:val="clear"/>
            <w:vAlign w:val="center"/>
          </w:tcPr>
          <w:p>
            <w:pPr>
              <w:pStyle w:val="TableContents"/>
              <w:bidi w:val="0"/>
              <w:spacing w:before="0" w:after="283"/>
              <w:jc w:val="left"/>
              <w:rPr/>
            </w:pPr>
            <w:r>
              <w:rPr/>
              <w:t> </w:t>
            </w:r>
            <w:bookmarkStart w:id="2168" w:name="xdx_407_ecustom--PrepaidDataLicenseAndSu"/>
            <w:bookmarkEnd w:id="2168"/>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75" w:type="dxa"/>
            <w:tcBorders/>
            <w:shd w:fill="FFFFFF" w:val="clear"/>
            <w:vAlign w:val="center"/>
          </w:tcPr>
          <w:p>
            <w:pPr>
              <w:pStyle w:val="TableContents"/>
              <w:bidi w:val="0"/>
              <w:spacing w:before="0" w:after="283"/>
              <w:jc w:val="left"/>
              <w:rPr/>
            </w:pPr>
            <w:r>
              <w:rPr/>
              <w:t> </w:t>
            </w:r>
            <w:bookmarkStart w:id="2169" w:name="xdx_404_ecustom--OtherAsset_iI_zAdr8FlYV"/>
            <w:bookmarkEnd w:id="2169"/>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46,414</w:t>
            </w:r>
          </w:p>
        </w:tc>
        <w:tc>
          <w:tcPr>
            <w:tcW w:w="75" w:type="dxa"/>
            <w:tcBorders/>
            <w:shd w:fill="CCEEFF" w:val="clear"/>
            <w:vAlign w:val="center"/>
          </w:tcPr>
          <w:p>
            <w:pPr>
              <w:pStyle w:val="TableContents"/>
              <w:bidi w:val="0"/>
              <w:spacing w:before="0" w:after="283"/>
              <w:jc w:val="left"/>
              <w:rPr/>
            </w:pPr>
            <w:r>
              <w:rPr/>
              <w:t> </w:t>
            </w:r>
            <w:bookmarkStart w:id="2170" w:name="xdx_40B_eus-gaap--PrepaidExpenseAndOther"/>
            <w:bookmarkEnd w:id="2170"/>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71" w:name="xdx_8A8_zSxjbOndzB03"/>
      <w:bookmarkEnd w:id="21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72" w:name="xdx_80F_eus-gaap--GoodwillAndIntangibleA"/>
      <w:bookmarkEnd w:id="2172"/>
      <w:r>
        <w:rPr>
          <w:rFonts w:ascii="Times New Roman;Times;Serif" w:hAnsi="Times New Roman;Times;Serif"/>
          <w:b/>
          <w:i w:val="false"/>
          <w:caps w:val="false"/>
          <w:smallCaps w:val="false"/>
          <w:sz w:val="20"/>
        </w:rPr>
        <w:t xml:space="preserve">10. </w:t>
      </w:r>
      <w:bookmarkStart w:id="2173" w:name="xdx_82E_zS6nMzqy7hL3"/>
      <w:bookmarkEnd w:id="2173"/>
      <w:r>
        <w:rPr>
          <w:rFonts w:ascii="Times New Roman;Times;Serif" w:hAnsi="Times New Roman;Times;Serif"/>
          <w:b/>
          <w:i w:val="false"/>
          <w:caps w:val="false"/>
          <w:smallCaps w:val="false"/>
          <w:sz w:val="20"/>
        </w:rPr>
        <w:t>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74" w:name="xdx_895_eus-gaap--ScheduleOfGoodwillText"/>
      <w:bookmarkEnd w:id="2174"/>
      <w:r>
        <w:rPr>
          <w:rFonts w:ascii="Times New Roman;Times;Serif" w:hAnsi="Times New Roman;Times;Serif"/>
          <w:b w:val="false"/>
          <w:i w:val="false"/>
          <w:caps w:val="false"/>
          <w:smallCaps w:val="false"/>
          <w:sz w:val="20"/>
        </w:rPr>
        <w:t>The following is a summary of goodwill by reportable segment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175" w:name="xdx_8B2_zqcqxquttLc"/>
      <w:bookmarkEnd w:id="2175"/>
      <w:r>
        <w:rPr>
          <w:rFonts w:ascii="Times New Roman;Times;Serif" w:hAnsi="Times New Roman;Times;Serif"/>
          <w:b w:val="false"/>
          <w:i w:val="false"/>
          <w:caps w:val="false"/>
          <w:smallCaps w:val="false"/>
          <w:sz w:val="20"/>
        </w:rPr>
        <w:t>Summary of Goodwill</w:t>
      </w:r>
    </w:p>
    <w:tbl>
      <w:tblPr>
        <w:tblW w:w="9500" w:type="dxa"/>
        <w:jc w:val="left"/>
        <w:tblInd w:w="0" w:type="dxa"/>
        <w:tblLayout w:type="fixed"/>
        <w:tblCellMar>
          <w:top w:w="0" w:type="dxa"/>
          <w:left w:w="0" w:type="dxa"/>
          <w:bottom w:w="0" w:type="dxa"/>
          <w:right w:w="0" w:type="dxa"/>
        </w:tblCellMar>
      </w:tblPr>
      <w:tblGrid>
        <w:gridCol w:w="3050"/>
        <w:gridCol w:w="60"/>
        <w:gridCol w:w="280"/>
        <w:gridCol w:w="1960"/>
        <w:gridCol w:w="60"/>
        <w:gridCol w:w="60"/>
        <w:gridCol w:w="140"/>
        <w:gridCol w:w="980"/>
        <w:gridCol w:w="60"/>
        <w:gridCol w:w="60"/>
        <w:gridCol w:w="140"/>
        <w:gridCol w:w="1100"/>
        <w:gridCol w:w="60"/>
        <w:gridCol w:w="60"/>
        <w:gridCol w:w="152"/>
        <w:gridCol w:w="120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76" w:name="xdx_49C_20250101__20251231__dei--LegalEn"/>
            <w:bookmarkEnd w:id="2176"/>
          </w:p>
        </w:tc>
        <w:tc>
          <w:tcPr>
            <w:tcW w:w="2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7" w:name="xdx_49E_20250101__20251231__dei--LegalEn"/>
            <w:bookmarkEnd w:id="2177"/>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8" w:name="xdx_494_20250101__20251231__dei--LegalEn"/>
            <w:bookmarkEnd w:id="217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9" w:name="xdx_49E_20250101__20251231_zpL7YB8Jk0wd"/>
            <w:bookmarkEnd w:id="2179"/>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5" w:type="dxa"/>
            <w:tcBorders/>
            <w:vAlign w:val="center"/>
          </w:tcPr>
          <w:p>
            <w:pPr>
              <w:pStyle w:val="TableContents"/>
              <w:bidi w:val="0"/>
              <w:spacing w:before="0" w:after="283"/>
              <w:jc w:val="left"/>
              <w:rPr/>
            </w:pPr>
            <w:r>
              <w:rPr/>
              <w:t> </w:t>
            </w:r>
            <w:bookmarkStart w:id="2180" w:name="xdx_404_eus-gaap--Goodwill_iS_zr0dIxW3qA"/>
            <w:bookmarkEnd w:id="2180"/>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2024</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CCEEFF" w:val="clear"/>
            <w:vAlign w:val="center"/>
          </w:tcPr>
          <w:p>
            <w:pPr>
              <w:pStyle w:val="TableContents"/>
              <w:bidi w:val="0"/>
              <w:spacing w:before="0" w:after="283"/>
              <w:jc w:val="left"/>
              <w:rPr/>
            </w:pPr>
            <w:r>
              <w:rPr/>
              <w:t> </w:t>
            </w:r>
            <w:bookmarkStart w:id="2181" w:name="xdx_40A_eus-gaap--GoodwillAcquiredDuring"/>
            <w:bookmarkEnd w:id="2181"/>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goodwill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FFFFFF" w:val="clear"/>
            <w:vAlign w:val="center"/>
          </w:tcPr>
          <w:p>
            <w:pPr>
              <w:pStyle w:val="TableContents"/>
              <w:bidi w:val="0"/>
              <w:spacing w:before="0" w:after="283"/>
              <w:jc w:val="left"/>
              <w:rPr/>
            </w:pPr>
            <w:r>
              <w:rPr/>
              <w:t> </w:t>
            </w:r>
            <w:bookmarkStart w:id="2182" w:name="xdx_40F_eus-gaap--Goodwill_iE_z4TJNvjVEu"/>
            <w:bookmarkEnd w:id="2182"/>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83" w:name="xdx_8A5_z7finwPACdH2"/>
      <w:bookmarkEnd w:id="218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84" w:name="xdx_894_eus-gaap--ScheduleOfFiniteLivedI"/>
      <w:bookmarkEnd w:id="2184"/>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185" w:name="xdx_8B0_zRhoZgRtJwmi"/>
      <w:bookmarkEnd w:id="2185"/>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8299" w:type="dxa"/>
        <w:jc w:val="left"/>
        <w:tblInd w:w="0" w:type="dxa"/>
        <w:tblLayout w:type="fixed"/>
        <w:tblCellMar>
          <w:top w:w="0" w:type="dxa"/>
          <w:left w:w="0" w:type="dxa"/>
          <w:bottom w:w="0" w:type="dxa"/>
          <w:right w:w="0" w:type="dxa"/>
        </w:tblCellMar>
      </w:tblPr>
      <w:tblGrid>
        <w:gridCol w:w="3080"/>
        <w:gridCol w:w="60"/>
        <w:gridCol w:w="3035"/>
        <w:gridCol w:w="60"/>
        <w:gridCol w:w="229"/>
        <w:gridCol w:w="1725"/>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 (years):</w:t>
            </w:r>
          </w:p>
        </w:tc>
        <w:tc>
          <w:tcPr>
            <w:tcW w:w="60" w:type="dxa"/>
            <w:tcBorders/>
            <w:vAlign w:val="center"/>
          </w:tcPr>
          <w:p>
            <w:pPr>
              <w:pStyle w:val="TableContents"/>
              <w:bidi w:val="0"/>
              <w:spacing w:before="0" w:after="283"/>
              <w:jc w:val="left"/>
              <w:rPr/>
            </w:pPr>
            <w:r>
              <w:rPr/>
              <w:t> </w:t>
            </w:r>
            <w:bookmarkStart w:id="2186" w:name="xdx_491_20251231_zt0FQBMn48ee"/>
            <w:bookmarkEnd w:id="2186"/>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2187" w:name="xdx_40A_eus-gaap--FiniteLivedIntangibleA"/>
            <w:bookmarkEnd w:id="2187"/>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bookmarkStart w:id="2188" w:name="xdx_907_eus-gaap--AcquiredFiniteLivedInt"/>
            <w:bookmarkEnd w:id="2188"/>
            <w:r>
              <w:rPr>
                <w:rFonts w:ascii="Times New Roman;Times;Serif" w:hAnsi="Times New Roman;Times;Serif"/>
              </w:rPr>
              <w:t xml:space="preserve">6 - </w:t>
            </w:r>
            <w:bookmarkStart w:id="2189" w:name="xdx_903_eus-gaap--AcquiredFiniteLivedInt"/>
            <w:bookmarkEnd w:id="2189"/>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1,139,710</w:t>
            </w:r>
          </w:p>
        </w:tc>
        <w:tc>
          <w:tcPr>
            <w:tcW w:w="110" w:type="dxa"/>
            <w:tcBorders/>
            <w:shd w:fill="CCEEFF" w:val="clear"/>
            <w:vAlign w:val="center"/>
          </w:tcPr>
          <w:p>
            <w:pPr>
              <w:pStyle w:val="TableContents"/>
              <w:bidi w:val="0"/>
              <w:spacing w:before="0" w:after="283"/>
              <w:jc w:val="left"/>
              <w:rPr/>
            </w:pPr>
            <w:r>
              <w:rPr/>
              <w:t> </w:t>
            </w:r>
            <w:bookmarkStart w:id="2190" w:name="xdx_408_eus-gaap--FiniteLivedIntangibleA"/>
            <w:bookmarkEnd w:id="2190"/>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rFonts w:ascii="Times New Roman;Times;Serif" w:hAnsi="Times New Roman;Times;Serif"/>
              </w:rPr>
            </w:pPr>
            <w:bookmarkStart w:id="2191" w:name="xdx_907_eus-gaap--AcquiredFiniteLivedInt"/>
            <w:bookmarkEnd w:id="2191"/>
            <w:r>
              <w:rPr>
                <w:rFonts w:ascii="Times New Roman;Times;Serif" w:hAnsi="Times New Roman;Times;Serif"/>
              </w:rPr>
              <w:t xml:space="preserve">10 - </w:t>
            </w:r>
            <w:bookmarkStart w:id="2192" w:name="xdx_904_eus-gaap--AcquiredFiniteLivedInt"/>
            <w:bookmarkEnd w:id="2192"/>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1,637,100</w:t>
            </w:r>
          </w:p>
        </w:tc>
        <w:tc>
          <w:tcPr>
            <w:tcW w:w="110" w:type="dxa"/>
            <w:tcBorders/>
            <w:shd w:fill="FFFFFF" w:val="clear"/>
            <w:vAlign w:val="center"/>
          </w:tcPr>
          <w:p>
            <w:pPr>
              <w:pStyle w:val="TableContents"/>
              <w:bidi w:val="0"/>
              <w:spacing w:before="0" w:after="283"/>
              <w:jc w:val="left"/>
              <w:rPr/>
            </w:pPr>
            <w:r>
              <w:rPr/>
              <w:t> </w:t>
            </w:r>
            <w:bookmarkStart w:id="2193" w:name="xdx_404_eus-gaap--FiniteLivedIntangibleA"/>
            <w:bookmarkEnd w:id="2193"/>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bookmarkStart w:id="2194" w:name="xdx_90F_eus-gaap--AcquiredFiniteLivedInt"/>
            <w:bookmarkEnd w:id="2194"/>
            <w:r>
              <w:rPr>
                <w:rFonts w:ascii="Times New Roman;Times;Serif" w:hAnsi="Times New Roman;Times;Serif"/>
              </w:rPr>
              <w:t xml:space="preserve">6 - </w:t>
            </w:r>
            <w:bookmarkStart w:id="2195" w:name="xdx_90F_eus-gaap--AcquiredFiniteLivedInt"/>
            <w:bookmarkEnd w:id="2195"/>
            <w:r>
              <w:rPr>
                <w:rFonts w:ascii="Times New Roman;Times;Serif" w:hAnsi="Times New Roman;Times;Serif"/>
              </w:rPr>
              <w:t>8</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6,425,010</w:t>
            </w:r>
          </w:p>
        </w:tc>
        <w:tc>
          <w:tcPr>
            <w:tcW w:w="110" w:type="dxa"/>
            <w:tcBorders/>
            <w:shd w:fill="CCEEFF" w:val="clear"/>
            <w:vAlign w:val="center"/>
          </w:tcPr>
          <w:p>
            <w:pPr>
              <w:pStyle w:val="TableContents"/>
              <w:bidi w:val="0"/>
              <w:spacing w:before="0" w:after="283"/>
              <w:jc w:val="left"/>
              <w:rPr/>
            </w:pPr>
            <w:r>
              <w:rPr/>
              <w:t> </w:t>
            </w:r>
            <w:bookmarkStart w:id="2196" w:name="xdx_409_eus-gaap--FiniteLivedIntangibleA"/>
            <w:bookmarkEnd w:id="2196"/>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gross</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9,201,820</w:t>
            </w:r>
          </w:p>
        </w:tc>
        <w:tc>
          <w:tcPr>
            <w:tcW w:w="110" w:type="dxa"/>
            <w:tcBorders/>
            <w:shd w:fill="FFFFFF" w:val="clear"/>
            <w:vAlign w:val="center"/>
          </w:tcPr>
          <w:p>
            <w:pPr>
              <w:pStyle w:val="TableContents"/>
              <w:bidi w:val="0"/>
              <w:spacing w:before="0" w:after="283"/>
              <w:jc w:val="left"/>
              <w:rPr/>
            </w:pPr>
            <w:r>
              <w:rPr/>
              <w:t> </w:t>
            </w:r>
            <w:bookmarkStart w:id="2197" w:name="xdx_40E_eus-gaap--FiniteLivedIntangibleA"/>
            <w:bookmarkEnd w:id="2197"/>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98" w:name="xdx_407_eus-gaap--FiniteLivedIntangibleA"/>
            <w:bookmarkEnd w:id="2198"/>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199" w:name="xdx_8A8_zppQBOVojExe"/>
      <w:bookmarkEnd w:id="21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related to intangible assets was $</w:t>
      </w:r>
      <w:bookmarkStart w:id="2200" w:name="xdx_901_eus-gaap--AmortizationOfIntangib"/>
      <w:bookmarkEnd w:id="2200"/>
      <w:r>
        <w:rPr>
          <w:rFonts w:ascii="Times New Roman;Times;Serif" w:hAnsi="Times New Roman;Times;Serif"/>
          <w:b w:val="false"/>
          <w:i w:val="false"/>
          <w:caps w:val="false"/>
          <w:smallCaps w:val="false"/>
          <w:sz w:val="20"/>
        </w:rPr>
        <w:t xml:space="preserve">1,146,066 for the </w:t>
      </w:r>
      <w:r>
        <w:rPr>
          <w:rFonts w:ascii="Times New Roman;Times;Serif" w:hAnsi="Times New Roman;Times;Serif"/>
          <w:b w:val="false"/>
          <w:i w:val="false"/>
          <w:caps w:val="false"/>
          <w:smallCaps w:val="false"/>
          <w:sz w:val="20"/>
          <w:shd w:fill="FFFFFF" w:val="clear"/>
        </w:rPr>
        <w:t>year ended December 31, 2025</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201" w:name="xdx_8B2_zexh4YYINiPd"/>
      <w:bookmarkStart w:id="2202" w:name="xdx_894_eus-gaap--ScheduleofFiniteLivedI"/>
      <w:bookmarkEnd w:id="2201"/>
      <w:bookmarkEnd w:id="2202"/>
      <w:r>
        <w:rPr>
          <w:rFonts w:ascii="Times New Roman;Times;Serif" w:hAnsi="Times New Roman;Times;Serif"/>
          <w:b w:val="false"/>
          <w:i w:val="false"/>
          <w:caps w:val="false"/>
          <w:smallCaps w:val="false"/>
          <w:sz w:val="20"/>
        </w:rPr>
        <w:t>Schedule of Expected Amortization Expense</w:t>
      </w:r>
    </w:p>
    <w:tbl>
      <w:tblPr>
        <w:tblW w:w="2115" w:type="dxa"/>
        <w:jc w:val="left"/>
        <w:tblInd w:w="0" w:type="dxa"/>
        <w:tblLayout w:type="fixed"/>
        <w:tblCellMar>
          <w:top w:w="0" w:type="dxa"/>
          <w:left w:w="0" w:type="dxa"/>
          <w:bottom w:w="0" w:type="dxa"/>
          <w:right w:w="0" w:type="dxa"/>
        </w:tblCellMar>
      </w:tblPr>
      <w:tblGrid>
        <w:gridCol w:w="860"/>
        <w:gridCol w:w="60"/>
        <w:gridCol w:w="140"/>
        <w:gridCol w:w="980"/>
        <w:gridCol w:w="75"/>
      </w:tblGrid>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03" w:name="xdx_497_20251231_zrqoazeNFX2h"/>
            <w:bookmarkEnd w:id="2203"/>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04" w:name="xdx_987_eus-gaap--FiniteLivedIntangibleA"/>
            <w:bookmarkEnd w:id="220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05" w:name="xdx_983_eus-gaap--FiniteLivedIntangibleA"/>
            <w:bookmarkEnd w:id="220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06" w:name="xdx_98D_eus-gaap--FiniteLivedIntangibleA"/>
            <w:bookmarkEnd w:id="220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207" w:name="xdx_984_eus-gaap--FiniteLivedIntangibleA"/>
            <w:bookmarkEnd w:id="220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208" w:name="xdx_983_eus-gaap--FiniteLivedIntangibleA"/>
            <w:bookmarkEnd w:id="220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1,205,547</w:t>
            </w:r>
          </w:p>
        </w:tc>
        <w:tc>
          <w:tcPr>
            <w:tcW w:w="75" w:type="dxa"/>
            <w:tcBorders/>
            <w:shd w:fill="CCEEFF" w:val="clear"/>
            <w:vAlign w:val="center"/>
          </w:tcPr>
          <w:p>
            <w:pPr>
              <w:pStyle w:val="TableContents"/>
              <w:bidi w:val="0"/>
              <w:spacing w:before="0" w:after="283"/>
              <w:jc w:val="left"/>
              <w:rPr/>
            </w:pPr>
            <w:r>
              <w:rPr/>
              <w:t> </w:t>
            </w:r>
            <w:bookmarkStart w:id="2209" w:name="xdx_401_eus-gaap--FiniteLivedIntangibleA"/>
            <w:bookmarkEnd w:id="2209"/>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1,962,162</w:t>
            </w:r>
          </w:p>
        </w:tc>
        <w:tc>
          <w:tcPr>
            <w:tcW w:w="75" w:type="dxa"/>
            <w:tcBorders/>
            <w:shd w:fill="FFFFFF" w:val="clear"/>
            <w:vAlign w:val="center"/>
          </w:tcPr>
          <w:p>
            <w:pPr>
              <w:pStyle w:val="TableContents"/>
              <w:bidi w:val="0"/>
              <w:spacing w:before="0" w:after="283"/>
              <w:jc w:val="left"/>
              <w:rPr/>
            </w:pPr>
            <w:r>
              <w:rPr/>
              <w:t> </w:t>
            </w:r>
            <w:bookmarkStart w:id="2210" w:name="xdx_405_ecustom--FiniteLivedIntangibleAs"/>
            <w:bookmarkEnd w:id="2210"/>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11" w:name="xdx_8A9_zxMc3CFIfAfb"/>
      <w:bookmarkEnd w:id="221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12" w:name="xdx_80A_eus-gaap--AccountsPayableAccrued"/>
      <w:bookmarkEnd w:id="2212"/>
      <w:r>
        <w:rPr>
          <w:rFonts w:ascii="Times New Roman;Times;Serif" w:hAnsi="Times New Roman;Times;Serif"/>
          <w:b/>
          <w:i w:val="false"/>
          <w:caps w:val="false"/>
          <w:smallCaps w:val="false"/>
          <w:sz w:val="20"/>
        </w:rPr>
        <w:t xml:space="preserve">11. </w:t>
      </w:r>
      <w:bookmarkStart w:id="2213" w:name="xdx_82D_z9qOGz4Dx83k"/>
      <w:bookmarkEnd w:id="2213"/>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14" w:name="xdx_894_eus-gaap--ScheduleOfAccountsPaya"/>
      <w:bookmarkEnd w:id="2214"/>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215" w:name="xdx_8B3_zlvwfdB1wgUa"/>
      <w:bookmarkEnd w:id="2215"/>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9043" w:type="dxa"/>
        <w:jc w:val="left"/>
        <w:tblInd w:w="0" w:type="dxa"/>
        <w:tblLayout w:type="fixed"/>
        <w:tblCellMar>
          <w:top w:w="0" w:type="dxa"/>
          <w:left w:w="0" w:type="dxa"/>
          <w:bottom w:w="0" w:type="dxa"/>
          <w:right w:w="0" w:type="dxa"/>
        </w:tblCellMar>
      </w:tblPr>
      <w:tblGrid>
        <w:gridCol w:w="4880"/>
        <w:gridCol w:w="60"/>
        <w:gridCol w:w="244"/>
        <w:gridCol w:w="1710"/>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16" w:name="xdx_49C_20251231_zqs0jzxXc0B3"/>
            <w:bookmarkEnd w:id="2216"/>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17" w:name="xdx_49D_20241231_zh69oFAIOKBg"/>
            <w:bookmarkEnd w:id="221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218" w:name="xdx_40D_ecustom--AccruedAccountingAndPro"/>
            <w:bookmarkEnd w:id="2218"/>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2,419,829</w:t>
            </w:r>
          </w:p>
        </w:tc>
        <w:tc>
          <w:tcPr>
            <w:tcW w:w="75" w:type="dxa"/>
            <w:tcBorders/>
            <w:shd w:fill="FFFFFF" w:val="clear"/>
            <w:vAlign w:val="center"/>
          </w:tcPr>
          <w:p>
            <w:pPr>
              <w:pStyle w:val="TableContents"/>
              <w:bidi w:val="0"/>
              <w:spacing w:before="0" w:after="283"/>
              <w:jc w:val="left"/>
              <w:rPr/>
            </w:pPr>
            <w:r>
              <w:rPr/>
              <w:t> </w:t>
            </w:r>
            <w:bookmarkStart w:id="2219" w:name="xdx_404_ecustom--SalesTaxPayableCurrent_"/>
            <w:bookmarkEnd w:id="2219"/>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452,508</w:t>
            </w:r>
          </w:p>
        </w:tc>
        <w:tc>
          <w:tcPr>
            <w:tcW w:w="75" w:type="dxa"/>
            <w:tcBorders/>
            <w:shd w:fill="CCEEFF" w:val="clear"/>
            <w:vAlign w:val="center"/>
          </w:tcPr>
          <w:p>
            <w:pPr>
              <w:pStyle w:val="TableContents"/>
              <w:bidi w:val="0"/>
              <w:spacing w:before="0" w:after="283"/>
              <w:jc w:val="left"/>
              <w:rPr/>
            </w:pPr>
            <w:r>
              <w:rPr/>
              <w:t> </w:t>
            </w:r>
            <w:bookmarkStart w:id="2220" w:name="xdx_407_ecustom--ExciseTaxPayableCurrent"/>
            <w:bookmarkEnd w:id="2220"/>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Excise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75" w:type="dxa"/>
            <w:tcBorders/>
            <w:shd w:fill="FFFFFF" w:val="clear"/>
            <w:vAlign w:val="center"/>
          </w:tcPr>
          <w:p>
            <w:pPr>
              <w:pStyle w:val="TableContents"/>
              <w:bidi w:val="0"/>
              <w:spacing w:before="0" w:after="283"/>
              <w:jc w:val="left"/>
              <w:rPr/>
            </w:pPr>
            <w:r>
              <w:rPr/>
              <w:t> </w:t>
            </w:r>
            <w:bookmarkStart w:id="2221" w:name="xdx_403_eus-gaap--AccruedIncomeTaxesCurr"/>
            <w:bookmarkEnd w:id="2221"/>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222" w:name="xdx_40C_ecustom--AccruedPayrollAndBenefi"/>
            <w:bookmarkEnd w:id="2222"/>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207,970</w:t>
            </w:r>
          </w:p>
        </w:tc>
        <w:tc>
          <w:tcPr>
            <w:tcW w:w="75" w:type="dxa"/>
            <w:tcBorders/>
            <w:shd w:fill="FFFFFF" w:val="clear"/>
            <w:vAlign w:val="center"/>
          </w:tcPr>
          <w:p>
            <w:pPr>
              <w:pStyle w:val="TableContents"/>
              <w:bidi w:val="0"/>
              <w:spacing w:before="0" w:after="283"/>
              <w:jc w:val="left"/>
              <w:rPr/>
            </w:pPr>
            <w:r>
              <w:rPr/>
              <w:t> </w:t>
            </w:r>
            <w:bookmarkStart w:id="2223" w:name="xdx_40E_ecustom--AccruedLegalCosts_iI_ma"/>
            <w:bookmarkEnd w:id="2223"/>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315,764</w:t>
            </w:r>
          </w:p>
        </w:tc>
        <w:tc>
          <w:tcPr>
            <w:tcW w:w="75" w:type="dxa"/>
            <w:tcBorders/>
            <w:shd w:fill="CCEEFF" w:val="clear"/>
            <w:vAlign w:val="center"/>
          </w:tcPr>
          <w:p>
            <w:pPr>
              <w:pStyle w:val="TableContents"/>
              <w:bidi w:val="0"/>
              <w:spacing w:before="0" w:after="283"/>
              <w:jc w:val="left"/>
              <w:rPr/>
            </w:pPr>
            <w:r>
              <w:rPr/>
              <w:t> </w:t>
            </w:r>
            <w:bookmarkStart w:id="2224" w:name="xdx_407_ecustom--AccruedSubscriptionCost"/>
            <w:bookmarkEnd w:id="2224"/>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subscription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46,759</w:t>
            </w:r>
          </w:p>
        </w:tc>
        <w:tc>
          <w:tcPr>
            <w:tcW w:w="75" w:type="dxa"/>
            <w:tcBorders/>
            <w:shd w:fill="FFFFFF" w:val="clear"/>
            <w:vAlign w:val="center"/>
          </w:tcPr>
          <w:p>
            <w:pPr>
              <w:pStyle w:val="TableContents"/>
              <w:bidi w:val="0"/>
              <w:spacing w:before="0" w:after="283"/>
              <w:jc w:val="left"/>
              <w:rPr/>
            </w:pPr>
            <w:r>
              <w:rPr/>
              <w:t> </w:t>
            </w:r>
            <w:bookmarkStart w:id="2225" w:name="xdx_40D_ecustom--AccruedStreamingService"/>
            <w:bookmarkEnd w:id="2225"/>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51,308</w:t>
            </w:r>
          </w:p>
        </w:tc>
        <w:tc>
          <w:tcPr>
            <w:tcW w:w="75" w:type="dxa"/>
            <w:tcBorders/>
            <w:shd w:fill="CCEEFF" w:val="clear"/>
            <w:vAlign w:val="center"/>
          </w:tcPr>
          <w:p>
            <w:pPr>
              <w:pStyle w:val="TableContents"/>
              <w:bidi w:val="0"/>
              <w:spacing w:before="0" w:after="283"/>
              <w:jc w:val="left"/>
              <w:rPr/>
            </w:pPr>
            <w:r>
              <w:rPr/>
              <w:t> </w:t>
            </w:r>
            <w:bookmarkStart w:id="2226" w:name="xdx_40D_eus-gaap--OtherLiabilitiesCurren"/>
            <w:bookmarkEnd w:id="2226"/>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173,163</w:t>
            </w:r>
          </w:p>
        </w:tc>
        <w:tc>
          <w:tcPr>
            <w:tcW w:w="75" w:type="dxa"/>
            <w:tcBorders/>
            <w:shd w:fill="FFFFFF" w:val="clear"/>
            <w:vAlign w:val="center"/>
          </w:tcPr>
          <w:p>
            <w:pPr>
              <w:pStyle w:val="TableContents"/>
              <w:bidi w:val="0"/>
              <w:spacing w:before="0" w:after="283"/>
              <w:jc w:val="left"/>
              <w:rPr/>
            </w:pPr>
            <w:r>
              <w:rPr/>
              <w:t> </w:t>
            </w:r>
            <w:bookmarkStart w:id="2227" w:name="xdx_400_eus-gaap--AccruedLiabilitiesAndO"/>
            <w:bookmarkEnd w:id="2227"/>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28" w:name="xdx_8AA_zgLFCcP7fI2i"/>
      <w:bookmarkEnd w:id="222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29" w:name="xdx_801_eus-gaap--DebtDisclosureTextBloc"/>
      <w:bookmarkEnd w:id="2229"/>
      <w:r>
        <w:rPr>
          <w:rFonts w:ascii="Times New Roman;Times;Serif" w:hAnsi="Times New Roman;Times;Serif"/>
          <w:b/>
          <w:i w:val="false"/>
          <w:caps w:val="false"/>
          <w:smallCaps w:val="false"/>
          <w:sz w:val="20"/>
        </w:rPr>
        <w:t xml:space="preserve">12. </w:t>
      </w:r>
      <w:bookmarkStart w:id="2230" w:name="xdx_827_zIvTAKZ2RXml"/>
      <w:bookmarkEnd w:id="2230"/>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w:t>
      </w:r>
      <w:bookmarkStart w:id="2231" w:name="xdx_901_eus-gaap--DebtInstrumentFaceAmou"/>
      <w:bookmarkEnd w:id="2231"/>
      <w:r>
        <w:rPr>
          <w:rFonts w:ascii="Times New Roman;Times;Serif" w:hAnsi="Times New Roman;Times;Serif"/>
          <w:b w:val="false"/>
          <w:i w:val="false"/>
          <w:caps w:val="false"/>
          <w:smallCaps w:val="false"/>
          <w:sz w:val="20"/>
        </w:rPr>
        <w:t xml:space="preserve">150,000 to Alco Investment Company (“Alco”), a related party. Alco held its ownership of over </w:t>
      </w:r>
      <w:bookmarkStart w:id="2232" w:name="xdx_901_eus-gaap--EquityMethodInvestment"/>
      <w:bookmarkEnd w:id="2232"/>
      <w:r>
        <w:rPr>
          <w:rFonts w:ascii="Times New Roman;Times;Serif" w:hAnsi="Times New Roman;Times;Serif"/>
          <w:b w:val="false"/>
          <w:i w:val="false"/>
          <w:caps w:val="false"/>
          <w:smallCaps w:val="false"/>
          <w:sz w:val="20"/>
        </w:rPr>
        <w:t xml:space="preserve">10% of the issued equity of the Company, through its ownership of Series A preferred stock. The Alco August Promissory Note bears interest at a rate of </w:t>
      </w:r>
      <w:bookmarkStart w:id="2233" w:name="xdx_90A_eus-gaap--DebtInstrumentInterest"/>
      <w:bookmarkEnd w:id="2233"/>
      <w:r>
        <w:rPr>
          <w:rFonts w:ascii="Times New Roman;Times;Serif" w:hAnsi="Times New Roman;Times;Serif"/>
          <w:b w:val="false"/>
          <w:i w:val="false"/>
          <w:caps w:val="false"/>
          <w:smallCaps w:val="false"/>
          <w:sz w:val="20"/>
        </w:rPr>
        <w:t xml:space="preserve">8% per annum. The outstanding principal and accrued interest are due and payable on </w:t>
      </w:r>
      <w:bookmarkStart w:id="2234" w:name="xdx_904_eus-gaap--DebtInstrumentMaturity"/>
      <w:bookmarkEnd w:id="2234"/>
      <w:r>
        <w:rPr>
          <w:rFonts w:ascii="Times New Roman;Times;Serif" w:hAnsi="Times New Roman;Times;Serif"/>
          <w:b w:val="false"/>
          <w:i w:val="false"/>
          <w:caps w:val="false"/>
          <w:smallCaps w:val="false"/>
          <w:sz w:val="20"/>
        </w:rPr>
        <w:t>April 29, 2024. For the year ended December 31, 2024, interest expense on the Alco August Promissory Note totaled $</w:t>
      </w:r>
      <w:bookmarkStart w:id="2235" w:name="xdx_905_eus-gaap--InterestExpense_c20240"/>
      <w:bookmarkEnd w:id="2235"/>
      <w:r>
        <w:rPr>
          <w:rFonts w:ascii="Times New Roman;Times;Serif" w:hAnsi="Times New Roman;Times;Serif"/>
          <w:b w:val="false"/>
          <w:i w:val="false"/>
          <w:caps w:val="false"/>
          <w:smallCaps w:val="false"/>
          <w:sz w:val="20"/>
        </w:rPr>
        <w:t>11,284, comprised of $</w:t>
      </w:r>
      <w:bookmarkStart w:id="2236" w:name="xdx_908_eus-gaap--InterestExpenseDebt_c2"/>
      <w:bookmarkEnd w:id="2236"/>
      <w:r>
        <w:rPr>
          <w:rFonts w:ascii="Times New Roman;Times;Serif" w:hAnsi="Times New Roman;Times;Serif"/>
          <w:b w:val="false"/>
          <w:i w:val="false"/>
          <w:caps w:val="false"/>
          <w:smallCaps w:val="false"/>
          <w:sz w:val="20"/>
        </w:rPr>
        <w:t>8,022 of contractual accrued interest and $</w:t>
      </w:r>
      <w:bookmarkStart w:id="2237" w:name="xdx_90D_eus-gaap--DebtRelatedCommitmentF"/>
      <w:bookmarkEnd w:id="2237"/>
      <w:r>
        <w:rPr>
          <w:rFonts w:ascii="Times New Roman;Times;Serif" w:hAnsi="Times New Roman;Times;Serif"/>
          <w:b w:val="false"/>
          <w:i w:val="false"/>
          <w:caps w:val="false"/>
          <w:smallCaps w:val="false"/>
          <w:sz w:val="20"/>
        </w:rPr>
        <w:t>3,261 for the amortization of the discount. As of December 31, 2024 the Alco August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w:t>
      </w:r>
      <w:bookmarkStart w:id="2238" w:name="xdx_90F_eus-gaap--DebtInstrumentFaceAmou"/>
      <w:bookmarkEnd w:id="2238"/>
      <w:r>
        <w:rPr>
          <w:rFonts w:ascii="Times New Roman;Times;Serif" w:hAnsi="Times New Roman;Times;Serif"/>
          <w:b w:val="false"/>
          <w:i w:val="false"/>
          <w:caps w:val="false"/>
          <w:smallCaps w:val="false"/>
          <w:sz w:val="20"/>
        </w:rPr>
        <w:t xml:space="preserve">1,500,000 to Alco. The Alco September Promissory Note bears interest at a rate of </w:t>
      </w:r>
      <w:bookmarkStart w:id="2239" w:name="xdx_90E_eus-gaap--DebtInstrumentInterest"/>
      <w:bookmarkEnd w:id="2239"/>
      <w:r>
        <w:rPr>
          <w:rFonts w:ascii="Times New Roman;Times;Serif" w:hAnsi="Times New Roman;Times;Serif"/>
          <w:b w:val="false"/>
          <w:i w:val="false"/>
          <w:caps w:val="false"/>
          <w:smallCaps w:val="false"/>
          <w:sz w:val="20"/>
        </w:rPr>
        <w:t xml:space="preserve">8% per annum. The outstanding principal and accrued interest were due and payable on </w:t>
      </w:r>
      <w:bookmarkStart w:id="2240" w:name="xdx_90D_eus-gaap--DebtInstrumentMaturity"/>
      <w:bookmarkEnd w:id="2240"/>
      <w:r>
        <w:rPr>
          <w:rFonts w:ascii="Times New Roman;Times;Serif" w:hAnsi="Times New Roman;Times;Serif"/>
          <w:b w:val="false"/>
          <w:i w:val="false"/>
          <w:caps w:val="false"/>
          <w:smallCaps w:val="false"/>
          <w:sz w:val="20"/>
        </w:rPr>
        <w:t>September 30, 2024, however the due date was extended and the debt subsequently settled (see below). For the year ended December 31, 2024, interest expense on the Alco September Promissory Note totaled $</w:t>
      </w:r>
      <w:bookmarkStart w:id="2241" w:name="xdx_904_eus-gaap--InterestExpense_c20240"/>
      <w:bookmarkEnd w:id="2241"/>
      <w:r>
        <w:rPr>
          <w:rFonts w:ascii="Times New Roman;Times;Serif" w:hAnsi="Times New Roman;Times;Serif"/>
          <w:b w:val="false"/>
          <w:i w:val="false"/>
          <w:caps w:val="false"/>
          <w:smallCaps w:val="false"/>
          <w:sz w:val="20"/>
        </w:rPr>
        <w:t>283,188, comprised of $</w:t>
      </w:r>
      <w:bookmarkStart w:id="2242" w:name="xdx_901_eus-gaap--InterestExpenseDebt_c2"/>
      <w:bookmarkEnd w:id="2242"/>
      <w:r>
        <w:rPr>
          <w:rFonts w:ascii="Times New Roman;Times;Serif" w:hAnsi="Times New Roman;Times;Serif"/>
          <w:b w:val="false"/>
          <w:i w:val="false"/>
          <w:caps w:val="false"/>
          <w:smallCaps w:val="false"/>
          <w:sz w:val="20"/>
        </w:rPr>
        <w:t>92,822 of contractual accrued interest and $</w:t>
      </w:r>
      <w:bookmarkStart w:id="2243" w:name="xdx_90A_eus-gaap--DebtRelatedCommitmentF"/>
      <w:bookmarkEnd w:id="2243"/>
      <w:r>
        <w:rPr>
          <w:rFonts w:ascii="Times New Roman;Times;Serif" w:hAnsi="Times New Roman;Times;Serif"/>
          <w:b w:val="false"/>
          <w:i w:val="false"/>
          <w:caps w:val="false"/>
          <w:smallCaps w:val="false"/>
          <w:sz w:val="20"/>
        </w:rPr>
        <w:t>190,366 for the amortization of the discount. As of December 31, 2024 the Alco September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w:t>
      </w:r>
      <w:bookmarkStart w:id="2244" w:name="xdx_908_eus-gaap--DebtInstrumentFaceAmou"/>
      <w:bookmarkEnd w:id="2244"/>
      <w:r>
        <w:rPr>
          <w:rFonts w:ascii="Times New Roman;Times;Serif" w:hAnsi="Times New Roman;Times;Serif"/>
          <w:b w:val="false"/>
          <w:i w:val="false"/>
          <w:caps w:val="false"/>
          <w:smallCaps w:val="false"/>
          <w:sz w:val="20"/>
        </w:rPr>
        <w:t xml:space="preserve">750,000 to Alco. The Alco November Promissory Note bears interest at a rate of </w:t>
      </w:r>
      <w:bookmarkStart w:id="2245" w:name="xdx_90F_eus-gaap--DebtInstrumentInterest"/>
      <w:bookmarkEnd w:id="2245"/>
      <w:r>
        <w:rPr>
          <w:rFonts w:ascii="Times New Roman;Times;Serif" w:hAnsi="Times New Roman;Times;Serif"/>
          <w:b w:val="false"/>
          <w:i w:val="false"/>
          <w:caps w:val="false"/>
          <w:smallCaps w:val="false"/>
          <w:sz w:val="20"/>
        </w:rPr>
        <w:t xml:space="preserve">8% per annum. The outstanding principal and accrued interest were due and payable on </w:t>
      </w:r>
      <w:bookmarkStart w:id="2246" w:name="xdx_900_eus-gaap--DebtInstrumentMaturity"/>
      <w:bookmarkEnd w:id="2246"/>
      <w:r>
        <w:rPr>
          <w:rFonts w:ascii="Times New Roman;Times;Serif" w:hAnsi="Times New Roman;Times;Serif"/>
          <w:b w:val="false"/>
          <w:i w:val="false"/>
          <w:caps w:val="false"/>
          <w:smallCaps w:val="false"/>
          <w:sz w:val="20"/>
        </w:rPr>
        <w:t>April 13, 2024, however the due date was extended and the debt subsequently settled (see below). For the year ended December 31, 2024, interest expense on the Alco November Promissory Note totaled $</w:t>
      </w:r>
      <w:bookmarkStart w:id="2247" w:name="xdx_906_eus-gaap--InterestExpense_c20240"/>
      <w:bookmarkEnd w:id="2247"/>
      <w:r>
        <w:rPr>
          <w:rFonts w:ascii="Times New Roman;Times;Serif" w:hAnsi="Times New Roman;Times;Serif"/>
          <w:b w:val="false"/>
          <w:i w:val="false"/>
          <w:caps w:val="false"/>
          <w:smallCaps w:val="false"/>
          <w:sz w:val="20"/>
        </w:rPr>
        <w:t>321,189, comprised of $</w:t>
      </w:r>
      <w:bookmarkStart w:id="2248" w:name="xdx_90F_eus-gaap--InterestExpenseDebt_c2"/>
      <w:bookmarkEnd w:id="2248"/>
      <w:r>
        <w:rPr>
          <w:rFonts w:ascii="Times New Roman;Times;Serif" w:hAnsi="Times New Roman;Times;Serif"/>
          <w:b w:val="false"/>
          <w:i w:val="false"/>
          <w:caps w:val="false"/>
          <w:smallCaps w:val="false"/>
          <w:sz w:val="20"/>
        </w:rPr>
        <w:t>43,891 of contractual accrued interest and $</w:t>
      </w:r>
      <w:bookmarkStart w:id="2249" w:name="xdx_900_eus-gaap--DebtRelatedCommitmentF"/>
      <w:bookmarkEnd w:id="2249"/>
      <w:r>
        <w:rPr>
          <w:rFonts w:ascii="Times New Roman;Times;Serif" w:hAnsi="Times New Roman;Times;Serif"/>
          <w:b w:val="false"/>
          <w:i w:val="false"/>
          <w:caps w:val="false"/>
          <w:smallCaps w:val="false"/>
          <w:sz w:val="20"/>
        </w:rPr>
        <w:t>277,298 for the amortization of the discount. As of December 31, 2024 the Alco November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w:t>
      </w:r>
      <w:bookmarkStart w:id="2250" w:name="xdx_900_eus-gaap--DebtInstrumentFaceAmou"/>
      <w:bookmarkEnd w:id="2250"/>
      <w:r>
        <w:rPr>
          <w:rFonts w:ascii="Times New Roman;Times;Serif" w:hAnsi="Times New Roman;Times;Serif"/>
          <w:b w:val="false"/>
          <w:i w:val="false"/>
          <w:caps w:val="false"/>
          <w:smallCaps w:val="false"/>
          <w:sz w:val="20"/>
        </w:rPr>
        <w:t xml:space="preserve">2,000,000 to Alco. The Alco December Promissory Note bears interest at a rate of </w:t>
      </w:r>
      <w:bookmarkStart w:id="2251" w:name="xdx_903_eus-gaap--DebtInstrumentInterest"/>
      <w:bookmarkEnd w:id="2251"/>
      <w:r>
        <w:rPr>
          <w:rFonts w:ascii="Times New Roman;Times;Serif" w:hAnsi="Times New Roman;Times;Serif"/>
          <w:b w:val="false"/>
          <w:i w:val="false"/>
          <w:caps w:val="false"/>
          <w:smallCaps w:val="false"/>
          <w:sz w:val="20"/>
        </w:rPr>
        <w:t xml:space="preserve">8% per annum. The outstanding principal and accrued interest are due and payable on </w:t>
      </w:r>
      <w:bookmarkStart w:id="2252" w:name="xdx_906_eus-gaap--DebtInstrumentMaturity"/>
      <w:bookmarkEnd w:id="2252"/>
      <w:r>
        <w:rPr>
          <w:rFonts w:ascii="Times New Roman;Times;Serif" w:hAnsi="Times New Roman;Times;Serif"/>
          <w:b w:val="false"/>
          <w:i w:val="false"/>
          <w:caps w:val="false"/>
          <w:smallCaps w:val="false"/>
          <w:sz w:val="20"/>
        </w:rPr>
        <w:t>December 31, 2024. For the year ended December 31, 2024, interest expense on the Alco December Promissory Note totaled $</w:t>
      </w:r>
      <w:bookmarkStart w:id="2253" w:name="xdx_906_eus-gaap--InterestExpense_c20240"/>
      <w:bookmarkEnd w:id="2253"/>
      <w:r>
        <w:rPr>
          <w:rFonts w:ascii="Times New Roman;Times;Serif" w:hAnsi="Times New Roman;Times;Serif"/>
          <w:b w:val="false"/>
          <w:i w:val="false"/>
          <w:caps w:val="false"/>
          <w:smallCaps w:val="false"/>
          <w:sz w:val="20"/>
        </w:rPr>
        <w:t>936,941, comprised of $</w:t>
      </w:r>
      <w:bookmarkStart w:id="2254" w:name="xdx_90C_eus-gaap--InterestExpenseDebt_c2"/>
      <w:bookmarkEnd w:id="2254"/>
      <w:r>
        <w:rPr>
          <w:rFonts w:ascii="Times New Roman;Times;Serif" w:hAnsi="Times New Roman;Times;Serif"/>
          <w:b w:val="false"/>
          <w:i w:val="false"/>
          <w:caps w:val="false"/>
          <w:smallCaps w:val="false"/>
          <w:sz w:val="20"/>
        </w:rPr>
        <w:t>117,040 of contractual accrued interest and $</w:t>
      </w:r>
      <w:bookmarkStart w:id="2255" w:name="xdx_904_eus-gaap--DebtRelatedCommitmentF"/>
      <w:bookmarkEnd w:id="2255"/>
      <w:r>
        <w:rPr>
          <w:rFonts w:ascii="Times New Roman;Times;Serif" w:hAnsi="Times New Roman;Times;Serif"/>
          <w:b w:val="false"/>
          <w:i w:val="false"/>
          <w:caps w:val="false"/>
          <w:smallCaps w:val="false"/>
          <w:sz w:val="20"/>
        </w:rPr>
        <w:t>819,901 for the amortization of the discount. As of December 31, 2024 the Alco December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issuances of the Alco September, November, and December Promissory Notes, the Company, 7GC and the Sponsor entered into share transfer agreements (the “Alco Share Transfer Agreements”) with Alco Investment Company. Pursuant to which </w:t>
      </w:r>
      <w:bookmarkStart w:id="2256" w:name="xdx_90A_eus-gaap--DebtConversionDescript"/>
      <w:bookmarkEnd w:id="2256"/>
      <w:r>
        <w:rPr>
          <w:rFonts w:ascii="Times New Roman;Times;Serif" w:hAnsi="Times New Roman;Times;Serif"/>
          <w:b w:val="false"/>
          <w:i w:val="false"/>
          <w:caps w:val="false"/>
          <w:smallCaps w:val="false"/>
          <w:sz w:val="20"/>
        </w:rPr>
        <w:t>for each $</w:t>
      </w:r>
      <w:bookmarkStart w:id="2257" w:name="xdx_900_eus-gaap--DebtInstrumentConverti"/>
      <w:bookmarkStart w:id="2258" w:name="xdx_909_eus-gaap--DebtInstrumentConverti"/>
      <w:bookmarkEnd w:id="2257"/>
      <w:bookmarkEnd w:id="2258"/>
      <w:r>
        <w:rPr>
          <w:rFonts w:ascii="Times New Roman;Times;Serif" w:hAnsi="Times New Roman;Times;Serif"/>
          <w:b w:val="false"/>
          <w:i w:val="false"/>
          <w:caps w:val="false"/>
          <w:smallCaps w:val="false"/>
          <w:sz w:val="20"/>
        </w:rPr>
        <w:t>10.00 in principal borrowed under the Alco September and November Promissory Notes, the Sponsor agreed to forfeit one share of 7GC Class B Common Stock held by the Sponsor, in exchange for the right of Alco to receive one New Banzai Class A Share. For each $</w:t>
      </w:r>
      <w:bookmarkStart w:id="2259" w:name="xdx_90C_eus-gaap--DebtInstrumentConverti"/>
      <w:bookmarkEnd w:id="2259"/>
      <w:r>
        <w:rPr>
          <w:rFonts w:ascii="Times New Roman;Times;Serif" w:hAnsi="Times New Roman;Times;Serif"/>
          <w:b w:val="false"/>
          <w:i w:val="false"/>
          <w:caps w:val="false"/>
          <w:smallCaps w:val="false"/>
          <w:sz w:val="20"/>
        </w:rPr>
        <w:t xml:space="preserve">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w:t>
      </w:r>
      <w:bookmarkStart w:id="2260" w:name="xdx_908_eus-gaap--DebtConversionConverte"/>
      <w:bookmarkEnd w:id="2260"/>
      <w:r>
        <w:rPr>
          <w:rFonts w:ascii="Times New Roman;Times;Serif" w:hAnsi="Times New Roman;Times;Serif"/>
          <w:b w:val="false"/>
          <w:i w:val="false"/>
          <w:caps w:val="false"/>
          <w:smallCaps w:val="false"/>
          <w:sz w:val="20"/>
        </w:rPr>
        <w:t xml:space="preserve">7,500, </w:t>
      </w:r>
      <w:bookmarkStart w:id="2261" w:name="xdx_903_eus-gaap--DebtConversionConverte"/>
      <w:bookmarkEnd w:id="2261"/>
      <w:r>
        <w:rPr>
          <w:rFonts w:ascii="Times New Roman;Times;Serif" w:hAnsi="Times New Roman;Times;Serif"/>
          <w:b w:val="false"/>
          <w:i w:val="false"/>
          <w:caps w:val="false"/>
          <w:smallCaps w:val="false"/>
          <w:sz w:val="20"/>
        </w:rPr>
        <w:t xml:space="preserve">3,750, and </w:t>
      </w:r>
      <w:bookmarkStart w:id="2262" w:name="xdx_902_eus-gaap--DebtConversionConverte"/>
      <w:bookmarkEnd w:id="2262"/>
      <w:r>
        <w:rPr>
          <w:rFonts w:ascii="Times New Roman;Times;Serif" w:hAnsi="Times New Roman;Times;Serif"/>
          <w:b w:val="false"/>
          <w:i w:val="false"/>
          <w:caps w:val="false"/>
          <w:smallCaps w:val="false"/>
          <w:sz w:val="20"/>
        </w:rPr>
        <w:t>30,000,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Alco Share Transfer Agreements, the Company considered the guidance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18, 2024, the Company amended the Alco August Promissory Note and Alco November Promissory Note to extend the maturity dates of each note to </w:t>
      </w:r>
      <w:bookmarkStart w:id="2263" w:name="xdx_907_eus-gaap--DebtInstrumentMaturity"/>
      <w:bookmarkEnd w:id="2263"/>
      <w:r>
        <w:rPr>
          <w:rFonts w:ascii="Times New Roman;Times;Serif" w:hAnsi="Times New Roman;Times;Serif"/>
          <w:b w:val="false"/>
          <w:i w:val="false"/>
          <w:caps w:val="false"/>
          <w:smallCaps w:val="false"/>
          <w:sz w:val="20"/>
        </w:rPr>
        <w:t>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w:t>
      </w:r>
      <w:bookmarkStart w:id="2264" w:name="xdx_907_eus-gaap--ProceedsFromIssuanceOf"/>
      <w:bookmarkEnd w:id="2264"/>
      <w:r>
        <w:rPr>
          <w:rFonts w:ascii="Times New Roman;Times;Serif" w:hAnsi="Times New Roman;Times;Serif"/>
          <w:b w:val="false"/>
          <w:i w:val="false"/>
          <w:caps w:val="false"/>
          <w:smallCaps w:val="false"/>
          <w:sz w:val="20"/>
        </w:rPr>
        <w:t xml:space="preserve">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Times;Serif" w:hAnsi="Times New Roman;Times;Serif"/>
          <w:b w:val="false"/>
          <w:i/>
          <w:caps w:val="false"/>
          <w:smallCaps w:val="false"/>
          <w:sz w:val="20"/>
        </w:rPr>
        <w:t>Troubled Debt Restructurings</w:t>
      </w:r>
      <w:r>
        <w:rPr>
          <w:rFonts w:ascii="Times New Roman;Times;Serif" w:hAnsi="Times New Roman;Times;Serif"/>
          <w:b w:val="false"/>
          <w:i w:val="false"/>
          <w:caps w:val="false"/>
          <w:smallCaps w:val="false"/>
          <w:sz w:val="20"/>
        </w:rPr>
        <w:t xml:space="preserve">, and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Alco Promissory Note 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and Alco agreed to convert an aggregate balance of $</w:t>
      </w:r>
      <w:bookmarkStart w:id="2265" w:name="xdx_90E_eus-gaap--LoansPayableCurrent_iI"/>
      <w:bookmarkEnd w:id="2265"/>
      <w:r>
        <w:rPr>
          <w:rFonts w:ascii="Times New Roman;Times;Serif" w:hAnsi="Times New Roman;Times;Serif"/>
          <w:b w:val="false"/>
          <w:i w:val="false"/>
          <w:caps w:val="false"/>
          <w:smallCaps w:val="false"/>
          <w:sz w:val="20"/>
        </w:rPr>
        <w:t xml:space="preserve">4,711,681 of debt inclusive of principal and accrued interest, representing the aggregate total balance outstanding to Alco as of that date (excluding the carrying value of debt discounts), into </w:t>
      </w:r>
      <w:bookmarkStart w:id="2266" w:name="xdx_902_eus-gaap--StockIssuedDuringPerio"/>
      <w:bookmarkEnd w:id="2266"/>
      <w:r>
        <w:rPr>
          <w:rFonts w:ascii="Times New Roman;Times;Serif" w:hAnsi="Times New Roman;Times;Serif"/>
          <w:b w:val="false"/>
          <w:i w:val="false"/>
          <w:caps w:val="false"/>
          <w:smallCaps w:val="false"/>
          <w:sz w:val="20"/>
        </w:rPr>
        <w:t xml:space="preserve">14,121 shares of Class A Common Stock, Warrants to purchase up to </w:t>
      </w:r>
      <w:bookmarkStart w:id="2267" w:name="xdx_90B_ecustom--WarrantsIssued_c2024091"/>
      <w:bookmarkEnd w:id="2267"/>
      <w:r>
        <w:rPr>
          <w:rFonts w:ascii="Times New Roman;Times;Serif" w:hAnsi="Times New Roman;Times;Serif"/>
          <w:b w:val="false"/>
          <w:i w:val="false"/>
          <w:caps w:val="false"/>
          <w:smallCaps w:val="false"/>
          <w:sz w:val="20"/>
        </w:rPr>
        <w:t xml:space="preserve">66,567 shares of Class A Common Stock and Pre-Funded Warrants to purchase up to </w:t>
      </w:r>
      <w:bookmarkStart w:id="2268" w:name="xdx_90A_ecustom--WarrantsIssued_c2024091"/>
      <w:bookmarkEnd w:id="2268"/>
      <w:r>
        <w:rPr>
          <w:rFonts w:ascii="Times New Roman;Times;Serif" w:hAnsi="Times New Roman;Times;Serif"/>
          <w:b w:val="false"/>
          <w:i w:val="false"/>
          <w:caps w:val="false"/>
          <w:smallCaps w:val="false"/>
          <w:sz w:val="20"/>
        </w:rPr>
        <w:t xml:space="preserve">52,446 shares of Class A Common Stock (collectively, the “Alco Securities”), and in full settlement of the balance outstanding to Alco. The Company recognized the issuance of the Alco Securities, on </w:t>
      </w:r>
      <w:bookmarkStart w:id="2269" w:name="xdx_90A_eus-gaap--DebtConversionConverte"/>
      <w:bookmarkEnd w:id="2269"/>
      <w:r>
        <w:rPr>
          <w:rFonts w:ascii="Times New Roman;Times;Serif" w:hAnsi="Times New Roman;Times;Serif"/>
          <w:b w:val="false"/>
          <w:i w:val="false"/>
          <w:caps w:val="false"/>
          <w:smallCaps w:val="false"/>
          <w:sz w:val="20"/>
        </w:rPr>
        <w:t>September 19, 2024, in full settlement of all amounts owing to Alco. The grant date fair value of the Class A Common Stock, Warrants to purchase shares of Class A Common Stock and Pre-Funded Warrants to purchase shares of Class A Common Stock, were determined to be $</w:t>
      </w:r>
      <w:bookmarkStart w:id="2270" w:name="xdx_90A_eus-gaap--StockIssuedDuringPerio"/>
      <w:bookmarkEnd w:id="2270"/>
      <w:r>
        <w:rPr>
          <w:rFonts w:ascii="Times New Roman;Times;Serif" w:hAnsi="Times New Roman;Times;Serif"/>
          <w:b w:val="false"/>
          <w:i w:val="false"/>
          <w:caps w:val="false"/>
          <w:smallCaps w:val="false"/>
          <w:sz w:val="20"/>
        </w:rPr>
        <w:t>1,098,614, $</w:t>
      </w:r>
      <w:bookmarkStart w:id="2271" w:name="xdx_90C_ecustom--WarrantsIssuanceGrantDa"/>
      <w:bookmarkEnd w:id="2271"/>
      <w:r>
        <w:rPr>
          <w:rFonts w:ascii="Times New Roman;Times;Serif" w:hAnsi="Times New Roman;Times;Serif"/>
          <w:b w:val="false"/>
          <w:i w:val="false"/>
          <w:caps w:val="false"/>
          <w:smallCaps w:val="false"/>
          <w:sz w:val="20"/>
        </w:rPr>
        <w:t>3,687,812, and $</w:t>
      </w:r>
      <w:bookmarkStart w:id="2272" w:name="xdx_90D_ecustom--WarrantsIssuanceGrantDa"/>
      <w:bookmarkEnd w:id="2272"/>
      <w:r>
        <w:rPr>
          <w:rFonts w:ascii="Times New Roman;Times;Serif" w:hAnsi="Times New Roman;Times;Serif"/>
          <w:b w:val="false"/>
          <w:i w:val="false"/>
          <w:caps w:val="false"/>
          <w:smallCaps w:val="false"/>
          <w:sz w:val="20"/>
        </w:rPr>
        <w:t>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w:t>
      </w:r>
      <w:bookmarkStart w:id="2273" w:name="xdx_901_eus-gaap--LoansPayableCurrent_iI"/>
      <w:bookmarkEnd w:id="2273"/>
      <w:r>
        <w:rPr>
          <w:rFonts w:ascii="Times New Roman;Times;Serif" w:hAnsi="Times New Roman;Times;Serif"/>
          <w:b w:val="false"/>
          <w:i w:val="false"/>
          <w:caps w:val="false"/>
          <w:smallCaps w:val="false"/>
          <w:sz w:val="20"/>
        </w:rPr>
        <w:t xml:space="preserve">2,540,091 balance was converted into </w:t>
      </w:r>
      <w:bookmarkStart w:id="2274" w:name="xdx_900_eus-gaap--StockIssuedDuringPerio"/>
      <w:bookmarkEnd w:id="2274"/>
      <w:r>
        <w:rPr>
          <w:rFonts w:ascii="Times New Roman;Times;Serif" w:hAnsi="Times New Roman;Times;Serif"/>
          <w:b w:val="false"/>
          <w:i w:val="false"/>
          <w:caps w:val="false"/>
          <w:smallCaps w:val="false"/>
          <w:sz w:val="20"/>
        </w:rPr>
        <w:t>891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w:t>
      </w:r>
      <w:bookmarkStart w:id="2275" w:name="xdx_907_eus-gaap--CommonStockValue_iI_c2"/>
      <w:bookmarkEnd w:id="2275"/>
      <w:r>
        <w:rPr>
          <w:rFonts w:ascii="Times New Roman;Times;Serif" w:hAnsi="Times New Roman;Times;Serif"/>
          <w:b w:val="false"/>
          <w:i w:val="false"/>
          <w:caps w:val="false"/>
          <w:smallCaps w:val="false"/>
          <w:sz w:val="20"/>
        </w:rPr>
        <w:t xml:space="preserve">100,000,000 and the Company was required to make and execute a warrant (“GEM Warrant”). The Company’s obligation to issue the GEM Warrant remained, granting GEM the right to purchase Class A Common Stock in an amount equal to </w:t>
      </w:r>
      <w:bookmarkStart w:id="2276" w:name="xdx_907_ecustom--PercentageOfRightToConv"/>
      <w:bookmarkEnd w:id="2276"/>
      <w:r>
        <w:rPr>
          <w:rFonts w:ascii="Times New Roman;Times;Serif" w:hAnsi="Times New Roman;Times;Serif"/>
          <w:b w:val="false"/>
          <w:i w:val="false"/>
          <w:caps w:val="false"/>
          <w:smallCaps w:val="false"/>
          <w:sz w:val="20"/>
        </w:rPr>
        <w:t>3% of the total number of equity interests outstanding as of the Closing, calculated on a fully diluted basis, at an exercise price on the terms and conditions set forth therein, in exchange for issuance of a $</w:t>
      </w:r>
      <w:bookmarkStart w:id="2277" w:name="xdx_903_eus-gaap--ConvertibleDebt_iI_pn5"/>
      <w:bookmarkEnd w:id="2277"/>
      <w:r>
        <w:rPr>
          <w:rFonts w:ascii="Times New Roman;Times;Serif" w:hAnsi="Times New Roman;Times;Serif"/>
          <w:b w:val="false"/>
          <w:i w:val="false"/>
          <w:caps w:val="false"/>
          <w:smallCaps w:val="false"/>
          <w:sz w:val="20"/>
        </w:rPr>
        <w:t xml:space="preserve">2.0 million convertible debenture with a </w:t>
      </w:r>
      <w:bookmarkStart w:id="2278" w:name="xdx_903_eus-gaap--DebtInstrumentTerm_pid"/>
      <w:bookmarkEnd w:id="2278"/>
      <w:r>
        <w:rPr>
          <w:rFonts w:ascii="Times New Roman;Times;Serif" w:hAnsi="Times New Roman;Times;Serif"/>
          <w:b w:val="false"/>
          <w:i w:val="false"/>
          <w:caps w:val="false"/>
          <w:smallCaps w:val="false"/>
          <w:sz w:val="20"/>
        </w:rPr>
        <w:t xml:space="preserve">5five-year maturity and </w:t>
      </w:r>
      <w:bookmarkStart w:id="2279" w:name="xdx_909_ecustom--CouponRate_iI_pid_dp_uP"/>
      <w:bookmarkEnd w:id="2279"/>
      <w:r>
        <w:rPr>
          <w:rFonts w:ascii="Times New Roman;Times;Serif" w:hAnsi="Times New Roman;Times;Serif"/>
          <w:b w:val="false"/>
          <w:i w:val="false"/>
          <w:caps w:val="false"/>
          <w:smallCaps w:val="false"/>
          <w:sz w:val="20"/>
        </w:rPr>
        <w:t>0% coupon. Due to the determination of the final terms of the planned $</w:t>
      </w:r>
      <w:bookmarkStart w:id="2280" w:name="xdx_903_eus-gaap--ConvertibleDebt_iI_pn5"/>
      <w:bookmarkEnd w:id="2280"/>
      <w:r>
        <w:rPr>
          <w:rFonts w:ascii="Times New Roman;Times;Serif" w:hAnsi="Times New Roman;Times;Serif"/>
          <w:b w:val="false"/>
          <w:i w:val="false"/>
          <w:caps w:val="false"/>
          <w:smallCaps w:val="false"/>
          <w:sz w:val="20"/>
        </w:rPr>
        <w:t>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w:t>
      </w:r>
      <w:bookmarkStart w:id="2281" w:name="xdx_903_eus-gaap--DebtInstrumentFeeAmoun"/>
      <w:bookmarkEnd w:id="2281"/>
      <w:r>
        <w:rPr>
          <w:rFonts w:ascii="Times New Roman;Times;Serif" w:hAnsi="Times New Roman;Times;Serif"/>
          <w:b w:val="false"/>
          <w:i w:val="false"/>
          <w:caps w:val="false"/>
          <w:smallCaps w:val="false"/>
          <w:sz w:val="20"/>
        </w:rPr>
        <w:t>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w:t>
      </w:r>
      <w:bookmarkStart w:id="2282" w:name="xdx_900_ecustom--DebtInstrumentCashAgree"/>
      <w:bookmarkEnd w:id="2282"/>
      <w:r>
        <w:rPr>
          <w:rFonts w:ascii="Times New Roman;Times;Serif" w:hAnsi="Times New Roman;Times;Serif"/>
          <w:b w:val="false"/>
          <w:i w:val="false"/>
          <w:caps w:val="false"/>
          <w:smallCaps w:val="false"/>
          <w:sz w:val="20"/>
        </w:rPr>
        <w:t>1.2 million in cash within three business days of the GEM Settlement Agreement and (ii) issued to GEM, on February 5, 2024, an unsecured promissory zero coupon note in the amount of $</w:t>
      </w:r>
      <w:bookmarkStart w:id="2283" w:name="xdx_90A_eus-gaap--DebtInstrumentFaceAmou"/>
      <w:bookmarkEnd w:id="2283"/>
      <w:r>
        <w:rPr>
          <w:rFonts w:ascii="Times New Roman;Times;Serif" w:hAnsi="Times New Roman;Times;Serif"/>
          <w:b w:val="false"/>
          <w:i w:val="false"/>
          <w:caps w:val="false"/>
          <w:smallCaps w:val="false"/>
          <w:sz w:val="20"/>
        </w:rPr>
        <w:t>1.0 million, payable in monthly installments of $</w:t>
      </w:r>
      <w:bookmarkStart w:id="2284" w:name="xdx_90C_eus-gaap--DebtInstrumentPeriodic"/>
      <w:bookmarkEnd w:id="2284"/>
      <w:r>
        <w:rPr>
          <w:rFonts w:ascii="Times New Roman;Times;Serif" w:hAnsi="Times New Roman;Times;Serif"/>
          <w:b w:val="false"/>
          <w:i w:val="false"/>
          <w:caps w:val="false"/>
          <w:smallCaps w:val="false"/>
          <w:sz w:val="20"/>
        </w:rPr>
        <w:t>100,000 beginning on March 1, 2024, with the final payment to be made on December 1, 2024 (the “GEM Promissory Note”). The Company paid GEM the $</w:t>
      </w:r>
      <w:bookmarkStart w:id="2285" w:name="xdx_903_eus-gaap--RepaymentsOfLongTermDe"/>
      <w:bookmarkEnd w:id="2285"/>
      <w:r>
        <w:rPr>
          <w:rFonts w:ascii="Times New Roman;Times;Serif" w:hAnsi="Times New Roman;Times;Serif"/>
          <w:b w:val="false"/>
          <w:i w:val="false"/>
          <w:caps w:val="false"/>
          <w:smallCaps w:val="false"/>
          <w:sz w:val="20"/>
        </w:rPr>
        <w:t>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w:t>
      </w:r>
      <w:bookmarkStart w:id="2286" w:name="xdx_90A_ecustom--SharesIssuableUnderProm"/>
      <w:bookmarkEnd w:id="2286"/>
      <w:r>
        <w:rPr>
          <w:rFonts w:ascii="Times New Roman;Times;Serif" w:hAnsi="Times New Roman;Times;Serif"/>
          <w:b w:val="false"/>
          <w:i w:val="false"/>
          <w:caps w:val="false"/>
          <w:smallCaps w:val="false"/>
          <w:sz w:val="20"/>
        </w:rPr>
        <w:t>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issued an aggregate of </w:t>
      </w:r>
      <w:bookmarkStart w:id="2287" w:name="xdx_903_ecustom--SharesIssuableUnderProm"/>
      <w:bookmarkEnd w:id="2287"/>
      <w:r>
        <w:rPr>
          <w:rFonts w:ascii="Times New Roman;Times;Serif" w:hAnsi="Times New Roman;Times;Serif"/>
          <w:b w:val="false"/>
          <w:i w:val="false"/>
          <w:caps w:val="false"/>
          <w:smallCaps w:val="false"/>
          <w:sz w:val="20"/>
        </w:rPr>
        <w:t>950 shares of Class A Common Stock to GEM in lieu of monthly payment obligations and during the year ended December 31, 2025 the Company paid an aggregate of $</w:t>
      </w:r>
      <w:bookmarkStart w:id="2288" w:name="xdx_90D_eus-gaap--ConvertibleDebt_iI_pp0"/>
      <w:bookmarkEnd w:id="2288"/>
      <w:r>
        <w:rPr>
          <w:rFonts w:ascii="Times New Roman;Times;Serif" w:hAnsi="Times New Roman;Times;Serif"/>
          <w:b w:val="false"/>
          <w:i w:val="false"/>
          <w:caps w:val="false"/>
          <w:smallCaps w:val="false"/>
          <w:sz w:val="20"/>
        </w:rPr>
        <w:t>215,057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w:t>
      </w:r>
      <w:bookmarkStart w:id="2289" w:name="xdx_90D_eus-gaap--DebtInstrumentFaceAmou"/>
      <w:bookmarkEnd w:id="2289"/>
      <w:r>
        <w:rPr>
          <w:rFonts w:ascii="Times New Roman;Times;Serif" w:hAnsi="Times New Roman;Times;Serif"/>
          <w:b w:val="false"/>
          <w:i w:val="false"/>
          <w:caps w:val="false"/>
          <w:smallCaps w:val="false"/>
          <w:sz w:val="20"/>
        </w:rPr>
        <w:t>3,500,000, $</w:t>
      </w:r>
      <w:bookmarkStart w:id="2290" w:name="xdx_904_eus-gaap--DebtInstrumentFaceAmou"/>
      <w:bookmarkEnd w:id="2290"/>
      <w:r>
        <w:rPr>
          <w:rFonts w:ascii="Times New Roman;Times;Serif" w:hAnsi="Times New Roman;Times;Serif"/>
          <w:b w:val="false"/>
          <w:i w:val="false"/>
          <w:caps w:val="false"/>
          <w:smallCaps w:val="false"/>
          <w:sz w:val="20"/>
        </w:rPr>
        <w:t>2,000,000 of which was funded at the Closing in exchange for the issuance by the Company of a Convertible Promissory Note (the “December Yorkville Convertible Note”). The Company received net proceeds of $</w:t>
      </w:r>
      <w:bookmarkStart w:id="2291" w:name="xdx_905_eus-gaap--ProceedsFromIssuanceOf"/>
      <w:bookmarkEnd w:id="2291"/>
      <w:r>
        <w:rPr>
          <w:rFonts w:ascii="Times New Roman;Times;Serif" w:hAnsi="Times New Roman;Times;Serif"/>
          <w:b w:val="false"/>
          <w:i w:val="false"/>
          <w:caps w:val="false"/>
          <w:smallCaps w:val="false"/>
          <w:sz w:val="20"/>
        </w:rPr>
        <w:t>1,800,000 after a non-cash original issue discount of $</w:t>
      </w:r>
      <w:bookmarkStart w:id="2292" w:name="xdx_90A_eus-gaap--AmortizationOfDebtDisc"/>
      <w:bookmarkEnd w:id="2292"/>
      <w:r>
        <w:rPr>
          <w:rFonts w:ascii="Times New Roman;Times;Serif" w:hAnsi="Times New Roman;Times;Serif"/>
          <w:b w:val="false"/>
          <w:i w:val="false"/>
          <w:caps w:val="false"/>
          <w:smallCaps w:val="false"/>
          <w:sz w:val="20"/>
        </w:rPr>
        <w:t>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w:t>
      </w:r>
      <w:bookmarkStart w:id="2293" w:name="xdx_909_ecustom--IncreasedPrincipalAmoun"/>
      <w:bookmarkEnd w:id="2293"/>
      <w:r>
        <w:rPr>
          <w:rFonts w:ascii="Times New Roman;Times;Serif" w:hAnsi="Times New Roman;Times;Serif"/>
          <w:b w:val="false"/>
          <w:i w:val="false"/>
          <w:caps w:val="false"/>
          <w:smallCaps w:val="false"/>
          <w:sz w:val="20"/>
        </w:rPr>
        <w:t>1,000,000 (the “Additional Pre-Paid Advance Amount”), for an aggregate principal amount of $</w:t>
      </w:r>
      <w:bookmarkStart w:id="2294" w:name="xdx_901_eus-gaap--DebtInstrumentFaceAmou"/>
      <w:bookmarkEnd w:id="2294"/>
      <w:r>
        <w:rPr>
          <w:rFonts w:ascii="Times New Roman;Times;Serif" w:hAnsi="Times New Roman;Times;Serif"/>
          <w:b w:val="false"/>
          <w:i w:val="false"/>
          <w:caps w:val="false"/>
          <w:smallCaps w:val="false"/>
          <w:sz w:val="20"/>
        </w:rPr>
        <w:t>4,500,000 to be advanced by Yorkville to the Company in the form of convertible promissory notes. On February 5, 2024 in exchange for a promissory note in the principal amount of $</w:t>
      </w:r>
      <w:bookmarkStart w:id="2295" w:name="xdx_903_eus-gaap--DebtInstrumentFaceAmou"/>
      <w:bookmarkEnd w:id="2295"/>
      <w:r>
        <w:rPr>
          <w:rFonts w:ascii="Times New Roman;Times;Serif" w:hAnsi="Times New Roman;Times;Serif"/>
          <w:b w:val="false"/>
          <w:i w:val="false"/>
          <w:caps w:val="false"/>
          <w:smallCaps w:val="false"/>
          <w:sz w:val="20"/>
        </w:rPr>
        <w:t>1,000,000 (the “February Yorkville Promissory Note”), with the same terms as the December Yorkville Convertible Note, the Company received net proceeds of $</w:t>
      </w:r>
      <w:bookmarkStart w:id="2296" w:name="xdx_901_eus-gaap--ProceedsFromIssuanceOf"/>
      <w:bookmarkEnd w:id="2296"/>
      <w:r>
        <w:rPr>
          <w:rFonts w:ascii="Times New Roman;Times;Serif" w:hAnsi="Times New Roman;Times;Serif"/>
          <w:b w:val="false"/>
          <w:i w:val="false"/>
          <w:caps w:val="false"/>
          <w:smallCaps w:val="false"/>
          <w:sz w:val="20"/>
        </w:rPr>
        <w:t>900,000 after an original issue discount of $</w:t>
      </w:r>
      <w:bookmarkStart w:id="2297" w:name="xdx_90A_eus-gaap--AmortizationOfDebtDisc"/>
      <w:bookmarkEnd w:id="2297"/>
      <w:r>
        <w:rPr>
          <w:rFonts w:ascii="Times New Roman;Times;Serif" w:hAnsi="Times New Roman;Times;Serif"/>
          <w:b w:val="false"/>
          <w:i w:val="false"/>
          <w:caps w:val="false"/>
          <w:smallCaps w:val="false"/>
          <w:sz w:val="20"/>
        </w:rPr>
        <w:t>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w:t>
      </w:r>
      <w:bookmarkStart w:id="2298" w:name="xdx_908_eus-gaap--DebtInstrumentFaceAmou"/>
      <w:bookmarkEnd w:id="2298"/>
      <w:r>
        <w:rPr>
          <w:rFonts w:ascii="Times New Roman;Times;Serif" w:hAnsi="Times New Roman;Times;Serif"/>
          <w:b w:val="false"/>
          <w:i w:val="false"/>
          <w:caps w:val="false"/>
          <w:smallCaps w:val="false"/>
          <w:sz w:val="20"/>
        </w:rPr>
        <w:t>1,500,000 (the “March Yorkville Promissory Note” and, together with the December Yorkville Convertible Note and February Yorkville Promissory Note, the “Yorkville Promissory Notes”), received net proceeds of $</w:t>
      </w:r>
      <w:bookmarkStart w:id="2299" w:name="xdx_908_eus-gaap--ProceedsFromIssuanceOf"/>
      <w:bookmarkEnd w:id="2299"/>
      <w:r>
        <w:rPr>
          <w:rFonts w:ascii="Times New Roman;Times;Serif" w:hAnsi="Times New Roman;Times;Serif"/>
          <w:b w:val="false"/>
          <w:i w:val="false"/>
          <w:caps w:val="false"/>
          <w:smallCaps w:val="false"/>
          <w:sz w:val="20"/>
        </w:rPr>
        <w:t>1,250,000 after an original issue discount of $</w:t>
      </w:r>
      <w:bookmarkStart w:id="2300" w:name="xdx_906_eus-gaap--AmortizationOfDebtDisc"/>
      <w:bookmarkEnd w:id="2300"/>
      <w:r>
        <w:rPr>
          <w:rFonts w:ascii="Times New Roman;Times;Serif" w:hAnsi="Times New Roman;Times;Serif"/>
          <w:b w:val="false"/>
          <w:i w:val="false"/>
          <w:caps w:val="false"/>
          <w:smallCaps w:val="false"/>
          <w:sz w:val="20"/>
        </w:rPr>
        <w:t>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w:t>
      </w:r>
      <w:bookmarkStart w:id="2301" w:name="xdx_906_eus-gaap--RepaymentsOfConvertibl"/>
      <w:bookmarkEnd w:id="2301"/>
      <w:r>
        <w:rPr>
          <w:rFonts w:ascii="Times New Roman;Times;Serif" w:hAnsi="Times New Roman;Times;Serif"/>
          <w:b w:val="false"/>
          <w:i w:val="false"/>
          <w:caps w:val="false"/>
          <w:smallCaps w:val="false"/>
          <w:sz w:val="20"/>
        </w:rPr>
        <w:t>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w:t>
      </w:r>
      <w:bookmarkStart w:id="2302" w:name="xdx_907_eus-gaap--RedemptionPremium_pp0p"/>
      <w:bookmarkEnd w:id="2302"/>
      <w:r>
        <w:rPr>
          <w:rFonts w:ascii="Times New Roman;Times;Serif" w:hAnsi="Times New Roman;Times;Serif"/>
          <w:b w:val="false"/>
          <w:i w:val="false"/>
          <w:caps w:val="false"/>
          <w:smallCaps w:val="false"/>
          <w:sz w:val="20"/>
        </w:rPr>
        <w:t>200,000 payment premium due in connection with an early redemption through the issuance of an Advance Notice (as defined in the SEPA) for shares of the Company’s Class A Common Stock, par value $</w:t>
      </w:r>
      <w:bookmarkStart w:id="2303" w:name="xdx_90C_eus-gaap--SharesIssuedPricePerSh"/>
      <w:bookmarkEnd w:id="2303"/>
      <w:r>
        <w:rPr>
          <w:rFonts w:ascii="Times New Roman;Times;Serif" w:hAnsi="Times New Roman;Times;Serif"/>
          <w:b w:val="false"/>
          <w:i w:val="false"/>
          <w:caps w:val="false"/>
          <w:smallCaps w:val="false"/>
          <w:sz w:val="20"/>
        </w:rPr>
        <w:t xml:space="preserve">0.0001 per share. The Original Debt Repayment Agreement was conditioned on the completion of the offering by </w:t>
      </w:r>
      <w:bookmarkStart w:id="2304" w:name="xdx_908_eus-gaap--DebtInstrumentOffering"/>
      <w:bookmarkEnd w:id="2304"/>
      <w:r>
        <w:rPr>
          <w:rFonts w:ascii="Times New Roman;Times;Serif" w:hAnsi="Times New Roman;Times;Serif"/>
          <w:b w:val="false"/>
          <w:i w:val="false"/>
          <w:caps w:val="false"/>
          <w:smallCaps w:val="false"/>
          <w:sz w:val="20"/>
        </w:rPr>
        <w:t>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w:t>
      </w:r>
      <w:bookmarkStart w:id="2305" w:name="xdx_901_eus-gaap--DebtInstrumentFaceAmou"/>
      <w:bookmarkEnd w:id="2305"/>
      <w:r>
        <w:rPr>
          <w:rFonts w:ascii="Times New Roman;Times;Serif" w:hAnsi="Times New Roman;Times;Serif"/>
          <w:b w:val="false"/>
          <w:i w:val="false"/>
          <w:caps w:val="false"/>
          <w:smallCaps w:val="false"/>
          <w:sz w:val="20"/>
        </w:rPr>
        <w:t>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w:t>
      </w:r>
      <w:bookmarkStart w:id="2306" w:name="xdx_906_eus-gaap--RepaymentsOfDebt_c2024"/>
      <w:bookmarkEnd w:id="2306"/>
      <w:r>
        <w:rPr>
          <w:rFonts w:ascii="Times New Roman;Times;Serif" w:hAnsi="Times New Roman;Times;Serif"/>
          <w:b w:val="false"/>
          <w:i w:val="false"/>
          <w:caps w:val="false"/>
          <w:smallCaps w:val="false"/>
          <w:sz w:val="20"/>
        </w:rPr>
        <w:t>75,000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w:t>
      </w:r>
      <w:bookmarkStart w:id="2307" w:name="xdx_90B_ecustom--AggregatePrincipalAmoun"/>
      <w:bookmarkEnd w:id="2307"/>
      <w:r>
        <w:rPr>
          <w:rFonts w:ascii="Times New Roman;Times;Serif" w:hAnsi="Times New Roman;Times;Serif"/>
          <w:b w:val="false"/>
          <w:i w:val="false"/>
          <w:caps w:val="false"/>
          <w:smallCaps w:val="false"/>
          <w:sz w:val="20"/>
        </w:rPr>
        <w:t xml:space="preserve">750,000 on May 31, 2024 (the “Repayment Date”), and issued an Advance Notice for the purchase of </w:t>
      </w:r>
      <w:bookmarkStart w:id="2308" w:name="xdx_905_eus-gaap--StockIssuedDuringPerio"/>
      <w:bookmarkEnd w:id="2308"/>
      <w:r>
        <w:rPr>
          <w:rFonts w:ascii="Times New Roman;Times;Serif" w:hAnsi="Times New Roman;Times;Serif"/>
          <w:b w:val="false"/>
          <w:i w:val="false"/>
          <w:caps w:val="false"/>
          <w:smallCaps w:val="false"/>
          <w:sz w:val="20"/>
        </w:rPr>
        <w:t>60 shares of Class A Common Stock (the “Premium Advance Shares”) (representing the number of shares the Company reasonably believed would be sufficient to result in net proceeds of $</w:t>
      </w:r>
      <w:bookmarkStart w:id="2309" w:name="xdx_907_eus-gaap--ProceedsFromIssuanceOf"/>
      <w:bookmarkEnd w:id="2309"/>
      <w:r>
        <w:rPr>
          <w:rFonts w:ascii="Times New Roman;Times;Serif" w:hAnsi="Times New Roman;Times;Serif"/>
          <w:b w:val="false"/>
          <w:i w:val="false"/>
          <w:caps w:val="false"/>
          <w:smallCaps w:val="false"/>
          <w:sz w:val="20"/>
        </w:rPr>
        <w:t>75,000 as of the Repayment Date) (the “Premium Advance”). The total purchase price for the Premium Advance was $</w:t>
      </w:r>
      <w:bookmarkStart w:id="2310" w:name="xdx_908_eus-gaap--DebtInstrumentUnamorti"/>
      <w:bookmarkEnd w:id="2310"/>
      <w:r>
        <w:rPr>
          <w:rFonts w:ascii="Times New Roman;Times;Serif" w:hAnsi="Times New Roman;Times;Serif"/>
          <w:b w:val="false"/>
          <w:i w:val="false"/>
          <w:caps w:val="false"/>
          <w:smallCaps w:val="false"/>
          <w:sz w:val="20"/>
        </w:rPr>
        <w:t>110,040, of which $</w:t>
      </w:r>
      <w:bookmarkStart w:id="2311" w:name="xdx_904_eus-gaap--RedemptionPremium_c202"/>
      <w:bookmarkEnd w:id="2311"/>
      <w:r>
        <w:rPr>
          <w:rFonts w:ascii="Times New Roman;Times;Serif" w:hAnsi="Times New Roman;Times;Serif"/>
          <w:b w:val="false"/>
          <w:i w:val="false"/>
          <w:caps w:val="false"/>
          <w:smallCaps w:val="false"/>
          <w:sz w:val="20"/>
        </w:rPr>
        <w:t>75,000 was applied in satisfaction of the Payment Premium, and the remaining $</w:t>
      </w:r>
      <w:bookmarkStart w:id="2312" w:name="xdx_900_eus-gaap--ProceedsFromRepayments"/>
      <w:bookmarkEnd w:id="2312"/>
      <w:r>
        <w:rPr>
          <w:rFonts w:ascii="Times New Roman;Times;Serif" w:hAnsi="Times New Roman;Times;Serif"/>
          <w:b w:val="false"/>
          <w:i w:val="false"/>
          <w:caps w:val="false"/>
          <w:smallCaps w:val="false"/>
          <w:sz w:val="20"/>
        </w:rPr>
        <w:t>35,040 was paid by Yorkville to the Company in cash (the “Cash Surplus”). The Premium Advance Shares were recorded at fair value totaling $</w:t>
      </w:r>
      <w:bookmarkStart w:id="2313" w:name="xdx_905_eus-gaap--DebtInstrumentFairValu"/>
      <w:bookmarkEnd w:id="2313"/>
      <w:r>
        <w:rPr>
          <w:rFonts w:ascii="Times New Roman;Times;Serif" w:hAnsi="Times New Roman;Times;Serif"/>
          <w:b w:val="false"/>
          <w:i w:val="false"/>
          <w:caps w:val="false"/>
          <w:smallCaps w:val="false"/>
          <w:sz w:val="20"/>
        </w:rPr>
        <w:t>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w:t>
      </w:r>
      <w:bookmarkStart w:id="2314" w:name="xdx_90D_eus-gaap--RepaymentsOfDebt_pn5n6"/>
      <w:bookmarkEnd w:id="2314"/>
      <w:r>
        <w:rPr>
          <w:rFonts w:ascii="Times New Roman;Times;Serif" w:hAnsi="Times New Roman;Times;Serif"/>
          <w:b w:val="false"/>
          <w:i w:val="false"/>
          <w:caps w:val="false"/>
          <w:smallCaps w:val="false"/>
          <w:sz w:val="20"/>
        </w:rPr>
        <w:t>0.7 million, with no remaining interest, the floor price, as described in the Outstanding Promissory Notes, was adjusted to $400.00,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w:t>
      </w:r>
      <w:bookmarkStart w:id="2315" w:name="xdx_906_eus-gaap--DebtInstrumentMaturity"/>
      <w:bookmarkEnd w:id="2315"/>
      <w:r>
        <w:rPr>
          <w:rFonts w:ascii="Times New Roman;Times;Serif" w:hAnsi="Times New Roman;Times;Serif"/>
          <w:b w:val="false"/>
          <w:i w:val="false"/>
          <w:caps w:val="false"/>
          <w:smallCaps w:val="false"/>
          <w:sz w:val="20"/>
          <w:shd w:fill="FFFFFF" w:val="clear"/>
        </w:rPr>
        <w:t xml:space="preserve">January 17, 2025, and accrue interest at </w:t>
      </w:r>
      <w:bookmarkStart w:id="2316" w:name="xdx_90B_eus-gaap--DebtInstrumentInterest"/>
      <w:bookmarkEnd w:id="2316"/>
      <w:r>
        <w:rPr>
          <w:rFonts w:ascii="Times New Roman;Times;Serif" w:hAnsi="Times New Roman;Times;Serif"/>
          <w:b w:val="false"/>
          <w:i w:val="false"/>
          <w:caps w:val="false"/>
          <w:smallCaps w:val="false"/>
          <w:sz w:val="20"/>
          <w:shd w:fill="FFFFFF" w:val="clear"/>
        </w:rPr>
        <w:t xml:space="preserve">0% per annum, subject to an increase to </w:t>
      </w:r>
      <w:bookmarkStart w:id="2317" w:name="xdx_902_eus-gaap--DebtInstrumentInterest"/>
      <w:bookmarkEnd w:id="2317"/>
      <w:r>
        <w:rPr>
          <w:rFonts w:ascii="Times New Roman;Times;Serif" w:hAnsi="Times New Roman;Times;Serif"/>
          <w:b w:val="false"/>
          <w:i w:val="false"/>
          <w:caps w:val="false"/>
          <w:smallCaps w:val="false"/>
          <w:sz w:val="20"/>
          <w:shd w:fill="FFFFFF" w:val="clear"/>
        </w:rPr>
        <w:t xml:space="preserve">18% per annum upon events of default as defined in the agreement. As of December 31, 2025, no events of default have occurred.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Yorkville will not have the right to convert any portion of the principal to the extent that after giving effect to such conversion, Yorkville would beneficially own in excess of </w:t>
      </w:r>
      <w:bookmarkStart w:id="2318" w:name="xdx_903_eus-gaap--DebtConversionConverte"/>
      <w:bookmarkEnd w:id="2318"/>
      <w:r>
        <w:rPr>
          <w:rFonts w:ascii="Times New Roman;Times;Serif" w:hAnsi="Times New Roman;Times;Serif"/>
          <w:b w:val="false"/>
          <w:i w:val="false"/>
          <w:caps w:val="false"/>
          <w:smallCaps w:val="false"/>
          <w:sz w:val="20"/>
        </w:rPr>
        <w:t>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at its option, shall have the right, but not the obligation, to redeem early a portion or all amounts outstanding under the Promissory Notes at a redemption amount equal to the outstanding principal balance being repaid or redeemed, plus a </w:t>
      </w:r>
      <w:bookmarkStart w:id="2319" w:name="xdx_902_ecustom--PercentageOfPrepaymentP"/>
      <w:bookmarkEnd w:id="2319"/>
      <w:r>
        <w:rPr>
          <w:rFonts w:ascii="Times New Roman;Times;Serif" w:hAnsi="Times New Roman;Times;Serif"/>
          <w:b w:val="false"/>
          <w:i w:val="false"/>
          <w:caps w:val="false"/>
          <w:smallCaps w:val="false"/>
          <w:sz w:val="20"/>
        </w:rPr>
        <w:t>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w:t>
      </w:r>
      <w:bookmarkStart w:id="2320" w:name="xdx_907_eus-gaap--RepaymentsOfConvertibl"/>
      <w:bookmarkEnd w:id="2320"/>
      <w:r>
        <w:rPr>
          <w:rFonts w:ascii="Times New Roman;Times;Serif" w:hAnsi="Times New Roman;Times;Serif"/>
          <w:b w:val="false"/>
          <w:i w:val="false"/>
          <w:caps w:val="false"/>
          <w:smallCaps w:val="false"/>
          <w:sz w:val="20"/>
        </w:rPr>
        <w:t xml:space="preserve">1,000,000, plus (y) </w:t>
      </w:r>
      <w:bookmarkStart w:id="2321" w:name="xdx_905_ecustom--PercentageOfRepaymentOf"/>
      <w:bookmarkEnd w:id="2321"/>
      <w:r>
        <w:rPr>
          <w:rFonts w:ascii="Times New Roman;Times;Serif" w:hAnsi="Times New Roman;Times;Serif"/>
          <w:b w:val="false"/>
          <w:i w:val="false"/>
          <w:caps w:val="false"/>
          <w:smallCaps w:val="false"/>
          <w:sz w:val="20"/>
        </w:rPr>
        <w:t>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per share fell below the then in effect Floor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of $</w:t>
      </w:r>
      <w:bookmarkStart w:id="2322" w:name="xdx_901_ecustom--MaximumFloorPrice_iI_c2"/>
      <w:bookmarkEnd w:id="2322"/>
      <w:r>
        <w:rPr>
          <w:rFonts w:ascii="Times New Roman;Times;Serif" w:hAnsi="Times New Roman;Times;Serif"/>
          <w:b w:val="false"/>
          <w:i w:val="false"/>
          <w:caps w:val="false"/>
          <w:smallCaps w:val="false"/>
          <w:sz w:val="20"/>
        </w:rPr>
        <w:t>400.00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w:t>
      </w:r>
      <w:bookmarkStart w:id="2323" w:name="xdx_908_ecustom--FloorPrice_iI_c20240131"/>
      <w:bookmarkEnd w:id="2323"/>
      <w:r>
        <w:rPr>
          <w:rFonts w:ascii="Times New Roman;Times;Serif" w:hAnsi="Times New Roman;Times;Serif"/>
          <w:b w:val="false"/>
          <w:i w:val="false"/>
          <w:caps w:val="false"/>
          <w:smallCaps w:val="false"/>
          <w:sz w:val="20"/>
        </w:rPr>
        <w:t>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t>
      </w:r>
      <w:bookmarkStart w:id="2324" w:name="xdx_908_eus-gaap--ProceedsFromRepayments"/>
      <w:bookmarkEnd w:id="2324"/>
      <w:r>
        <w:rPr>
          <w:rFonts w:ascii="Times New Roman;Times;Serif" w:hAnsi="Times New Roman;Times;Serif"/>
          <w:b w:val="false"/>
          <w:i w:val="false"/>
          <w:caps w:val="false"/>
          <w:smallCaps w:val="false"/>
          <w:sz w:val="20"/>
        </w:rPr>
        <w:t xml:space="preserve">2,000,000 of the full outstanding principal under the December Yorkville Convertible Note, respectively, was converted into </w:t>
      </w:r>
      <w:bookmarkStart w:id="2325" w:name="xdx_909_eus-gaap--ConversionOfStockShare"/>
      <w:bookmarkEnd w:id="2325"/>
      <w:r>
        <w:rPr>
          <w:rFonts w:ascii="Times New Roman;Times;Serif" w:hAnsi="Times New Roman;Times;Serif"/>
          <w:b w:val="false"/>
          <w:i w:val="false"/>
          <w:caps w:val="false"/>
          <w:smallCaps w:val="false"/>
          <w:sz w:val="20"/>
        </w:rPr>
        <w:t>1,377 shares of Class A Common stock of the Company. During the year ended December 31, 2024, the full principal amount of $</w:t>
      </w:r>
      <w:bookmarkStart w:id="2326" w:name="xdx_908_eus-gaap--DebtInstrumentFaceAmou"/>
      <w:bookmarkEnd w:id="2326"/>
      <w:r>
        <w:rPr>
          <w:rFonts w:ascii="Times New Roman;Times;Serif" w:hAnsi="Times New Roman;Times;Serif"/>
          <w:b w:val="false"/>
          <w:i w:val="false"/>
          <w:caps w:val="false"/>
          <w:smallCaps w:val="false"/>
          <w:sz w:val="20"/>
        </w:rPr>
        <w:t xml:space="preserve">1,000,000 under the February Yorkville Promissory Note was converted into </w:t>
      </w:r>
      <w:bookmarkStart w:id="2327" w:name="xdx_90A_eus-gaap--ConversionOfStockShare"/>
      <w:bookmarkEnd w:id="2327"/>
      <w:r>
        <w:rPr>
          <w:rFonts w:ascii="Times New Roman;Times;Serif" w:hAnsi="Times New Roman;Times;Serif"/>
          <w:b w:val="false"/>
          <w:i w:val="false"/>
          <w:caps w:val="false"/>
          <w:smallCaps w:val="false"/>
          <w:sz w:val="20"/>
        </w:rPr>
        <w:t>145 Class A Common stock of the Company. During the year ended December 31, 2024, the full outstanding principal amount of $</w:t>
      </w:r>
      <w:bookmarkStart w:id="2328" w:name="xdx_909_eus-gaap--DebtInstrumentFaceAmou"/>
      <w:bookmarkEnd w:id="2328"/>
      <w:r>
        <w:rPr>
          <w:rFonts w:ascii="Times New Roman;Times;Serif" w:hAnsi="Times New Roman;Times;Serif"/>
          <w:b w:val="false"/>
          <w:i w:val="false"/>
          <w:caps w:val="false"/>
          <w:smallCaps w:val="false"/>
          <w:sz w:val="20"/>
        </w:rPr>
        <w:t xml:space="preserve">750,000 under the March Yorkville Promissory Note was converted into </w:t>
      </w:r>
      <w:bookmarkStart w:id="2329" w:name="xdx_90A_eus-gaap--ConversionOfStockShare"/>
      <w:bookmarkEnd w:id="2329"/>
      <w:r>
        <w:rPr>
          <w:rFonts w:ascii="Times New Roman;Times;Serif" w:hAnsi="Times New Roman;Times;Serif"/>
          <w:b w:val="false"/>
          <w:i w:val="false"/>
          <w:caps w:val="false"/>
          <w:smallCaps w:val="false"/>
          <w:sz w:val="20"/>
        </w:rPr>
        <w:t>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w:t>
      </w:r>
      <w:bookmarkStart w:id="2330" w:name="xdx_90F_eus-gaap--DebtInstrumentFaceAmou"/>
      <w:bookmarkEnd w:id="2330"/>
      <w:r>
        <w:rPr>
          <w:rFonts w:ascii="Times New Roman;Times;Serif" w:hAnsi="Times New Roman;Times;Serif"/>
          <w:b w:val="false"/>
          <w:i w:val="false"/>
          <w:caps w:val="false"/>
          <w:smallCaps w:val="false"/>
          <w:sz w:val="20"/>
        </w:rPr>
        <w:t>3,500,000. The Company received net proceeds of $</w:t>
      </w:r>
      <w:bookmarkStart w:id="2331" w:name="xdx_907_eus-gaap--ProceedsFromIssuanceOf"/>
      <w:bookmarkEnd w:id="2331"/>
      <w:r>
        <w:rPr>
          <w:rFonts w:ascii="Times New Roman;Times;Serif" w:hAnsi="Times New Roman;Times;Serif"/>
          <w:b w:val="false"/>
          <w:i w:val="false"/>
          <w:caps w:val="false"/>
          <w:smallCaps w:val="false"/>
          <w:sz w:val="20"/>
        </w:rPr>
        <w:t>3,140,000 after an original issue discount of $</w:t>
      </w:r>
      <w:bookmarkStart w:id="2332" w:name="xdx_90B_eus-gaap--AmortizationOfDebtDisc"/>
      <w:bookmarkEnd w:id="2332"/>
      <w:r>
        <w:rPr>
          <w:rFonts w:ascii="Times New Roman;Times;Serif" w:hAnsi="Times New Roman;Times;Serif"/>
          <w:b w:val="false"/>
          <w:i w:val="false"/>
          <w:caps w:val="false"/>
          <w:smallCaps w:val="false"/>
          <w:sz w:val="20"/>
        </w:rPr>
        <w:t>350,000, and $</w:t>
      </w:r>
      <w:bookmarkStart w:id="2333" w:name="xdx_900_eus-gaap--DeferredFinanceCostsNe"/>
      <w:bookmarkEnd w:id="2333"/>
      <w:r>
        <w:rPr>
          <w:rFonts w:ascii="Times New Roman;Times;Serif" w:hAnsi="Times New Roman;Times;Serif"/>
          <w:b w:val="false"/>
          <w:i w:val="false"/>
          <w:caps w:val="false"/>
          <w:smallCaps w:val="false"/>
          <w:sz w:val="20"/>
        </w:rPr>
        <w:t>10,000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w:t>
      </w:r>
      <w:bookmarkStart w:id="2334" w:name="xdx_909_eus-gaap--RepaymentsOfConvertibl"/>
      <w:bookmarkEnd w:id="2334"/>
      <w:r>
        <w:rPr>
          <w:rFonts w:ascii="Times New Roman;Times;Serif" w:hAnsi="Times New Roman;Times;Serif"/>
          <w:b w:val="false"/>
          <w:i w:val="false"/>
          <w:caps w:val="false"/>
          <w:smallCaps w:val="false"/>
          <w:sz w:val="20"/>
        </w:rPr>
        <w:t xml:space="preserve">1,000,000 of principal (or the outstanding Principal if less than such amount), plus (ii) a payment premium (in an amount equal to </w:t>
      </w:r>
      <w:bookmarkStart w:id="2335" w:name="xdx_90D_ecustom--ConvertiblePromissoryNo"/>
      <w:bookmarkEnd w:id="2335"/>
      <w:r>
        <w:rPr>
          <w:rFonts w:ascii="Times New Roman;Times;Serif" w:hAnsi="Times New Roman;Times;Serif"/>
          <w:b w:val="false"/>
          <w:i w:val="false"/>
          <w:caps w:val="false"/>
          <w:smallCaps w:val="false"/>
          <w:sz w:val="20"/>
        </w:rPr>
        <w:t xml:space="preserve">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w:t>
      </w:r>
      <w:bookmarkStart w:id="2336" w:name="xdx_905_eus-gaap--DebtInstrumentInterest"/>
      <w:bookmarkEnd w:id="2336"/>
      <w:r>
        <w:rPr>
          <w:rFonts w:ascii="Times New Roman;Times;Serif" w:hAnsi="Times New Roman;Times;Serif"/>
          <w:b w:val="false"/>
          <w:i w:val="false"/>
          <w:caps w:val="false"/>
          <w:smallCaps w:val="false"/>
          <w:sz w:val="20"/>
        </w:rPr>
        <w:t xml:space="preserve">0% for the first 90 days following the Issuance Date, and 6% thereafter (the “Interest Rate”). The Interest Rate shall increase to an annual rate of </w:t>
      </w:r>
      <w:bookmarkStart w:id="2337" w:name="xdx_909_eus-gaap--DebtInstrumentInterest"/>
      <w:bookmarkEnd w:id="2337"/>
      <w:r>
        <w:rPr>
          <w:rFonts w:ascii="Times New Roman;Times;Serif" w:hAnsi="Times New Roman;Times;Serif"/>
          <w:b w:val="false"/>
          <w:i w:val="false"/>
          <w:caps w:val="false"/>
          <w:smallCaps w:val="false"/>
          <w:sz w:val="20"/>
        </w:rPr>
        <w:t>18% upon the occurrence of an Event of Default (as defined by the January 2025 Yorkville Note). The January 2025 Yorkville Note is convertible into shares of the Company’s Class A common stock, par value $</w:t>
      </w:r>
      <w:bookmarkStart w:id="2338" w:name="xdx_90E_eus-gaap--CommonStockParOrStated"/>
      <w:bookmarkEnd w:id="2338"/>
      <w:r>
        <w:rPr>
          <w:rFonts w:ascii="Times New Roman;Times;Serif" w:hAnsi="Times New Roman;Times;Serif"/>
          <w:b w:val="false"/>
          <w:i w:val="false"/>
          <w:caps w:val="false"/>
          <w:smallCaps w:val="false"/>
          <w:sz w:val="20"/>
        </w:rPr>
        <w:t>0.0001 per share (the “Class A Common Stock”), at a conversion price of $</w:t>
      </w:r>
      <w:bookmarkStart w:id="2339" w:name="xdx_90B_eus-gaap--DebtInstrumentConverti"/>
      <w:bookmarkEnd w:id="2339"/>
      <w:r>
        <w:rPr>
          <w:rFonts w:ascii="Times New Roman;Times;Serif" w:hAnsi="Times New Roman;Times;Serif"/>
          <w:b w:val="false"/>
          <w:i w:val="false"/>
          <w:caps w:val="false"/>
          <w:smallCaps w:val="false"/>
          <w:sz w:val="20"/>
        </w:rPr>
        <w:t xml:space="preserve">400.00 per share (the “Conversion Price”). The Investor may elect to convert part or all of the outstanding balance of the Note at any time or from time to time after the Issuance Date. The Company may prepay the outstanding amount at any time, in whole or in part, subject to a </w:t>
      </w:r>
      <w:bookmarkStart w:id="2340" w:name="xdx_90D_ecustom--ConvertiblePromissoryNo"/>
      <w:bookmarkEnd w:id="2340"/>
      <w:r>
        <w:rPr>
          <w:rFonts w:ascii="Times New Roman;Times;Serif" w:hAnsi="Times New Roman;Times;Serif"/>
          <w:b w:val="false"/>
          <w:i w:val="false"/>
          <w:caps w:val="false"/>
          <w:smallCaps w:val="false"/>
          <w:sz w:val="20"/>
        </w:rPr>
        <w:t xml:space="preserve">4% premium, provided that (i) the Company provides the Investor with at least </w:t>
      </w:r>
      <w:bookmarkStart w:id="2341" w:name="xdx_903_ecustom--MinimumRedemptionNotice"/>
      <w:bookmarkEnd w:id="2341"/>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w:t>
      </w:r>
      <w:bookmarkStart w:id="2342" w:name="xdx_909_eus-gaap--DebtInstrumentAnnualPr"/>
      <w:bookmarkEnd w:id="2342"/>
      <w:r>
        <w:rPr>
          <w:rFonts w:ascii="Times New Roman;Times;Serif" w:hAnsi="Times New Roman;Times;Serif"/>
          <w:b w:val="false"/>
          <w:i w:val="false"/>
          <w:caps w:val="false"/>
          <w:smallCaps w:val="false"/>
          <w:sz w:val="20"/>
        </w:rPr>
        <w:t>3,640,000, of which approximately $</w:t>
      </w:r>
      <w:bookmarkStart w:id="2343" w:name="xdx_900_eus-gaap--DebtInstrumentIssuedPr"/>
      <w:bookmarkEnd w:id="2343"/>
      <w:r>
        <w:rPr>
          <w:rFonts w:ascii="Times New Roman;Times;Serif" w:hAnsi="Times New Roman;Times;Serif"/>
          <w:b w:val="false"/>
          <w:i w:val="false"/>
          <w:caps w:val="false"/>
          <w:smallCaps w:val="false"/>
          <w:sz w:val="20"/>
        </w:rPr>
        <w:t>3,500,000 was applied against outstanding principal, and approximately $</w:t>
      </w:r>
      <w:bookmarkStart w:id="2344" w:name="xdx_904_eus-gaap--RedemptionPremium_c202"/>
      <w:bookmarkEnd w:id="2344"/>
      <w:r>
        <w:rPr>
          <w:rFonts w:ascii="Times New Roman;Times;Serif" w:hAnsi="Times New Roman;Times;Serif"/>
          <w:b w:val="false"/>
          <w:i w:val="false"/>
          <w:caps w:val="false"/>
          <w:smallCaps w:val="false"/>
          <w:sz w:val="20"/>
        </w:rPr>
        <w:t>140,000 was paid to Yorkville as Payment Premiums and expensed as incurred. As of June 30, 2025, the January 2025 Yorkville Note was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the Company entered into a Convertible Promissory Note (the “September 2025 Yorkville Note”) with Yorkville in principal amount of $</w:t>
      </w:r>
      <w:bookmarkStart w:id="2345" w:name="xdx_90E_eus-gaap--DebtInstrumentFaceAmou"/>
      <w:bookmarkEnd w:id="2345"/>
      <w:r>
        <w:rPr>
          <w:rFonts w:ascii="Times New Roman;Times;Serif" w:hAnsi="Times New Roman;Times;Serif"/>
          <w:b w:val="false"/>
          <w:i w:val="false"/>
          <w:caps w:val="false"/>
          <w:smallCaps w:val="false"/>
          <w:sz w:val="20"/>
        </w:rPr>
        <w:t>2,000,000 (the “Original Principal Amount”) to the Company, to be used as an advance under the SEPA. The Company received $</w:t>
      </w:r>
      <w:bookmarkStart w:id="2346" w:name="xdx_903_eus-gaap--ProceedsFromIssuanceOf"/>
      <w:bookmarkEnd w:id="2346"/>
      <w:r>
        <w:rPr>
          <w:rFonts w:ascii="Times New Roman;Times;Serif" w:hAnsi="Times New Roman;Times;Serif"/>
          <w:b w:val="false"/>
          <w:i w:val="false"/>
          <w:caps w:val="false"/>
          <w:smallCaps w:val="false"/>
          <w:sz w:val="20"/>
        </w:rPr>
        <w:t xml:space="preserve">890,000 from the Investor on that same date (“Advance #1), which reflects </w:t>
      </w:r>
      <w:bookmarkStart w:id="2347" w:name="xdx_90D_eus-gaap--DebtInstrumentInterest"/>
      <w:bookmarkEnd w:id="2347"/>
      <w:r>
        <w:rPr>
          <w:rFonts w:ascii="Times New Roman;Times;Serif" w:hAnsi="Times New Roman;Times;Serif"/>
          <w:b w:val="false"/>
          <w:i w:val="false"/>
          <w:caps w:val="false"/>
          <w:smallCaps w:val="false"/>
          <w:sz w:val="20"/>
        </w:rPr>
        <w:t xml:space="preserve">50% of the Original Principal Amount, less </w:t>
      </w:r>
      <w:bookmarkStart w:id="2348" w:name="xdx_900_ecustom--DebtInstrumentInterestR"/>
      <w:bookmarkEnd w:id="2348"/>
      <w:r>
        <w:rPr>
          <w:rFonts w:ascii="Times New Roman;Times;Serif" w:hAnsi="Times New Roman;Times;Serif"/>
          <w:b w:val="false"/>
          <w:i w:val="false"/>
          <w:caps w:val="false"/>
          <w:smallCaps w:val="false"/>
          <w:sz w:val="20"/>
        </w:rPr>
        <w:t xml:space="preserve">10% discount, and certain fees owed at such time. Upon the effectiveness of the registration statement on Form S-1, originally filed with the SEC on September 12, 2025 (File No. 333-290241) and the delivery of a closing statement, the Company received the remaining </w:t>
      </w:r>
      <w:bookmarkStart w:id="2349" w:name="xdx_90C_ecustom--DebtInstrumentPaymentRa"/>
      <w:bookmarkEnd w:id="2349"/>
      <w:r>
        <w:rPr>
          <w:rFonts w:ascii="Times New Roman;Times;Serif" w:hAnsi="Times New Roman;Times;Serif"/>
          <w:b w:val="false"/>
          <w:i w:val="false"/>
          <w:caps w:val="false"/>
          <w:smallCaps w:val="false"/>
          <w:sz w:val="20"/>
        </w:rPr>
        <w:t>50% of the Original Principal Amount, or $</w:t>
      </w:r>
      <w:bookmarkStart w:id="2350" w:name="xdx_90F_eus-gaap--RepaymentsOfLongTermDe"/>
      <w:bookmarkEnd w:id="2350"/>
      <w:r>
        <w:rPr>
          <w:rFonts w:ascii="Times New Roman;Times;Serif" w:hAnsi="Times New Roman;Times;Serif"/>
          <w:b w:val="false"/>
          <w:i w:val="false"/>
          <w:caps w:val="false"/>
          <w:smallCaps w:val="false"/>
          <w:sz w:val="20"/>
        </w:rPr>
        <w:t xml:space="preserve">1,000,000, less </w:t>
      </w:r>
      <w:bookmarkStart w:id="2351" w:name="xdx_905_ecustom--DebtInstrumentInterestR"/>
      <w:bookmarkEnd w:id="2351"/>
      <w:r>
        <w:rPr>
          <w:rFonts w:ascii="Times New Roman;Times;Serif" w:hAnsi="Times New Roman;Times;Serif"/>
          <w:b w:val="false"/>
          <w:i w:val="false"/>
          <w:caps w:val="false"/>
          <w:smallCaps w:val="false"/>
          <w:sz w:val="20"/>
        </w:rPr>
        <w:t xml:space="preserve">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September 2025 Yorkville Note was issued on September 16, 2025 and the maturity date of the September 2025 Yorkville Note is </w:t>
      </w:r>
      <w:bookmarkStart w:id="2352" w:name="xdx_90C_eus-gaap--DebtInstrumentMaturity"/>
      <w:bookmarkEnd w:id="2352"/>
      <w:r>
        <w:rPr>
          <w:rFonts w:ascii="Times New Roman;Times;Serif" w:hAnsi="Times New Roman;Times;Serif"/>
          <w:b w:val="false"/>
          <w:i w:val="false"/>
          <w:caps w:val="false"/>
          <w:smallCaps w:val="false"/>
          <w:sz w:val="20"/>
          <w:shd w:fill="FFFFFF" w:val="clear"/>
        </w:rPr>
        <w:t>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and continuing on the same day of each successive calendar month thereafter, (each, an “Installment Date”), the Company shall repay a portion of the outstanding balance of the Note in an amount equal to the sum of (i) $</w:t>
      </w:r>
      <w:bookmarkStart w:id="2353" w:name="xdx_902_eus-gaap--RepaymentsOfConvertibl"/>
      <w:bookmarkEnd w:id="2353"/>
      <w:r>
        <w:rPr>
          <w:rFonts w:ascii="Times New Roman;Times;Serif" w:hAnsi="Times New Roman;Times;Serif"/>
          <w:b w:val="false"/>
          <w:i w:val="false"/>
          <w:caps w:val="false"/>
          <w:smallCaps w:val="false"/>
          <w:sz w:val="20"/>
        </w:rPr>
        <w:t xml:space="preserve">500,000 of principal (or the outstanding Principal if less than such amount), plus (ii) a payment premium in an amount equal to </w:t>
      </w:r>
      <w:bookmarkStart w:id="2354" w:name="xdx_906_ecustom--ConvertiblePromissoryNo"/>
      <w:bookmarkEnd w:id="2354"/>
      <w:r>
        <w:rPr>
          <w:rFonts w:ascii="Times New Roman;Times;Serif" w:hAnsi="Times New Roman;Times;Serif"/>
          <w:b w:val="false"/>
          <w:i w:val="false"/>
          <w:caps w:val="false"/>
          <w:smallCaps w:val="false"/>
          <w:sz w:val="20"/>
        </w:rPr>
        <w:t xml:space="preserve">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w:t>
      </w:r>
      <w:bookmarkStart w:id="2355" w:name="xdx_907_eus-gaap--InvestmentInterestRate"/>
      <w:bookmarkEnd w:id="2355"/>
      <w:r>
        <w:rPr>
          <w:rFonts w:ascii="Times New Roman;Times;Serif" w:hAnsi="Times New Roman;Times;Serif"/>
          <w:b w:val="false"/>
          <w:i w:val="false"/>
          <w:caps w:val="false"/>
          <w:smallCaps w:val="false"/>
          <w:sz w:val="20"/>
        </w:rPr>
        <w:t xml:space="preserve">6%, which shall increase to </w:t>
      </w:r>
      <w:bookmarkStart w:id="2356" w:name="xdx_90B_eus-gaap--DebtInstrumentInterest"/>
      <w:bookmarkEnd w:id="2356"/>
      <w:r>
        <w:rPr>
          <w:rFonts w:ascii="Times New Roman;Times;Serif" w:hAnsi="Times New Roman;Times;Serif"/>
          <w:b w:val="false"/>
          <w:i w:val="false"/>
          <w:caps w:val="false"/>
          <w:smallCaps w:val="false"/>
          <w:sz w:val="20"/>
        </w:rPr>
        <w:t>18% upon the occurrence of an Event of Default, as defined in the September 2025 Yorkville Note. The September 2025 Yorkville Note is convertible into shares of the Company’s Class A common stock, par value $</w:t>
      </w:r>
      <w:bookmarkStart w:id="2357" w:name="xdx_901_eus-gaap--CommonStockParOrStated"/>
      <w:bookmarkEnd w:id="2357"/>
      <w:r>
        <w:rPr>
          <w:rFonts w:ascii="Times New Roman;Times;Serif" w:hAnsi="Times New Roman;Times;Serif"/>
          <w:b w:val="false"/>
          <w:i w:val="false"/>
          <w:caps w:val="false"/>
          <w:smallCaps w:val="false"/>
          <w:sz w:val="20"/>
        </w:rPr>
        <w:t>0.0001 per share, at a conversion price of $</w:t>
      </w:r>
      <w:bookmarkStart w:id="2358" w:name="xdx_90E_eus-gaap--DebtInstrumentConverti"/>
      <w:bookmarkEnd w:id="2358"/>
      <w:r>
        <w:rPr>
          <w:rFonts w:ascii="Times New Roman;Times;Serif" w:hAnsi="Times New Roman;Times;Serif"/>
          <w:b w:val="false"/>
          <w:i w:val="false"/>
          <w:caps w:val="false"/>
          <w:smallCaps w:val="false"/>
          <w:sz w:val="20"/>
        </w:rPr>
        <w:t xml:space="preserve">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xml:space="preserve">. The Company maintains the right to redeem all or any part of the September 2025 Yorkville Note, at any time, provided that (i) the Company provides the Investor with at least </w:t>
      </w:r>
      <w:bookmarkStart w:id="2359" w:name="xdx_90D_ecustom--MinimumRedemptionNotice"/>
      <w:bookmarkEnd w:id="2359"/>
      <w:r>
        <w:rPr>
          <w:rFonts w:ascii="Times New Roman;Times;Serif" w:hAnsi="Times New Roman;Times;Serif"/>
          <w:b w:val="false"/>
          <w:i w:val="false"/>
          <w:caps w:val="false"/>
          <w:smallCaps w:val="false"/>
          <w:sz w:val="20"/>
        </w:rPr>
        <w:t>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the Company issued an Advance Notice to Yorkville pursuant to the SEPA in which the Company requested the purchase of </w:t>
      </w:r>
      <w:bookmarkStart w:id="2360" w:name="xdx_903_eus-gaap--StockIssuedDuringPerio"/>
      <w:bookmarkEnd w:id="2360"/>
      <w:r>
        <w:rPr>
          <w:rFonts w:ascii="Times New Roman;Times;Serif" w:hAnsi="Times New Roman;Times;Serif"/>
          <w:b w:val="false"/>
          <w:i w:val="false"/>
          <w:caps w:val="false"/>
          <w:smallCaps w:val="false"/>
          <w:sz w:val="20"/>
        </w:rPr>
        <w:t>5,750 shares of the Company’s Class A Common Stock at a purchase price of $</w:t>
      </w:r>
      <w:bookmarkStart w:id="2361" w:name="xdx_90C_eus-gaap--SharesIssuedPricePerSh"/>
      <w:bookmarkEnd w:id="2361"/>
      <w:r>
        <w:rPr>
          <w:rFonts w:ascii="Times New Roman;Times;Serif" w:hAnsi="Times New Roman;Times;Serif"/>
          <w:b w:val="false"/>
          <w:i w:val="false"/>
          <w:caps w:val="false"/>
          <w:smallCaps w:val="false"/>
          <w:sz w:val="20"/>
        </w:rPr>
        <w:t>61.60 for a total purchase price of $</w:t>
      </w:r>
      <w:bookmarkStart w:id="2362" w:name="xdx_909_eus-gaap--ProceedsFromOtherEquit"/>
      <w:bookmarkEnd w:id="2362"/>
      <w:r>
        <w:rPr>
          <w:rFonts w:ascii="Times New Roman;Times;Serif" w:hAnsi="Times New Roman;Times;Serif"/>
          <w:b w:val="false"/>
          <w:i w:val="false"/>
          <w:caps w:val="false"/>
          <w:smallCaps w:val="false"/>
          <w:sz w:val="20"/>
        </w:rPr>
        <w:t xml:space="preserve">354,074 to be applied against the outstanding Yorkville Convertible Notes. Upon settlement on October 8, 2025, the Company issued </w:t>
      </w:r>
      <w:bookmarkStart w:id="2363" w:name="xdx_903_eus-gaap--SharesIssued_iI_pid_c2"/>
      <w:bookmarkEnd w:id="2363"/>
      <w:r>
        <w:rPr>
          <w:rFonts w:ascii="Times New Roman;Times;Serif" w:hAnsi="Times New Roman;Times;Serif"/>
          <w:b w:val="false"/>
          <w:i w:val="false"/>
          <w:caps w:val="false"/>
          <w:smallCaps w:val="false"/>
          <w:sz w:val="20"/>
        </w:rPr>
        <w:t>5,750 shares of Class A Common Stock to Yorkville.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2025, the Company issued an Advance Notice to Yorkville pursuant to the SEPA in which the Company requested the purchase of </w:t>
      </w:r>
      <w:bookmarkStart w:id="2364" w:name="xdx_90A_eus-gaap--StockIssuedDuringPerio"/>
      <w:bookmarkEnd w:id="2364"/>
      <w:r>
        <w:rPr>
          <w:rFonts w:ascii="Times New Roman;Times;Serif" w:hAnsi="Times New Roman;Times;Serif"/>
          <w:b w:val="false"/>
          <w:i w:val="false"/>
          <w:caps w:val="false"/>
          <w:smallCaps w:val="false"/>
          <w:sz w:val="20"/>
        </w:rPr>
        <w:t>3,250 shares of the Company’s Class A Common Stock at a purchase price of $</w:t>
      </w:r>
      <w:bookmarkStart w:id="2365" w:name="xdx_908_eus-gaap--SharesIssuedPricePerSh"/>
      <w:bookmarkEnd w:id="2365"/>
      <w:r>
        <w:rPr>
          <w:rFonts w:ascii="Times New Roman;Times;Serif" w:hAnsi="Times New Roman;Times;Serif"/>
          <w:b w:val="false"/>
          <w:i w:val="false"/>
          <w:caps w:val="false"/>
          <w:smallCaps w:val="false"/>
          <w:sz w:val="20"/>
        </w:rPr>
        <w:t>59.00 for a total purchase price of $</w:t>
      </w:r>
      <w:bookmarkStart w:id="2366" w:name="xdx_90C_eus-gaap--ProceedsFromOtherEquit"/>
      <w:bookmarkEnd w:id="2366"/>
      <w:r>
        <w:rPr>
          <w:rFonts w:ascii="Times New Roman;Times;Serif" w:hAnsi="Times New Roman;Times;Serif"/>
          <w:b w:val="false"/>
          <w:i w:val="false"/>
          <w:caps w:val="false"/>
          <w:smallCaps w:val="false"/>
          <w:sz w:val="20"/>
        </w:rPr>
        <w:t xml:space="preserve">191,477 to be applied against the outstanding Yorkville Convertible Notes. Upon settlement on October 15, 2025, the Company issued </w:t>
      </w:r>
      <w:bookmarkStart w:id="2367" w:name="xdx_904_eus-gaap--SharesIssued_iI_pid_c2"/>
      <w:bookmarkEnd w:id="2367"/>
      <w:r>
        <w:rPr>
          <w:rFonts w:ascii="Times New Roman;Times;Serif" w:hAnsi="Times New Roman;Times;Serif"/>
          <w:b w:val="false"/>
          <w:i w:val="false"/>
          <w:caps w:val="false"/>
          <w:smallCaps w:val="false"/>
          <w:sz w:val="20"/>
        </w:rPr>
        <w:t>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a loan agreement with CP BF Lending, LLC (“CP BF”) comprised of a Term Note and a Convertible Note. The Term Note bears cash interest at a rate of </w:t>
      </w:r>
      <w:bookmarkStart w:id="2368" w:name="xdx_90F_eus-gaap--DebtInstrumentInterest"/>
      <w:bookmarkEnd w:id="2368"/>
      <w:r>
        <w:rPr>
          <w:rFonts w:ascii="Times New Roman;Times;Serif" w:hAnsi="Times New Roman;Times;Serif"/>
          <w:b w:val="false"/>
          <w:i w:val="false"/>
          <w:caps w:val="false"/>
          <w:smallCaps w:val="false"/>
          <w:sz w:val="20"/>
        </w:rPr>
        <w:t xml:space="preserve">14% per annum paid monthly and accrued interest payable-in-kind (“PIK”) cumulatively at </w:t>
      </w:r>
      <w:bookmarkStart w:id="2369" w:name="xdx_901_ecustom--PaidInKindInterestPerce"/>
      <w:bookmarkEnd w:id="2369"/>
      <w:r>
        <w:rPr>
          <w:rFonts w:ascii="Times New Roman;Times;Serif" w:hAnsi="Times New Roman;Times;Serif"/>
          <w:b w:val="false"/>
          <w:i w:val="false"/>
          <w:caps w:val="false"/>
          <w:smallCaps w:val="false"/>
          <w:sz w:val="20"/>
        </w:rPr>
        <w:t xml:space="preserve">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w:t>
      </w:r>
      <w:bookmarkStart w:id="2370" w:name="xdx_900_ecustom--PaidInKindInterestPerce"/>
      <w:bookmarkEnd w:id="2370"/>
      <w:r>
        <w:rPr>
          <w:rFonts w:ascii="Times New Roman;Times;Serif" w:hAnsi="Times New Roman;Times;Serif"/>
          <w:b w:val="false"/>
          <w:i w:val="false"/>
          <w:caps w:val="false"/>
          <w:smallCaps w:val="false"/>
          <w:sz w:val="20"/>
        </w:rPr>
        <w:t>15.5% per annum, and is convertible into Class A Common Stock upon Qualified Financing (as defined in the agreement), upon a Change of Control (as defined in the agreement), upon Prepayment, or at Maturity at a fixed conversion price of $</w:t>
      </w:r>
      <w:bookmarkStart w:id="2371" w:name="xdx_909_eus-gaap--DebtInstrumentConverti"/>
      <w:bookmarkEnd w:id="2371"/>
      <w:r>
        <w:rPr>
          <w:rFonts w:ascii="Times New Roman;Times;Serif" w:hAnsi="Times New Roman;Times;Serif"/>
          <w:b w:val="false"/>
          <w:i w:val="false"/>
          <w:caps w:val="false"/>
          <w:smallCaps w:val="false"/>
          <w:sz w:val="20"/>
        </w:rPr>
        <w:t>1,336.40 per unit.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72" w:name="xdx_903_eus-gaap--DebtInstrumentCovenant"/>
      <w:bookmarkEnd w:id="2372"/>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w:t>
      </w:r>
      <w:bookmarkStart w:id="2373" w:name="xdx_900_eus-gaap--DebtInstrumentFaceAmou"/>
      <w:bookmarkEnd w:id="2373"/>
      <w:r>
        <w:rPr>
          <w:rFonts w:ascii="Times New Roman;Times;Serif" w:hAnsi="Times New Roman;Times;Serif"/>
          <w:b w:val="false"/>
          <w:i w:val="false"/>
          <w:caps w:val="false"/>
          <w:smallCaps w:val="false"/>
          <w:sz w:val="20"/>
        </w:rPr>
        <w:t>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w:t>
      </w:r>
      <w:bookmarkStart w:id="2374" w:name="xdx_906_eus-gaap--DebtInstrumentInterest"/>
      <w:bookmarkEnd w:id="2374"/>
      <w:r>
        <w:rPr>
          <w:rFonts w:ascii="Times New Roman;Times;Serif" w:hAnsi="Times New Roman;Times;Serif"/>
          <w:b w:val="false"/>
          <w:i w:val="false"/>
          <w:caps w:val="false"/>
          <w:smallCaps w:val="false"/>
          <w:sz w:val="20"/>
        </w:rPr>
        <w:t>16% and interest expense totaled $</w:t>
      </w:r>
      <w:bookmarkStart w:id="2375" w:name="xdx_90B_eus-gaap--InterestExpense_c20240"/>
      <w:bookmarkEnd w:id="2375"/>
      <w:r>
        <w:rPr>
          <w:rFonts w:ascii="Times New Roman;Times;Serif" w:hAnsi="Times New Roman;Times;Serif"/>
          <w:b w:val="false"/>
          <w:i w:val="false"/>
          <w:caps w:val="false"/>
          <w:smallCaps w:val="false"/>
          <w:sz w:val="20"/>
        </w:rPr>
        <w:t>851,175 for the year ended December 31, 2024, comprised of $</w:t>
      </w:r>
      <w:bookmarkStart w:id="2376" w:name="xdx_90B_eus-gaap--InterestExpenseDebt_c2"/>
      <w:bookmarkEnd w:id="2376"/>
      <w:r>
        <w:rPr>
          <w:rFonts w:ascii="Times New Roman;Times;Serif" w:hAnsi="Times New Roman;Times;Serif"/>
          <w:b w:val="false"/>
          <w:i w:val="false"/>
          <w:caps w:val="false"/>
          <w:smallCaps w:val="false"/>
          <w:sz w:val="20"/>
        </w:rPr>
        <w:t>772,550 of contractual interest and $</w:t>
      </w:r>
      <w:bookmarkStart w:id="2377" w:name="xdx_90D_eus-gaap--DebtRelatedCommitmentF"/>
      <w:bookmarkEnd w:id="2377"/>
      <w:r>
        <w:rPr>
          <w:rFonts w:ascii="Times New Roman;Times;Serif" w:hAnsi="Times New Roman;Times;Serif"/>
          <w:b w:val="false"/>
          <w:i w:val="false"/>
          <w:caps w:val="false"/>
          <w:smallCaps w:val="false"/>
          <w:sz w:val="20"/>
        </w:rPr>
        <w:t xml:space="preserve">78,625 of amortization of the discount. </w:t>
      </w:r>
      <w:r>
        <w:rPr>
          <w:rFonts w:ascii="Times New Roman;Times;Serif" w:hAnsi="Times New Roman;Times;Serif"/>
          <w:b w:val="false"/>
          <w:i w:val="false"/>
          <w:caps w:val="false"/>
          <w:smallCaps w:val="false"/>
          <w:sz w:val="20"/>
          <w:shd w:fill="FFFFFF" w:val="clear"/>
        </w:rPr>
        <w:t xml:space="preserve">The effective interest rate for the CP BF Convertible Note and First Amendment Convertible Note was </w:t>
      </w:r>
      <w:bookmarkStart w:id="2378" w:name="xdx_90A_eus-gaap--DebtInstrumentInterest"/>
      <w:bookmarkEnd w:id="2378"/>
      <w:r>
        <w:rPr>
          <w:rFonts w:ascii="Times New Roman;Times;Serif" w:hAnsi="Times New Roman;Times;Serif"/>
          <w:b w:val="false"/>
          <w:i w:val="false"/>
          <w:caps w:val="false"/>
          <w:smallCaps w:val="false"/>
          <w:sz w:val="20"/>
          <w:shd w:fill="FFFFFF" w:val="clear"/>
        </w:rPr>
        <w:t>16% for the year ended December 31, 2024. For the year ended December 31, 2024, interest expense on the Convertible Notes totaled $</w:t>
      </w:r>
      <w:bookmarkStart w:id="2379" w:name="xdx_90F_eus-gaap--InterestExpense_c20240"/>
      <w:bookmarkEnd w:id="2379"/>
      <w:r>
        <w:rPr>
          <w:rFonts w:ascii="Times New Roman;Times;Serif" w:hAnsi="Times New Roman;Times;Serif"/>
          <w:b w:val="false"/>
          <w:i w:val="false"/>
          <w:caps w:val="false"/>
          <w:smallCaps w:val="false"/>
          <w:sz w:val="20"/>
          <w:shd w:fill="FFFFFF" w:val="clear"/>
        </w:rPr>
        <w:t>350,430 comprised of $</w:t>
      </w:r>
      <w:bookmarkStart w:id="2380" w:name="xdx_901_eus-gaap--InterestExpenseDebt_c2"/>
      <w:bookmarkEnd w:id="2380"/>
      <w:r>
        <w:rPr>
          <w:rFonts w:ascii="Times New Roman;Times;Serif" w:hAnsi="Times New Roman;Times;Serif"/>
          <w:b w:val="false"/>
          <w:i w:val="false"/>
          <w:caps w:val="false"/>
          <w:smallCaps w:val="false"/>
          <w:sz w:val="20"/>
          <w:shd w:fill="FFFFFF" w:val="clear"/>
        </w:rPr>
        <w:t>325,818 of contractual interest and $</w:t>
      </w:r>
      <w:bookmarkStart w:id="2381" w:name="xdx_901_eus-gaap--DebtRelatedCommitmentF"/>
      <w:bookmarkEnd w:id="2381"/>
      <w:r>
        <w:rPr>
          <w:rFonts w:ascii="Times New Roman;Times;Serif" w:hAnsi="Times New Roman;Times;Serif"/>
          <w:b w:val="false"/>
          <w:i w:val="false"/>
          <w:caps w:val="false"/>
          <w:smallCaps w:val="false"/>
          <w:sz w:val="20"/>
          <w:shd w:fill="FFFFFF" w:val="clear"/>
        </w:rPr>
        <w:t>24,612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82" w:name="xdx_901_eus-gaap--DebtInstrumentConverti"/>
      <w:bookmarkEnd w:id="2382"/>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w:t>
      </w:r>
      <w:bookmarkStart w:id="2383" w:name="xdx_903_eus-gaap--GainsLossesOnExtinguis"/>
      <w:bookmarkEnd w:id="2383"/>
      <w:r>
        <w:rPr>
          <w:rFonts w:ascii="Times New Roman;Times;Serif" w:hAnsi="Times New Roman;Times;Serif"/>
          <w:b w:val="false"/>
          <w:i w:val="false"/>
          <w:caps w:val="false"/>
          <w:smallCaps w:val="false"/>
          <w:sz w:val="20"/>
        </w:rPr>
        <w:t xml:space="preserve">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w:t>
      </w:r>
      <w:bookmarkStart w:id="2384" w:name="xdx_90F_ecustom--PercentageOfCommonStock"/>
      <w:bookmarkEnd w:id="2384"/>
      <w:r>
        <w:rPr>
          <w:rFonts w:ascii="Times New Roman;Times;Serif" w:hAnsi="Times New Roman;Times;Serif"/>
          <w:b w:val="false"/>
          <w:i w:val="false"/>
          <w:caps w:val="false"/>
          <w:smallCaps w:val="false"/>
          <w:sz w:val="20"/>
        </w:rPr>
        <w:t>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side letter, the Company agreed to issue to CP BF, </w:t>
      </w:r>
      <w:bookmarkStart w:id="2385" w:name="xdx_90D_eus-gaap--StockIssuedDuringPerio"/>
      <w:bookmarkEnd w:id="2385"/>
      <w:r>
        <w:rPr>
          <w:rFonts w:ascii="Times New Roman;Times;Serif" w:hAnsi="Times New Roman;Times;Serif"/>
          <w:b w:val="false"/>
          <w:i w:val="false"/>
          <w:caps w:val="false"/>
          <w:smallCaps w:val="false"/>
          <w:sz w:val="20"/>
        </w:rPr>
        <w:t>350 shares of the Company’s Class A Common Stock. On September 23, 2024 the transaction was finalized and the Company issued the 2024 CP BF Convertible Note with a principal amount of $</w:t>
      </w:r>
      <w:bookmarkStart w:id="2386" w:name="xdx_90E_eus-gaap--DebtInstrumentFaceAmou"/>
      <w:bookmarkEnd w:id="2386"/>
      <w:r>
        <w:rPr>
          <w:rFonts w:ascii="Times New Roman;Times;Serif" w:hAnsi="Times New Roman;Times;Serif"/>
          <w:b w:val="false"/>
          <w:i w:val="false"/>
          <w:caps w:val="false"/>
          <w:smallCaps w:val="false"/>
          <w:sz w:val="20"/>
        </w:rPr>
        <w:t xml:space="preserve">10,758,775. The outstanding principal balance of the 2024 CP BF Convertible Note together with accrued interest thereon, unpaid fees and expenses and any other Obligations then due, shall be paid on </w:t>
      </w:r>
      <w:bookmarkStart w:id="2387" w:name="xdx_90A_eus-gaap--DebtInstrumentMaturity"/>
      <w:bookmarkEnd w:id="2387"/>
      <w:r>
        <w:rPr>
          <w:rFonts w:ascii="Times New Roman;Times;Serif" w:hAnsi="Times New Roman;Times;Serif"/>
          <w:b w:val="false"/>
          <w:i w:val="false"/>
          <w:caps w:val="false"/>
          <w:smallCaps w:val="false"/>
          <w:sz w:val="20"/>
        </w:rPr>
        <w:t xml:space="preserve">February 19, 2027 (“2024 Loan Maturity Date”). The 2024 CP BF Convertible Note accrues interest at a rate of </w:t>
      </w:r>
      <w:bookmarkStart w:id="2388" w:name="xdx_908_eus-gaap--DebtInstrumentInterest"/>
      <w:bookmarkEnd w:id="2388"/>
      <w:r>
        <w:rPr>
          <w:rFonts w:ascii="Times New Roman;Times;Serif" w:hAnsi="Times New Roman;Times;Serif"/>
          <w:b w:val="false"/>
          <w:i w:val="false"/>
          <w:caps w:val="false"/>
          <w:smallCaps w:val="false"/>
          <w:sz w:val="20"/>
        </w:rPr>
        <w:t>15.5% which interest shall be paid in kind monthly and is convertible at the holder’s option at any time on or following the effectiveness of the first resale registration statement covering the applicable conversion shares at a fixed conversion price per share of $</w:t>
      </w:r>
      <w:bookmarkStart w:id="2389" w:name="xdx_901_eus-gaap--DebtInstrumentConverti"/>
      <w:bookmarkEnd w:id="2389"/>
      <w:r>
        <w:rPr>
          <w:rFonts w:ascii="Times New Roman;Times;Serif" w:hAnsi="Times New Roman;Times;Serif"/>
          <w:b w:val="false"/>
          <w:i w:val="false"/>
          <w:caps w:val="false"/>
          <w:smallCaps w:val="false"/>
          <w:sz w:val="20"/>
        </w:rPr>
        <w:t xml:space="preserve">778.00. Upon the occurrence, and during the continuance, of an Event of Default (as defined in the agreement), interest on the 2024 CP BF Convertible Note will bear PIK interest at a per annum rate of </w:t>
      </w:r>
      <w:bookmarkStart w:id="2390" w:name="xdx_90A_ecustom--DebtInstrumentInterestR"/>
      <w:bookmarkEnd w:id="2390"/>
      <w:r>
        <w:rPr>
          <w:rFonts w:ascii="Times New Roman;Times;Serif" w:hAnsi="Times New Roman;Times;Serif"/>
          <w:b w:val="false"/>
          <w:i w:val="false"/>
          <w:caps w:val="false"/>
          <w:smallCaps w:val="false"/>
          <w:sz w:val="20"/>
        </w:rPr>
        <w:t>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w:t>
      </w:r>
      <w:bookmarkStart w:id="2391" w:name="xdx_905_ecustom--DebtInstrumentExitFeePe"/>
      <w:bookmarkEnd w:id="2391"/>
      <w:r>
        <w:rPr>
          <w:rFonts w:ascii="Times New Roman;Times;Serif" w:hAnsi="Times New Roman;Times;Serif"/>
          <w:b w:val="false"/>
          <w:i w:val="false"/>
          <w:caps w:val="false"/>
          <w:smallCaps w:val="false"/>
          <w:sz w:val="20"/>
        </w:rPr>
        <w:t>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CP BF exercised its optional conversion option in which it received </w:t>
      </w:r>
      <w:bookmarkStart w:id="2392" w:name="xdx_90F_eus-gaap--StockIssuedDuringPerio"/>
      <w:bookmarkEnd w:id="2392"/>
      <w:r>
        <w:rPr>
          <w:rFonts w:ascii="Times New Roman;Times;Serif" w:hAnsi="Times New Roman;Times;Serif"/>
          <w:b w:val="false"/>
          <w:i w:val="false"/>
          <w:caps w:val="false"/>
          <w:smallCaps w:val="false"/>
          <w:sz w:val="20"/>
        </w:rPr>
        <w:t>5,560 Class A Common Stock at the fixed conversion price per share of $</w:t>
      </w:r>
      <w:bookmarkStart w:id="2393" w:name="xdx_908_eus-gaap--SharesIssuedPricePerSh"/>
      <w:bookmarkEnd w:id="2393"/>
      <w:r>
        <w:rPr>
          <w:rFonts w:ascii="Times New Roman;Times;Serif" w:hAnsi="Times New Roman;Times;Serif"/>
          <w:b w:val="false"/>
          <w:i w:val="false"/>
          <w:caps w:val="false"/>
          <w:smallCaps w:val="false"/>
          <w:sz w:val="20"/>
        </w:rPr>
        <w:t>778.00 in satisfaction of $</w:t>
      </w:r>
      <w:bookmarkStart w:id="2394" w:name="xdx_90A_eus-gaap--ConversionOfStockAmoun"/>
      <w:bookmarkEnd w:id="2394"/>
      <w:r>
        <w:rPr>
          <w:rFonts w:ascii="Times New Roman;Times;Serif" w:hAnsi="Times New Roman;Times;Serif"/>
          <w:b w:val="false"/>
          <w:i w:val="false"/>
          <w:caps w:val="false"/>
          <w:smallCaps w:val="false"/>
          <w:sz w:val="20"/>
        </w:rPr>
        <w:t>216,284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w:t>
      </w:r>
      <w:bookmarkStart w:id="2395" w:name="xdx_908_eus-gaap--DebtConversionOriginal"/>
      <w:bookmarkEnd w:id="2395"/>
      <w:r>
        <w:rPr>
          <w:rFonts w:ascii="Times New Roman;Times;Serif" w:hAnsi="Times New Roman;Times;Serif"/>
          <w:b w:val="false"/>
          <w:i w:val="false"/>
          <w:caps w:val="false"/>
          <w:smallCaps w:val="false"/>
          <w:sz w:val="20"/>
        </w:rPr>
        <w:t xml:space="preserve">2,000,000 in debt into </w:t>
      </w:r>
      <w:bookmarkStart w:id="2396" w:name="xdx_90A_eus-gaap--DebtConversionConverte"/>
      <w:bookmarkEnd w:id="2396"/>
      <w:r>
        <w:rPr>
          <w:rFonts w:ascii="Times New Roman;Times;Serif" w:hAnsi="Times New Roman;Times;Serif"/>
          <w:b w:val="false"/>
          <w:i w:val="false"/>
          <w:caps w:val="false"/>
          <w:smallCaps w:val="false"/>
          <w:sz w:val="20"/>
        </w:rPr>
        <w:t xml:space="preserve">1,305 shares of Class A Common Stock, CP BF Warrants to purchase up to </w:t>
      </w:r>
      <w:bookmarkStart w:id="2397" w:name="xdx_907_eus-gaap--DebtConversionConverte"/>
      <w:bookmarkEnd w:id="2397"/>
      <w:r>
        <w:rPr>
          <w:rFonts w:ascii="Times New Roman;Times;Serif" w:hAnsi="Times New Roman;Times;Serif"/>
          <w:b w:val="false"/>
          <w:i w:val="false"/>
          <w:caps w:val="false"/>
          <w:smallCaps w:val="false"/>
          <w:sz w:val="20"/>
        </w:rPr>
        <w:t xml:space="preserve">2,828 shares of Class A Common Stock and CP BF Pre-Funded Warrants to purchase up to </w:t>
      </w:r>
      <w:bookmarkStart w:id="2398" w:name="xdx_902_eus-gaap--DebtConversionConverte"/>
      <w:bookmarkEnd w:id="2398"/>
      <w:r>
        <w:rPr>
          <w:rFonts w:ascii="Times New Roman;Times;Serif" w:hAnsi="Times New Roman;Times;Serif"/>
          <w:b w:val="false"/>
          <w:i w:val="false"/>
          <w:caps w:val="false"/>
          <w:smallCaps w:val="false"/>
          <w:sz w:val="20"/>
        </w:rPr>
        <w:t xml:space="preserve">1,524 shares of Class A Common Stock (all such securities and shares collectively referred to as the “CP BF Registrable Securities”). </w:t>
      </w:r>
      <w:bookmarkStart w:id="2399" w:name="xdx_908_ecustom--ExercisePriceDescriptio"/>
      <w:bookmarkEnd w:id="2399"/>
      <w:r>
        <w:rPr>
          <w:rFonts w:ascii="Times New Roman;Times;Serif" w:hAnsi="Times New Roman;Times;Serif"/>
          <w:b w:val="false"/>
          <w:i w:val="false"/>
          <w:caps w:val="false"/>
          <w:smallCaps w:val="false"/>
          <w:sz w:val="20"/>
        </w:rPr>
        <w:t>The CP BF Warrant can be exercised at an initial exercise price of $</w:t>
      </w:r>
      <w:bookmarkStart w:id="2400" w:name="xdx_907_eus-gaap--ClassOfWarrantOrRightE"/>
      <w:bookmarkEnd w:id="2400"/>
      <w:r>
        <w:rPr>
          <w:rFonts w:ascii="Times New Roman;Times;Serif" w:hAnsi="Times New Roman;Times;Serif"/>
          <w:b w:val="false"/>
          <w:i w:val="false"/>
          <w:caps w:val="false"/>
          <w:smallCaps w:val="false"/>
          <w:sz w:val="20"/>
        </w:rPr>
        <w:t xml:space="preserve">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w:t>
      </w:r>
      <w:bookmarkStart w:id="2401" w:name="xdx_908_eus-gaap--StockIssuedDuringPerio"/>
      <w:bookmarkEnd w:id="2401"/>
      <w:r>
        <w:rPr>
          <w:rFonts w:ascii="Times New Roman;Times;Serif" w:hAnsi="Times New Roman;Times;Serif"/>
          <w:b w:val="false"/>
          <w:i w:val="false"/>
          <w:caps w:val="false"/>
          <w:smallCaps w:val="false"/>
          <w:sz w:val="20"/>
        </w:rPr>
        <w:t>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w:t>
      </w:r>
      <w:bookmarkStart w:id="2402" w:name="xdx_903_eus-gaap--ProceedsFromIssuanceOf"/>
      <w:bookmarkEnd w:id="2402"/>
      <w:r>
        <w:rPr>
          <w:rFonts w:ascii="Times New Roman;Times;Serif" w:hAnsi="Times New Roman;Times;Serif"/>
          <w:b w:val="false"/>
          <w:i w:val="false"/>
          <w:caps w:val="false"/>
          <w:smallCaps w:val="false"/>
          <w:sz w:val="20"/>
        </w:rPr>
        <w:t xml:space="preserve">4.6 million. One of the contingent redemption features in the 2024 CP BF Convertible Note relates to the Company prepaying, either partially or in whole, the obligations upon the sale of the Company’s capital stock equal to </w:t>
      </w:r>
      <w:bookmarkStart w:id="2403" w:name="xdx_90A_ecustom--PercentageOfCapitalStoc"/>
      <w:bookmarkEnd w:id="2403"/>
      <w:r>
        <w:rPr>
          <w:rFonts w:ascii="Times New Roman;Times;Serif" w:hAnsi="Times New Roman;Times;Serif"/>
          <w:b w:val="false"/>
          <w:i w:val="false"/>
          <w:caps w:val="false"/>
          <w:smallCaps w:val="false"/>
          <w:sz w:val="20"/>
        </w:rPr>
        <w:t>20% of the cash proceeds in excess of $</w:t>
      </w:r>
      <w:bookmarkStart w:id="2404" w:name="xdx_90E_eus-gaap--ProceedsFromIssuanceOf"/>
      <w:bookmarkEnd w:id="2404"/>
      <w:r>
        <w:rPr>
          <w:rFonts w:ascii="Times New Roman;Times;Serif" w:hAnsi="Times New Roman;Times;Serif"/>
          <w:b w:val="false"/>
          <w:i w:val="false"/>
          <w:caps w:val="false"/>
          <w:smallCaps w:val="false"/>
          <w:sz w:val="20"/>
        </w:rPr>
        <w:t>3,000,000. For the year ended December 31, 2025, the Company paid a total of $</w:t>
      </w:r>
      <w:bookmarkStart w:id="2405" w:name="xdx_90F_eus-gaap--DebtInstrumentFaceAmou"/>
      <w:bookmarkEnd w:id="2405"/>
      <w:r>
        <w:rPr>
          <w:rFonts w:ascii="Times New Roman;Times;Serif" w:hAnsi="Times New Roman;Times;Serif"/>
          <w:b w:val="false"/>
          <w:i w:val="false"/>
          <w:caps w:val="false"/>
          <w:smallCaps w:val="false"/>
          <w:sz w:val="20"/>
        </w:rPr>
        <w:t>2,840,677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2024 CP BF Convertible Note was approximately </w:t>
      </w:r>
      <w:bookmarkStart w:id="2406" w:name="xdx_900_eus-gaap--DebtInstrumentInterest"/>
      <w:bookmarkEnd w:id="2406"/>
      <w:r>
        <w:rPr>
          <w:rFonts w:ascii="Times New Roman;Times;Serif" w:hAnsi="Times New Roman;Times;Serif"/>
          <w:b w:val="false"/>
          <w:i w:val="false"/>
          <w:caps w:val="false"/>
          <w:smallCaps w:val="false"/>
          <w:sz w:val="20"/>
        </w:rPr>
        <w:t>15.4% for the year ended December 31, 2025 and 2024. For the year ended December 31, 2025 and 2024, interest expense on the 2024 CP BF Convertible Note totaled $</w:t>
      </w:r>
      <w:bookmarkStart w:id="2407" w:name="xdx_908_eus-gaap--InterestExpense_c20250"/>
      <w:bookmarkEnd w:id="2407"/>
      <w:r>
        <w:rPr>
          <w:rFonts w:ascii="Times New Roman;Times;Serif" w:hAnsi="Times New Roman;Times;Serif"/>
          <w:b w:val="false"/>
          <w:i w:val="false"/>
          <w:caps w:val="false"/>
          <w:smallCaps w:val="false"/>
          <w:sz w:val="20"/>
        </w:rPr>
        <w:t>1,177,033 and $</w:t>
      </w:r>
      <w:bookmarkStart w:id="2408" w:name="xdx_904_eus-gaap--InterestExpense_c20240"/>
      <w:bookmarkEnd w:id="2408"/>
      <w:r>
        <w:rPr>
          <w:rFonts w:ascii="Times New Roman;Times;Serif" w:hAnsi="Times New Roman;Times;Serif"/>
          <w:b w:val="false"/>
          <w:i w:val="false"/>
          <w:caps w:val="false"/>
          <w:smallCaps w:val="false"/>
          <w:sz w:val="20"/>
        </w:rPr>
        <w:t>368,525,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09" w:name="xdx_89C_eus-gaap--ConvertibleDebtTableTe"/>
      <w:bookmarkEnd w:id="2409"/>
      <w:r>
        <w:rPr>
          <w:rFonts w:ascii="Times New Roman;Times;Serif" w:hAnsi="Times New Roman;Times;Serif"/>
          <w:b w:val="false"/>
          <w:i w:val="false"/>
          <w:caps w:val="false"/>
          <w:smallCaps w:val="false"/>
          <w:sz w:val="20"/>
        </w:rPr>
        <w:t>The following table presents the 2024 CP BF Convertible Note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10" w:name="xdx_8B3_znyGbx9aYvt4"/>
      <w:bookmarkEnd w:id="2410"/>
      <w:r>
        <w:rPr>
          <w:rFonts w:ascii="Times New Roman;Times;Serif" w:hAnsi="Times New Roman;Times;Serif"/>
          <w:b w:val="false"/>
          <w:i w:val="false"/>
          <w:caps w:val="false"/>
          <w:smallCaps w:val="false"/>
          <w:sz w:val="20"/>
        </w:rPr>
        <w:t>Schedule of 2024 CP BF Convertible Note </w:t>
      </w:r>
    </w:p>
    <w:tbl>
      <w:tblPr>
        <w:tblW w:w="7490" w:type="dxa"/>
        <w:jc w:val="left"/>
        <w:tblInd w:w="0" w:type="dxa"/>
        <w:tblLayout w:type="fixed"/>
        <w:tblCellMar>
          <w:top w:w="0" w:type="dxa"/>
          <w:left w:w="0" w:type="dxa"/>
          <w:bottom w:w="0" w:type="dxa"/>
          <w:right w:w="0" w:type="dxa"/>
        </w:tblCellMar>
      </w:tblPr>
      <w:tblGrid>
        <w:gridCol w:w="4850"/>
        <w:gridCol w:w="60"/>
        <w:gridCol w:w="140"/>
        <w:gridCol w:w="1055"/>
        <w:gridCol w:w="95"/>
        <w:gridCol w:w="60"/>
        <w:gridCol w:w="140"/>
        <w:gridCol w:w="980"/>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11" w:name="xdx_49C_20251231__us-gaap--DebtInstrumen"/>
            <w:bookmarkEnd w:id="2411"/>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12" w:name="xdx_493_20241231__us-gaap--DebtInstrumen"/>
            <w:bookmarkEnd w:id="2412"/>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bookmarkStart w:id="2413" w:name="xdx_402_eus-gaap--ConvertibleDebtFairVal"/>
            <w:bookmarkEnd w:id="2413"/>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110" w:type="dxa"/>
            <w:tcBorders/>
            <w:shd w:fill="CCEEFF" w:val="clear"/>
            <w:vAlign w:val="center"/>
          </w:tcPr>
          <w:p>
            <w:pPr>
              <w:pStyle w:val="TableContents"/>
              <w:bidi w:val="0"/>
              <w:spacing w:before="0" w:after="283"/>
              <w:jc w:val="left"/>
              <w:rPr/>
            </w:pPr>
            <w:r>
              <w:rPr/>
              <w:t> </w:t>
            </w:r>
            <w:bookmarkStart w:id="2414" w:name="xdx_403_ecustom--UnamortizedDebtPremiumO"/>
            <w:bookmarkEnd w:id="2414"/>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premium,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11,066</w:t>
            </w:r>
          </w:p>
        </w:tc>
        <w:tc>
          <w:tcPr>
            <w:tcW w:w="110" w:type="dxa"/>
            <w:tcBorders/>
            <w:shd w:fill="FFFFFF" w:val="clear"/>
            <w:vAlign w:val="center"/>
          </w:tcPr>
          <w:p>
            <w:pPr>
              <w:pStyle w:val="TableContents"/>
              <w:bidi w:val="0"/>
              <w:spacing w:before="0" w:after="283"/>
              <w:jc w:val="left"/>
              <w:rPr/>
            </w:pPr>
            <w:r>
              <w:rPr/>
              <w:t> </w:t>
            </w:r>
            <w:bookmarkStart w:id="2415" w:name="xdx_404_eus-gaap--ConvertibleNotesPayabl"/>
            <w:bookmarkEnd w:id="2415"/>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8,769,841</w:t>
            </w:r>
          </w:p>
        </w:tc>
        <w:tc>
          <w:tcPr>
            <w:tcW w:w="110" w:type="dxa"/>
            <w:tcBorders/>
            <w:shd w:fill="CCEEFF" w:val="clear"/>
            <w:vAlign w:val="center"/>
          </w:tcPr>
          <w:p>
            <w:pPr>
              <w:pStyle w:val="TableContents"/>
              <w:bidi w:val="0"/>
              <w:spacing w:before="0" w:after="283"/>
              <w:jc w:val="left"/>
              <w:rPr/>
            </w:pPr>
            <w:r>
              <w:rPr/>
              <w:t> </w:t>
            </w:r>
            <w:bookmarkStart w:id="2416" w:name="xdx_40A_ecustom--InterestPayableOnConver"/>
            <w:bookmarkEnd w:id="2416"/>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369,459</w:t>
            </w:r>
          </w:p>
        </w:tc>
        <w:tc>
          <w:tcPr>
            <w:tcW w:w="110" w:type="dxa"/>
            <w:tcBorders/>
            <w:shd w:fill="FFFFFF" w:val="clear"/>
            <w:vAlign w:val="center"/>
          </w:tcPr>
          <w:p>
            <w:pPr>
              <w:pStyle w:val="TableContents"/>
              <w:bidi w:val="0"/>
              <w:spacing w:before="0" w:after="283"/>
              <w:jc w:val="left"/>
              <w:rPr/>
            </w:pPr>
            <w:r>
              <w:rPr/>
              <w:t> </w:t>
            </w:r>
            <w:bookmarkStart w:id="2417" w:name="xdx_402_ecustom--PrepaymentsMadeOnConver"/>
            <w:bookmarkEnd w:id="2417"/>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(5,011,987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8" w:name="xdx_409_ecustom--ConversionsOnConvertibl"/>
            <w:bookmarkEnd w:id="2418"/>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9" w:name="xdx_400_ecustom--ConvertibleDebtIncludin"/>
            <w:bookmarkEnd w:id="2419"/>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420" w:name="xdx_8AF_zs0jHEeSegQk"/>
      <w:bookmarkEnd w:id="242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and CP BF executed a letter agreement dated October 10, 2025, pursuant to which they amended certain terms of the Loan Agreement and Note (as amended on October 15, 2025, the “CP BF Letter Agreement”). </w:t>
      </w:r>
      <w:bookmarkStart w:id="2421" w:name="xdx_90C_eus-gaap--DebtInstrumentConverti"/>
      <w:bookmarkEnd w:id="2421"/>
      <w:r>
        <w:rPr>
          <w:rFonts w:ascii="Times New Roman;Times;Serif" w:hAnsi="Times New Roman;Times;Serif"/>
          <w:b w:val="false"/>
          <w:i w:val="false"/>
          <w:caps w:val="false"/>
          <w:smallCaps w:val="false"/>
          <w:sz w:val="20"/>
        </w:rPr>
        <w:t>The CP BF Letter Agreement amended the Conversion Price, as defined, to ninety-five percent (</w:t>
      </w:r>
      <w:bookmarkStart w:id="2422" w:name="xdx_901_eus-gaap--DebtInstrumentConverti"/>
      <w:bookmarkEnd w:id="2422"/>
      <w:r>
        <w:rPr>
          <w:rFonts w:ascii="Times New Roman;Times;Serif" w:hAnsi="Times New Roman;Times;Serif"/>
          <w:b w:val="false"/>
          <w:i w:val="false"/>
          <w:caps w:val="false"/>
          <w:smallCaps w:val="false"/>
          <w:sz w:val="20"/>
        </w:rPr>
        <w:t>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w:t>
      </w:r>
      <w:bookmarkStart w:id="2423" w:name="xdx_903_ecustom--PercentageOfAggregateDa"/>
      <w:bookmarkEnd w:id="2423"/>
      <w:r>
        <w:rPr>
          <w:rFonts w:ascii="Times New Roman;Times;Serif" w:hAnsi="Times New Roman;Times;Serif"/>
          <w:b w:val="false"/>
          <w:i w:val="false"/>
          <w:caps w:val="false"/>
          <w:smallCaps w:val="false"/>
          <w:sz w:val="20"/>
        </w:rPr>
        <w:t>5%) of the aggregate daily trading volume however the Company has the right waive or increase such limitation at its discretion. The CP BF Letter Agreement also stipulates that between the time that the Company pays down at least $</w:t>
      </w:r>
      <w:bookmarkStart w:id="2424" w:name="xdx_90C_eus-gaap--DebtInstrumentPeriodic"/>
      <w:bookmarkEnd w:id="2424"/>
      <w:r>
        <w:rPr>
          <w:rFonts w:ascii="Times New Roman;Times;Serif" w:hAnsi="Times New Roman;Times;Serif"/>
          <w:b w:val="false"/>
          <w:i w:val="false"/>
          <w:caps w:val="false"/>
          <w:smallCaps w:val="false"/>
          <w:sz w:val="20"/>
        </w:rPr>
        <w:t xml:space="preserve">2,000,000 against the Balance until the earlier of (a) </w:t>
      </w:r>
      <w:bookmarkStart w:id="2425" w:name="xdx_907_ecustom--MinimumRedemptionNotice"/>
      <w:bookmarkEnd w:id="2425"/>
      <w:r>
        <w:rPr>
          <w:rFonts w:ascii="Times New Roman;Times;Serif" w:hAnsi="Times New Roman;Times;Serif"/>
          <w:b w:val="false"/>
          <w:i w:val="false"/>
          <w:caps w:val="false"/>
          <w:smallCaps w:val="false"/>
          <w:sz w:val="20"/>
        </w:rPr>
        <w:t>60 days following the date of the CP BF Letter Agreement and (b) receipt of $</w:t>
      </w:r>
      <w:bookmarkStart w:id="2426" w:name="xdx_907_eus-gaap--ProceedsFromIssuanceOf"/>
      <w:bookmarkEnd w:id="2426"/>
      <w:r>
        <w:rPr>
          <w:rFonts w:ascii="Times New Roman;Times;Serif" w:hAnsi="Times New Roman;Times;Serif"/>
          <w:b w:val="false"/>
          <w:i w:val="false"/>
          <w:caps w:val="false"/>
          <w:smallCaps w:val="false"/>
          <w:sz w:val="20"/>
        </w:rPr>
        <w:t>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w:t>
      </w:r>
      <w:bookmarkStart w:id="2427" w:name="xdx_901_eus-gaap--DebtInstrumentConverti"/>
      <w:bookmarkEnd w:id="2427"/>
      <w:r>
        <w:rPr>
          <w:rFonts w:ascii="Times New Roman;Times;Serif" w:hAnsi="Times New Roman;Times;Serif"/>
          <w:b w:val="false"/>
          <w:i w:val="false"/>
          <w:caps w:val="false"/>
          <w:smallCaps w:val="false"/>
          <w:sz w:val="20"/>
        </w:rPr>
        <w:t xml:space="preserve">120% of the number of shares of Class A Common Stock issuable upon full conversion of the Balance at the new conversion price and to register </w:t>
      </w:r>
      <w:bookmarkStart w:id="2428" w:name="xdx_902_ecustom--PercentageOfConvertedSh"/>
      <w:bookmarkEnd w:id="2428"/>
      <w:r>
        <w:rPr>
          <w:rFonts w:ascii="Times New Roman;Times;Serif" w:hAnsi="Times New Roman;Times;Serif"/>
          <w:b w:val="false"/>
          <w:i w:val="false"/>
          <w:caps w:val="false"/>
          <w:smallCaps w:val="false"/>
          <w:sz w:val="20"/>
        </w:rPr>
        <w:t xml:space="preserve">100% of all such shares with the SEC within </w:t>
      </w:r>
      <w:bookmarkStart w:id="2429" w:name="xdx_906_eus-gaap--DebtInstrumentConverti"/>
      <w:bookmarkEnd w:id="2429"/>
      <w:r>
        <w:rPr>
          <w:rFonts w:ascii="Times New Roman;Times;Serif" w:hAnsi="Times New Roman;Times;Serif"/>
          <w:b w:val="false"/>
          <w:i w:val="false"/>
          <w:caps w:val="false"/>
          <w:smallCaps w:val="false"/>
          <w:sz w:val="20"/>
        </w:rPr>
        <w:t>60 days of the CP BF Letter Agreement. As per the CP BF Letter Agreement, subject to the receipt by CP BF of $</w:t>
      </w:r>
      <w:bookmarkStart w:id="2430" w:name="xdx_90F_eus-gaap--DebtInstrumentPeriodic"/>
      <w:bookmarkEnd w:id="2430"/>
      <w:r>
        <w:rPr>
          <w:rFonts w:ascii="Times New Roman;Times;Serif" w:hAnsi="Times New Roman;Times;Serif"/>
          <w:b w:val="false"/>
          <w:i w:val="false"/>
          <w:caps w:val="false"/>
          <w:smallCaps w:val="false"/>
          <w:sz w:val="20"/>
        </w:rPr>
        <w:t>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17, 2025 and December 31, 2025, CP BF exercised its optional conversion option multiple times and received an aggregate of </w:t>
      </w:r>
      <w:bookmarkStart w:id="2431" w:name="xdx_900_eus-gaap--StockIssuedDuringPerio"/>
      <w:bookmarkEnd w:id="2431"/>
      <w:r>
        <w:rPr>
          <w:rFonts w:ascii="Times New Roman;Times;Serif" w:hAnsi="Times New Roman;Times;Serif"/>
          <w:b w:val="false"/>
          <w:i w:val="false"/>
          <w:caps w:val="false"/>
          <w:smallCaps w:val="false"/>
          <w:sz w:val="20"/>
        </w:rPr>
        <w:t>3,135 shares of Class A Common Stock at conversion prices per share ranging from $</w:t>
      </w:r>
      <w:bookmarkStart w:id="2432" w:name="xdx_90F_eus-gaap--SharesIssuedPricePerSh"/>
      <w:bookmarkEnd w:id="2432"/>
      <w:r>
        <w:rPr>
          <w:rFonts w:ascii="Times New Roman;Times;Serif" w:hAnsi="Times New Roman;Times;Serif"/>
          <w:b w:val="false"/>
          <w:i w:val="false"/>
          <w:caps w:val="false"/>
          <w:smallCaps w:val="false"/>
          <w:sz w:val="20"/>
        </w:rPr>
        <w:t>54.20 to $</w:t>
      </w:r>
      <w:bookmarkStart w:id="2433" w:name="xdx_902_eus-gaap--SharesIssuedPricePerSh"/>
      <w:bookmarkEnd w:id="2433"/>
      <w:r>
        <w:rPr>
          <w:rFonts w:ascii="Times New Roman;Times;Serif" w:hAnsi="Times New Roman;Times;Serif"/>
          <w:b w:val="false"/>
          <w:i w:val="false"/>
          <w:caps w:val="false"/>
          <w:smallCaps w:val="false"/>
          <w:sz w:val="20"/>
        </w:rPr>
        <w:t>55.000 in satisfaction of $</w:t>
      </w:r>
      <w:bookmarkStart w:id="2434" w:name="xdx_907_eus-gaap--ConversionOfStockAmoun"/>
      <w:bookmarkEnd w:id="2434"/>
      <w:r>
        <w:rPr>
          <w:rFonts w:ascii="Times New Roman;Times;Serif" w:hAnsi="Times New Roman;Times;Serif"/>
          <w:b w:val="false"/>
          <w:i w:val="false"/>
          <w:caps w:val="false"/>
          <w:smallCaps w:val="false"/>
          <w:sz w:val="20"/>
        </w:rPr>
        <w:t>165,461 of the Company’s obligations under the 2024 CP BF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w:t>
      </w:r>
      <w:bookmarkStart w:id="2435" w:name="xdx_905_eus-gaap--DebtInstrumentFaceAmou"/>
      <w:bookmarkEnd w:id="2435"/>
      <w:r>
        <w:rPr>
          <w:rFonts w:ascii="Times New Roman;Times;Serif" w:hAnsi="Times New Roman;Times;Serif"/>
          <w:b w:val="false"/>
          <w:i w:val="false"/>
          <w:caps w:val="false"/>
          <w:smallCaps w:val="false"/>
          <w:sz w:val="20"/>
        </w:rPr>
        <w:t>787,500 and received net proceeds of $</w:t>
      </w:r>
      <w:bookmarkStart w:id="2436" w:name="xdx_901_eus-gaap--ProceedsFromShortTermD"/>
      <w:bookmarkEnd w:id="2436"/>
      <w:r>
        <w:rPr>
          <w:rFonts w:ascii="Times New Roman;Times;Serif" w:hAnsi="Times New Roman;Times;Serif"/>
          <w:b w:val="false"/>
          <w:i w:val="false"/>
          <w:caps w:val="false"/>
          <w:smallCaps w:val="false"/>
          <w:sz w:val="20"/>
        </w:rPr>
        <w:t>750,000, after administrative agent fees of $</w:t>
      </w:r>
      <w:bookmarkStart w:id="2437" w:name="xdx_90E_ecustom--AgentFees_c20240722__20"/>
      <w:bookmarkEnd w:id="2437"/>
      <w:r>
        <w:rPr>
          <w:rFonts w:ascii="Times New Roman;Times;Serif" w:hAnsi="Times New Roman;Times;Serif"/>
          <w:b w:val="false"/>
          <w:i w:val="false"/>
          <w:caps w:val="false"/>
          <w:smallCaps w:val="false"/>
          <w:sz w:val="20"/>
        </w:rPr>
        <w:t xml:space="preserve">37,500 paid to Agile Funding, with a maturity date of February 5, 2025. The July Agile Note bears interest at a rate of </w:t>
      </w:r>
      <w:bookmarkStart w:id="2438" w:name="xdx_909_eus-gaap--DebtInstrumentInterest"/>
      <w:bookmarkEnd w:id="2438"/>
      <w:r>
        <w:rPr>
          <w:rFonts w:ascii="Times New Roman;Times;Serif" w:hAnsi="Times New Roman;Times;Serif"/>
          <w:b w:val="false"/>
          <w:i w:val="false"/>
          <w:caps w:val="false"/>
          <w:smallCaps w:val="false"/>
          <w:sz w:val="2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w:t>
      </w:r>
      <w:bookmarkStart w:id="2439" w:name="xdx_906_eus-gaap--DebtInstrumentFaceAmou"/>
      <w:bookmarkEnd w:id="2439"/>
      <w:r>
        <w:rPr>
          <w:rFonts w:ascii="Times New Roman;Times;Serif" w:hAnsi="Times New Roman;Times;Serif"/>
          <w:b w:val="false"/>
          <w:i w:val="false"/>
          <w:caps w:val="false"/>
          <w:smallCaps w:val="false"/>
          <w:sz w:val="20"/>
        </w:rPr>
        <w:t>262,500 and received net proceeds of $</w:t>
      </w:r>
      <w:bookmarkStart w:id="2440" w:name="xdx_903_eus-gaap--ProceedsFromIssuanceOf"/>
      <w:bookmarkEnd w:id="2440"/>
      <w:r>
        <w:rPr>
          <w:rFonts w:ascii="Times New Roman;Times;Serif" w:hAnsi="Times New Roman;Times;Serif"/>
          <w:b w:val="false"/>
          <w:i w:val="false"/>
          <w:caps w:val="false"/>
          <w:smallCaps w:val="false"/>
          <w:sz w:val="20"/>
        </w:rPr>
        <w:t>250,000, after administrative agent fees of $</w:t>
      </w:r>
      <w:bookmarkStart w:id="2441" w:name="xdx_901_eus-gaap--DebtInstrumentFeeAmoun"/>
      <w:bookmarkEnd w:id="2441"/>
      <w:r>
        <w:rPr>
          <w:rFonts w:ascii="Times New Roman;Times;Serif" w:hAnsi="Times New Roman;Times;Serif"/>
          <w:b w:val="false"/>
          <w:i w:val="false"/>
          <w:caps w:val="false"/>
          <w:smallCaps w:val="false"/>
          <w:sz w:val="20"/>
        </w:rPr>
        <w:t xml:space="preserve">12,500 paid to Agile Funding, with a maturity date of </w:t>
      </w:r>
      <w:bookmarkStart w:id="2442" w:name="xdx_901_eus-gaap--DebtInstrumentMaturity"/>
      <w:bookmarkEnd w:id="2442"/>
      <w:r>
        <w:rPr>
          <w:rFonts w:ascii="Times New Roman;Times;Serif" w:hAnsi="Times New Roman;Times;Serif"/>
          <w:b w:val="false"/>
          <w:i w:val="false"/>
          <w:caps w:val="false"/>
          <w:smallCaps w:val="false"/>
          <w:sz w:val="20"/>
        </w:rPr>
        <w:t>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w:t>
      </w:r>
      <w:bookmarkStart w:id="2443" w:name="xdx_90C_eus-gaap--DebtInstrumentFaceAmou"/>
      <w:bookmarkEnd w:id="2443"/>
      <w:r>
        <w:rPr>
          <w:rFonts w:ascii="Times New Roman;Times;Serif" w:hAnsi="Times New Roman;Times;Serif"/>
          <w:b w:val="false"/>
          <w:i w:val="false"/>
          <w:caps w:val="false"/>
          <w:smallCaps w:val="false"/>
          <w:sz w:val="20"/>
        </w:rPr>
        <w:t>2,400,000 and received net proceeds of $</w:t>
      </w:r>
      <w:bookmarkStart w:id="2444" w:name="xdx_907_eus-gaap--ProceedsFromIssuanceOf"/>
      <w:bookmarkEnd w:id="2444"/>
      <w:r>
        <w:rPr>
          <w:rFonts w:ascii="Times New Roman;Times;Serif" w:hAnsi="Times New Roman;Times;Serif"/>
          <w:b w:val="false"/>
          <w:i w:val="false"/>
          <w:caps w:val="false"/>
          <w:smallCaps w:val="false"/>
          <w:sz w:val="20"/>
        </w:rPr>
        <w:t>1,782,438, after administrative agent fees of $</w:t>
      </w:r>
      <w:bookmarkStart w:id="2445" w:name="xdx_90C_eus-gaap--DebtInstrumentFeeAmoun"/>
      <w:bookmarkEnd w:id="2445"/>
      <w:r>
        <w:rPr>
          <w:rFonts w:ascii="Times New Roman;Times;Serif" w:hAnsi="Times New Roman;Times;Serif"/>
          <w:b w:val="false"/>
          <w:i w:val="false"/>
          <w:caps w:val="false"/>
          <w:smallCaps w:val="false"/>
          <w:sz w:val="20"/>
        </w:rPr>
        <w:t>120,000 paid to Agile Funding, and net of payments to Agile of $</w:t>
      </w:r>
      <w:bookmarkStart w:id="2446" w:name="xdx_90C_eus-gaap--EarlyRepaymentOfSubord"/>
      <w:bookmarkEnd w:id="2446"/>
      <w:r>
        <w:rPr>
          <w:rFonts w:ascii="Times New Roman;Times;Serif" w:hAnsi="Times New Roman;Times;Serif"/>
          <w:b w:val="false"/>
          <w:i w:val="false"/>
          <w:caps w:val="false"/>
          <w:smallCaps w:val="false"/>
          <w:sz w:val="20"/>
        </w:rPr>
        <w:t>319,500 and $</w:t>
      </w:r>
      <w:bookmarkStart w:id="2447" w:name="xdx_906_eus-gaap--EarlyRepaymentOfSubord"/>
      <w:bookmarkEnd w:id="2447"/>
      <w:r>
        <w:rPr>
          <w:rFonts w:ascii="Times New Roman;Times;Serif" w:hAnsi="Times New Roman;Times;Serif"/>
          <w:b w:val="false"/>
          <w:i w:val="false"/>
          <w:caps w:val="false"/>
          <w:smallCaps w:val="false"/>
          <w:sz w:val="20"/>
        </w:rPr>
        <w:t xml:space="preserve">178,063 in respect to early prepayment of the remaining outstanding balances of the July Agile Note and September Agile Note. The December Agile Note has a maturity date of July 10, 2025 and bears interest at a rate of </w:t>
      </w:r>
      <w:bookmarkStart w:id="2448" w:name="xdx_906_eus-gaap--DebtInstrumentInterest"/>
      <w:bookmarkEnd w:id="2448"/>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w:t>
      </w:r>
      <w:bookmarkStart w:id="2449" w:name="xdx_905_eus-gaap--GainsLossesOnExtinguis"/>
      <w:bookmarkEnd w:id="2449"/>
      <w:r>
        <w:rPr>
          <w:rFonts w:ascii="Times New Roman;Times;Serif" w:hAnsi="Times New Roman;Times;Serif"/>
          <w:b w:val="false"/>
          <w:i w:val="false"/>
          <w:caps w:val="false"/>
          <w:smallCaps w:val="false"/>
          <w:sz w:val="20"/>
        </w:rPr>
        <w:t>1,071,563.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w:t>
      </w:r>
      <w:bookmarkStart w:id="2450" w:name="xdx_90E_eus-gaap--DebtInstrumentFaceAmou"/>
      <w:bookmarkEnd w:id="2450"/>
      <w:r>
        <w:rPr>
          <w:rFonts w:ascii="Times New Roman;Times;Serif" w:hAnsi="Times New Roman;Times;Serif"/>
          <w:b w:val="false"/>
          <w:i w:val="false"/>
          <w:caps w:val="false"/>
          <w:smallCaps w:val="false"/>
          <w:sz w:val="20"/>
        </w:rPr>
        <w:t>4,000,000 and received net proceeds of $</w:t>
      </w:r>
      <w:bookmarkStart w:id="2451" w:name="xdx_908_eus-gaap--ProceedsFromIssuanceOf"/>
      <w:bookmarkEnd w:id="2451"/>
      <w:r>
        <w:rPr>
          <w:rFonts w:ascii="Times New Roman;Times;Serif" w:hAnsi="Times New Roman;Times;Serif"/>
          <w:b w:val="false"/>
          <w:i w:val="false"/>
          <w:caps w:val="false"/>
          <w:smallCaps w:val="false"/>
          <w:sz w:val="20"/>
        </w:rPr>
        <w:t>2,044,105, after administrative agent fees of $</w:t>
      </w:r>
      <w:bookmarkStart w:id="2452" w:name="xdx_900_eus-gaap--DebtInstrumentFeeAmoun"/>
      <w:bookmarkEnd w:id="2452"/>
      <w:r>
        <w:rPr>
          <w:rFonts w:ascii="Times New Roman;Times;Serif" w:hAnsi="Times New Roman;Times;Serif"/>
          <w:b w:val="false"/>
          <w:i w:val="false"/>
          <w:caps w:val="false"/>
          <w:smallCaps w:val="false"/>
          <w:sz w:val="20"/>
        </w:rPr>
        <w:t>200,000 paid to Agile Funding, and net of payments to Agile of $</w:t>
      </w:r>
      <w:bookmarkStart w:id="2453" w:name="xdx_908_eus-gaap--RepaymentsOfDebt_c2025"/>
      <w:bookmarkEnd w:id="2453"/>
      <w:r>
        <w:rPr>
          <w:rFonts w:ascii="Times New Roman;Times;Serif" w:hAnsi="Times New Roman;Times;Serif"/>
          <w:b w:val="false"/>
          <w:i w:val="false"/>
          <w:caps w:val="false"/>
          <w:smallCaps w:val="false"/>
          <w:sz w:val="20"/>
        </w:rPr>
        <w:t xml:space="preserve">1,755,895 in respect to early prepayment of the remaining outstanding balances of the December Agile Note. The March Agile Note has a maturity date of </w:t>
      </w:r>
      <w:bookmarkStart w:id="2454" w:name="xdx_908_eus-gaap--DebtInstrumentMaturity"/>
      <w:bookmarkEnd w:id="2454"/>
      <w:r>
        <w:rPr>
          <w:rFonts w:ascii="Times New Roman;Times;Serif" w:hAnsi="Times New Roman;Times;Serif"/>
          <w:b w:val="false"/>
          <w:i w:val="false"/>
          <w:caps w:val="false"/>
          <w:smallCaps w:val="false"/>
          <w:sz w:val="20"/>
        </w:rPr>
        <w:t xml:space="preserve">November 12, 2025 and bears interest at a rate of </w:t>
      </w:r>
      <w:bookmarkStart w:id="2455" w:name="xdx_907_eus-gaap--DebtInstrumentInterest"/>
      <w:bookmarkEnd w:id="2455"/>
      <w:r>
        <w:rPr>
          <w:rFonts w:ascii="Times New Roman;Times;Serif" w:hAnsi="Times New Roman;Times;Serif"/>
          <w:b w:val="false"/>
          <w:i w:val="false"/>
          <w:caps w:val="false"/>
          <w:smallCaps w:val="false"/>
          <w:sz w:val="2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w:t>
      </w:r>
      <w:bookmarkStart w:id="2456" w:name="xdx_90D_eus-gaap--GainsLossesOnExtinguis"/>
      <w:bookmarkEnd w:id="2456"/>
      <w:r>
        <w:rPr>
          <w:rFonts w:ascii="Times New Roman;Times;Serif" w:hAnsi="Times New Roman;Times;Serif"/>
          <w:b w:val="false"/>
          <w:i w:val="false"/>
          <w:caps w:val="false"/>
          <w:smallCaps w:val="false"/>
          <w:sz w:val="20"/>
        </w:rPr>
        <w:t>1,769,895.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w:t>
      </w:r>
      <w:bookmarkStart w:id="2457" w:name="xdx_900_eus-gaap--DebtInstrumentFaceAmou"/>
      <w:bookmarkEnd w:id="2457"/>
      <w:r>
        <w:rPr>
          <w:rFonts w:ascii="Times New Roman;Times;Serif" w:hAnsi="Times New Roman;Times;Serif"/>
          <w:b w:val="false"/>
          <w:i w:val="false"/>
          <w:caps w:val="false"/>
          <w:smallCaps w:val="false"/>
          <w:sz w:val="20"/>
        </w:rPr>
        <w:t>262,500 and received net proceeds of $</w:t>
      </w:r>
      <w:bookmarkStart w:id="2458" w:name="xdx_90F_eus-gaap--ProceedsFromIssuanceOf"/>
      <w:bookmarkEnd w:id="2458"/>
      <w:r>
        <w:rPr>
          <w:rFonts w:ascii="Times New Roman;Times;Serif" w:hAnsi="Times New Roman;Times;Serif"/>
          <w:b w:val="false"/>
          <w:i w:val="false"/>
          <w:caps w:val="false"/>
          <w:smallCaps w:val="false"/>
          <w:sz w:val="20"/>
        </w:rPr>
        <w:t>250,000, after administrative agent fees $</w:t>
      </w:r>
      <w:bookmarkStart w:id="2459" w:name="xdx_905_eus-gaap--DebtInstrumentFeeAmoun"/>
      <w:bookmarkEnd w:id="2459"/>
      <w:r>
        <w:rPr>
          <w:rFonts w:ascii="Times New Roman;Times;Serif" w:hAnsi="Times New Roman;Times;Serif"/>
          <w:b w:val="false"/>
          <w:i w:val="false"/>
          <w:caps w:val="false"/>
          <w:smallCaps w:val="false"/>
          <w:sz w:val="20"/>
        </w:rPr>
        <w:t xml:space="preserve">12,500 paid to Agile Funding. The June Agile note has a maturity date of </w:t>
      </w:r>
      <w:bookmarkStart w:id="2460" w:name="xdx_90D_eus-gaap--DebtInstrumentMaturity"/>
      <w:bookmarkEnd w:id="2460"/>
      <w:r>
        <w:rPr>
          <w:rFonts w:ascii="Times New Roman;Times;Serif" w:hAnsi="Times New Roman;Times;Serif"/>
          <w:b w:val="false"/>
          <w:i w:val="false"/>
          <w:caps w:val="false"/>
          <w:smallCaps w:val="false"/>
          <w:sz w:val="20"/>
        </w:rPr>
        <w:t xml:space="preserve">December 15, 2025 and bears interest at a rate of </w:t>
      </w:r>
      <w:bookmarkStart w:id="2461" w:name="xdx_906_eus-gaap--DebtInstrumentInterest"/>
      <w:bookmarkEnd w:id="2461"/>
      <w:r>
        <w:rPr>
          <w:rFonts w:ascii="Times New Roman;Times;Serif" w:hAnsi="Times New Roman;Times;Serif"/>
          <w:b w:val="false"/>
          <w:i w:val="false"/>
          <w:caps w:val="false"/>
          <w:smallCaps w:val="false"/>
          <w:sz w:val="2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w:t>
      </w:r>
      <w:bookmarkStart w:id="2462" w:name="xdx_90B_ecustom--DebtInstrumentDefaultIn"/>
      <w:bookmarkEnd w:id="2462"/>
      <w:r>
        <w:rPr>
          <w:rFonts w:ascii="Times New Roman;Times;Serif" w:hAnsi="Times New Roman;Times;Serif"/>
          <w:b w:val="false"/>
          <w:i w:val="false"/>
          <w:caps w:val="false"/>
          <w:smallCaps w:val="false"/>
          <w:sz w:val="20"/>
        </w:rPr>
        <w:t>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w:t>
      </w:r>
      <w:bookmarkStart w:id="2463" w:name="xdx_902_eus-gaap--NotesPayableCurrent_iI"/>
      <w:bookmarkEnd w:id="2463"/>
      <w:r>
        <w:rPr>
          <w:rFonts w:ascii="Times New Roman;Times;Serif" w:hAnsi="Times New Roman;Times;Serif"/>
          <w:b w:val="false"/>
          <w:i w:val="false"/>
          <w:caps w:val="false"/>
          <w:smallCaps w:val="false"/>
          <w:sz w:val="20"/>
        </w:rPr>
        <w:t>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w:t>
      </w:r>
      <w:bookmarkStart w:id="2464" w:name="xdx_909_eus-gaap--LongTermNotesPayable_i"/>
      <w:bookmarkEnd w:id="2464"/>
      <w:r>
        <w:rPr>
          <w:rFonts w:ascii="Times New Roman;Times;Serif" w:hAnsi="Times New Roman;Times;Serif"/>
          <w:b w:val="false"/>
          <w:i w:val="false"/>
          <w:caps w:val="false"/>
          <w:smallCaps w:val="false"/>
          <w:sz w:val="20"/>
        </w:rPr>
        <w:t>2,123,432.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w:t>
      </w:r>
      <w:bookmarkStart w:id="2465" w:name="xdx_907_eus-gaap--GainsLossesOnExtinguis"/>
      <w:bookmarkEnd w:id="2465"/>
      <w:r>
        <w:rPr>
          <w:rFonts w:ascii="Times New Roman;Times;Serif" w:hAnsi="Times New Roman;Times;Serif"/>
          <w:b w:val="false"/>
          <w:i w:val="false"/>
          <w:caps w:val="false"/>
          <w:smallCaps w:val="false"/>
          <w:sz w:val="20"/>
        </w:rPr>
        <w:t>632,837.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 entered into an exchange agreement with Agile pursuant to which the Company issued </w:t>
      </w:r>
      <w:bookmarkStart w:id="2466" w:name="xdx_902_ecustom--SharesIssuedUnderPromis"/>
      <w:bookmarkEnd w:id="2466"/>
      <w:r>
        <w:rPr>
          <w:rFonts w:ascii="Times New Roman;Times;Serif" w:hAnsi="Times New Roman;Times;Serif"/>
          <w:b w:val="false"/>
          <w:i w:val="false"/>
          <w:caps w:val="false"/>
          <w:smallCaps w:val="false"/>
          <w:sz w:val="20"/>
        </w:rPr>
        <w:t>11,640 shares of its Class A common stock in exchange for a reduction of $</w:t>
      </w:r>
      <w:bookmarkStart w:id="2467" w:name="xdx_90D_ecustom--AggregateReductionsOfIn"/>
      <w:bookmarkEnd w:id="2467"/>
      <w:r>
        <w:rPr>
          <w:rFonts w:ascii="Times New Roman;Times;Serif" w:hAnsi="Times New Roman;Times;Serif"/>
          <w:b w:val="false"/>
          <w:i w:val="false"/>
          <w:caps w:val="false"/>
          <w:smallCaps w:val="false"/>
          <w:sz w:val="20"/>
        </w:rPr>
        <w:t>284,000 in the outstanding balance of the March Agile Note. Following this exchange, the outstanding balance of the March Agile Note was reduced to approximately $</w:t>
      </w:r>
      <w:bookmarkStart w:id="2468" w:name="xdx_903_eus-gaap--LongTermNotesPayable_i"/>
      <w:bookmarkEnd w:id="2468"/>
      <w:r>
        <w:rPr>
          <w:rFonts w:ascii="Times New Roman;Times;Serif" w:hAnsi="Times New Roman;Times;Serif"/>
          <w:b w:val="false"/>
          <w:i w:val="false"/>
          <w:caps w:val="false"/>
          <w:smallCaps w:val="false"/>
          <w:sz w:val="20"/>
        </w:rPr>
        <w:t>1,839,432.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w:t>
      </w:r>
      <w:bookmarkStart w:id="2469" w:name="xdx_904_eus-gaap--InterestExpense_c20250"/>
      <w:bookmarkEnd w:id="2469"/>
      <w:r>
        <w:rPr>
          <w:rFonts w:ascii="Times New Roman;Times;Serif" w:hAnsi="Times New Roman;Times;Serif"/>
          <w:b w:val="false"/>
          <w:i w:val="false"/>
          <w:caps w:val="false"/>
          <w:smallCaps w:val="false"/>
          <w:sz w:val="20"/>
        </w:rPr>
        <w:t>2,727,280 and $</w:t>
      </w:r>
      <w:bookmarkStart w:id="2470" w:name="xdx_900_eus-gaap--InterestExpense_c20240"/>
      <w:bookmarkEnd w:id="2470"/>
      <w:r>
        <w:rPr>
          <w:rFonts w:ascii="Times New Roman;Times;Serif" w:hAnsi="Times New Roman;Times;Serif"/>
          <w:b w:val="false"/>
          <w:i w:val="false"/>
          <w:caps w:val="false"/>
          <w:smallCaps w:val="false"/>
          <w:sz w:val="20"/>
        </w:rPr>
        <w:t>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71" w:name="xdx_892_eus-gaap--ScheduleOfDebtInstrume"/>
      <w:bookmarkEnd w:id="2471"/>
      <w:r>
        <w:rPr>
          <w:rFonts w:ascii="Times New Roman;Times;Serif" w:hAnsi="Times New Roman;Times;Serif"/>
          <w:b w:val="false"/>
          <w:i w:val="false"/>
          <w:caps w:val="false"/>
          <w:smallCaps w:val="false"/>
          <w:sz w:val="20"/>
        </w:rPr>
        <w:t>The following presents the Agile Notes for the year ended December 31, 2025:</w:t>
      </w:r>
    </w:p>
    <w:p>
      <w:pPr>
        <w:pStyle w:val="TextBody"/>
        <w:bidi w:val="0"/>
        <w:spacing w:before="0" w:after="0"/>
        <w:ind w:left="0" w:right="0" w:hanging="0"/>
        <w:jc w:val="left"/>
        <w:rPr>
          <w:caps w:val="false"/>
          <w:smallCaps w:val="false"/>
        </w:rPr>
      </w:pPr>
      <w:r>
        <w:rPr>
          <w:caps w:val="false"/>
          <w:smallCaps w:val="false"/>
        </w:rPr>
        <w:t> </w:t>
      </w:r>
      <w:bookmarkStart w:id="2472" w:name="xdx_8B2_ztbzN7YWyRY6"/>
      <w:bookmarkEnd w:id="2472"/>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473" w:name="xdx_30F_134_zhriNNhgrpzl"/>
      <w:bookmarkStart w:id="2474" w:name="xdx_30F_134_zhriNNhgrpzl"/>
      <w:bookmarkEnd w:id="2474"/>
    </w:p>
    <w:tbl>
      <w:tblPr>
        <w:tblW w:w="7274" w:type="dxa"/>
        <w:jc w:val="left"/>
        <w:tblInd w:w="0" w:type="dxa"/>
        <w:tblLayout w:type="fixed"/>
        <w:tblCellMar>
          <w:top w:w="0" w:type="dxa"/>
          <w:left w:w="0" w:type="dxa"/>
          <w:bottom w:w="0" w:type="dxa"/>
          <w:right w:w="0" w:type="dxa"/>
        </w:tblCellMar>
      </w:tblPr>
      <w:tblGrid>
        <w:gridCol w:w="5300"/>
        <w:gridCol w:w="60"/>
        <w:gridCol w:w="211"/>
        <w:gridCol w:w="1593"/>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75" w:name="xdx_4BA_us-gaap--LongtermDebtTypeAxis_cu"/>
            <w:bookmarkEnd w:id="2475"/>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Agile Term Notes</w:t>
            </w:r>
          </w:p>
        </w:tc>
        <w:tc>
          <w:tcPr>
            <w:tcW w:w="110" w:type="dxa"/>
            <w:tcBorders/>
            <w:vAlign w:val="center"/>
          </w:tcPr>
          <w:p>
            <w:pPr>
              <w:pStyle w:val="TableContents"/>
              <w:bidi w:val="0"/>
              <w:spacing w:before="0" w:after="283"/>
              <w:jc w:val="left"/>
              <w:rPr/>
            </w:pPr>
            <w:r>
              <w:rPr/>
              <w:t> </w:t>
            </w:r>
            <w:bookmarkStart w:id="2476" w:name="xdx_434_c20250101__20251231_eus-gaap--No"/>
            <w:bookmarkEnd w:id="2476"/>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110" w:type="dxa"/>
            <w:tcBorders/>
            <w:shd w:fill="CCEEFF" w:val="clear"/>
            <w:vAlign w:val="center"/>
          </w:tcPr>
          <w:p>
            <w:pPr>
              <w:pStyle w:val="TableContents"/>
              <w:bidi w:val="0"/>
              <w:spacing w:before="0" w:after="283"/>
              <w:jc w:val="left"/>
              <w:rPr/>
            </w:pPr>
            <w:r>
              <w:rPr/>
              <w:t> </w:t>
            </w:r>
            <w:bookmarkStart w:id="2477" w:name="xdx_40F_ecustom--IssuanceOfLongTermDebt_"/>
            <w:bookmarkEnd w:id="2477"/>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Agile term notes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4,262,500</w:t>
            </w:r>
          </w:p>
        </w:tc>
        <w:tc>
          <w:tcPr>
            <w:tcW w:w="110" w:type="dxa"/>
            <w:tcBorders/>
            <w:shd w:fill="FFFFFF" w:val="clear"/>
            <w:vAlign w:val="center"/>
          </w:tcPr>
          <w:p>
            <w:pPr>
              <w:pStyle w:val="TableContents"/>
              <w:bidi w:val="0"/>
              <w:spacing w:before="0" w:after="283"/>
              <w:jc w:val="left"/>
              <w:rPr/>
            </w:pPr>
            <w:r>
              <w:rPr/>
              <w:t> </w:t>
            </w:r>
            <w:bookmarkStart w:id="2478" w:name="xdx_406_ecustom--GainsLossesOnDebtIssuan"/>
            <w:bookmarkEnd w:id="2478"/>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0" w:type="dxa"/>
            <w:tcBorders/>
            <w:shd w:fill="CCEEFF" w:val="clear"/>
            <w:vAlign w:val="center"/>
          </w:tcPr>
          <w:p>
            <w:pPr>
              <w:pStyle w:val="TableContents"/>
              <w:bidi w:val="0"/>
              <w:spacing w:before="0" w:after="283"/>
              <w:jc w:val="left"/>
              <w:rPr/>
            </w:pPr>
            <w:r>
              <w:rPr/>
              <w:t> </w:t>
            </w:r>
            <w:bookmarkStart w:id="2479" w:name="xdx_406_eus-gaap--GainsLossesOnExtinguis"/>
            <w:bookmarkEnd w:id="2479"/>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0" w:type="dxa"/>
            <w:tcBorders/>
            <w:shd w:fill="FFFFFF" w:val="clear"/>
            <w:vAlign w:val="center"/>
          </w:tcPr>
          <w:p>
            <w:pPr>
              <w:pStyle w:val="TableContents"/>
              <w:bidi w:val="0"/>
              <w:spacing w:before="0" w:after="283"/>
              <w:jc w:val="left"/>
              <w:rPr/>
            </w:pPr>
            <w:r>
              <w:rPr/>
              <w:t> </w:t>
            </w:r>
            <w:bookmarkStart w:id="2480" w:name="xdx_406_eus-gaap--RepaymentsOfLongTermDe"/>
            <w:bookmarkEnd w:id="248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(8,079,300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81" w:name="xdx_40C_ecustom--ConversionsOfLongTermDe"/>
            <w:bookmarkEnd w:id="2481"/>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82" w:name="xdx_402_ecustom--ChangeInFairValueOfLong"/>
            <w:bookmarkEnd w:id="248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0" w:type="dxa"/>
            <w:tcBorders/>
            <w:shd w:fill="CCEEFF" w:val="clear"/>
            <w:vAlign w:val="center"/>
          </w:tcPr>
          <w:p>
            <w:pPr>
              <w:pStyle w:val="TableContents"/>
              <w:bidi w:val="0"/>
              <w:spacing w:before="0" w:after="283"/>
              <w:jc w:val="left"/>
              <w:rPr/>
            </w:pPr>
            <w:r>
              <w:rPr/>
              <w:t> </w:t>
            </w:r>
            <w:bookmarkStart w:id="2483" w:name="xdx_430_c20250101__20251231_eus-gaap--No"/>
            <w:bookmarkEnd w:id="2483"/>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84" w:name="xdx_980_eus-gaap--LongTermNotesPayable_i"/>
            <w:bookmarkEnd w:id="2484"/>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1,839,433</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85" w:name="xdx_986_ecustom--InterestPayableOnLongTe"/>
            <w:bookmarkEnd w:id="2485"/>
          </w:p>
        </w:tc>
        <w:tc>
          <w:tcPr>
            <w:tcW w:w="15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486" w:name="xdx_8A0_zIfDwbKr8GVb"/>
      <w:bookmarkEnd w:id="2486"/>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w:t>
      </w:r>
      <w:bookmarkStart w:id="2487" w:name="xdx_904_eus-gaap--DebtInstrumentFaceAmou"/>
      <w:bookmarkEnd w:id="2487"/>
      <w:r>
        <w:rPr>
          <w:rFonts w:ascii="Times New Roman;Times;Serif" w:hAnsi="Times New Roman;Times;Serif"/>
          <w:b w:val="false"/>
          <w:i w:val="false"/>
          <w:caps w:val="false"/>
          <w:smallCaps w:val="false"/>
          <w:sz w:val="20"/>
        </w:rPr>
        <w:t>184,000 and received net proceeds of $</w:t>
      </w:r>
      <w:bookmarkStart w:id="2488" w:name="xdx_901_eus-gaap--ProceedsFromIssuanceOf"/>
      <w:bookmarkEnd w:id="2488"/>
      <w:r>
        <w:rPr>
          <w:rFonts w:ascii="Times New Roman;Times;Serif" w:hAnsi="Times New Roman;Times;Serif"/>
          <w:b w:val="false"/>
          <w:i w:val="false"/>
          <w:caps w:val="false"/>
          <w:smallCaps w:val="false"/>
          <w:sz w:val="20"/>
        </w:rPr>
        <w:t>152,000, after an original issue discount of $</w:t>
      </w:r>
      <w:bookmarkStart w:id="2489" w:name="xdx_905_eus-gaap--DebtInstrumentUnamorti"/>
      <w:bookmarkEnd w:id="2489"/>
      <w:r>
        <w:rPr>
          <w:rFonts w:ascii="Times New Roman;Times;Serif" w:hAnsi="Times New Roman;Times;Serif"/>
          <w:b w:val="false"/>
          <w:i w:val="false"/>
          <w:caps w:val="false"/>
          <w:smallCaps w:val="false"/>
          <w:sz w:val="20"/>
        </w:rPr>
        <w:t>24,000 and issuance costs of $</w:t>
      </w:r>
      <w:bookmarkStart w:id="2490" w:name="xdx_90A_ecustom--DebtInstrumentUnamortiz"/>
      <w:bookmarkEnd w:id="2490"/>
      <w:r>
        <w:rPr>
          <w:rFonts w:ascii="Times New Roman;Times;Serif" w:hAnsi="Times New Roman;Times;Serif"/>
          <w:b w:val="false"/>
          <w:i w:val="false"/>
          <w:caps w:val="false"/>
          <w:smallCaps w:val="false"/>
          <w:sz w:val="20"/>
        </w:rPr>
        <w:t xml:space="preserve">8,000 for due diligence and legal fees. The August 1800 Diagonal Note has a maturity date of </w:t>
      </w:r>
      <w:bookmarkStart w:id="2491" w:name="xdx_909_eus-gaap--DebtInstrumentMaturity"/>
      <w:bookmarkEnd w:id="2491"/>
      <w:r>
        <w:rPr>
          <w:rFonts w:ascii="Times New Roman;Times;Serif" w:hAnsi="Times New Roman;Times;Serif"/>
          <w:b w:val="false"/>
          <w:i w:val="false"/>
          <w:caps w:val="false"/>
          <w:smallCaps w:val="false"/>
          <w:sz w:val="20"/>
        </w:rPr>
        <w:t xml:space="preserve">June 15, 2025 and bears interest at </w:t>
      </w:r>
      <w:bookmarkStart w:id="2492" w:name="xdx_90B_eus-gaap--DebtInstrumentInterest"/>
      <w:bookmarkEnd w:id="2492"/>
      <w:r>
        <w:rPr>
          <w:rFonts w:ascii="Times New Roman;Times;Serif" w:hAnsi="Times New Roman;Times;Serif"/>
          <w:b w:val="false"/>
          <w:i w:val="false"/>
          <w:caps w:val="false"/>
          <w:smallCaps w:val="false"/>
          <w:sz w:val="20"/>
        </w:rPr>
        <w:t>12% per annum. The August Securities Purchase Agreement stipulates that the Company and Lender may mutually agree to enter into additional tranches of promissory notes over the 12 month period commencing on August 16, 2024, up to an aggregate total of $</w:t>
      </w:r>
      <w:bookmarkStart w:id="2493" w:name="xdx_905_eus-gaap--DebtInstrumentFaceAmou"/>
      <w:bookmarkEnd w:id="2493"/>
      <w:r>
        <w:rPr>
          <w:rFonts w:ascii="Times New Roman;Times;Serif" w:hAnsi="Times New Roman;Times;Serif"/>
          <w:b w:val="false"/>
          <w:i w:val="false"/>
          <w:caps w:val="false"/>
          <w:smallCaps w:val="false"/>
          <w:sz w:val="20"/>
        </w:rPr>
        <w:t>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w:t>
      </w:r>
      <w:bookmarkStart w:id="2494" w:name="xdx_908_eus-gaap--DebtInstrumentFaceAmou"/>
      <w:bookmarkEnd w:id="2494"/>
      <w:r>
        <w:rPr>
          <w:rFonts w:ascii="Times New Roman;Times;Serif" w:hAnsi="Times New Roman;Times;Serif"/>
          <w:b w:val="false"/>
          <w:i w:val="false"/>
          <w:caps w:val="false"/>
          <w:smallCaps w:val="false"/>
          <w:sz w:val="20"/>
        </w:rPr>
        <w:t>124,200 and received net proceeds of $</w:t>
      </w:r>
      <w:bookmarkStart w:id="2495" w:name="xdx_90D_eus-gaap--ProceedsFromIssuanceOf"/>
      <w:bookmarkEnd w:id="2495"/>
      <w:r>
        <w:rPr>
          <w:rFonts w:ascii="Times New Roman;Times;Serif" w:hAnsi="Times New Roman;Times;Serif"/>
          <w:b w:val="false"/>
          <w:i w:val="false"/>
          <w:caps w:val="false"/>
          <w:smallCaps w:val="false"/>
          <w:sz w:val="20"/>
        </w:rPr>
        <w:t>100,000, after an original discount of $</w:t>
      </w:r>
      <w:bookmarkStart w:id="2496" w:name="xdx_901_eus-gaap--DebtInstrumentUnamorti"/>
      <w:bookmarkEnd w:id="2496"/>
      <w:r>
        <w:rPr>
          <w:rFonts w:ascii="Times New Roman;Times;Serif" w:hAnsi="Times New Roman;Times;Serif"/>
          <w:b w:val="false"/>
          <w:i w:val="false"/>
          <w:caps w:val="false"/>
          <w:smallCaps w:val="false"/>
          <w:sz w:val="20"/>
        </w:rPr>
        <w:t>16,200 and issuance costs of $</w:t>
      </w:r>
      <w:bookmarkStart w:id="2497" w:name="xdx_903_ecustom--DebtInstrumentUnamortiz"/>
      <w:bookmarkEnd w:id="2497"/>
      <w:r>
        <w:rPr>
          <w:rFonts w:ascii="Times New Roman;Times;Serif" w:hAnsi="Times New Roman;Times;Serif"/>
          <w:b w:val="false"/>
          <w:i w:val="false"/>
          <w:caps w:val="false"/>
          <w:smallCaps w:val="false"/>
          <w:sz w:val="20"/>
        </w:rPr>
        <w:t xml:space="preserve">8,000 for due diligence and legal fees. The September 1800 Diagonal Note has a maturity date of </w:t>
      </w:r>
      <w:bookmarkStart w:id="2498" w:name="xdx_902_eus-gaap--DebtInstrumentMaturity"/>
      <w:bookmarkEnd w:id="2498"/>
      <w:r>
        <w:rPr>
          <w:rFonts w:ascii="Times New Roman;Times;Serif" w:hAnsi="Times New Roman;Times;Serif"/>
          <w:b w:val="false"/>
          <w:i w:val="false"/>
          <w:caps w:val="false"/>
          <w:smallCaps w:val="false"/>
          <w:sz w:val="20"/>
        </w:rPr>
        <w:t xml:space="preserve">July 30, 2025 and bears interest at </w:t>
      </w:r>
      <w:bookmarkStart w:id="2499" w:name="xdx_90E_eus-gaap--DebtInstrumentInterest"/>
      <w:bookmarkEnd w:id="2499"/>
      <w:r>
        <w:rPr>
          <w:rFonts w:ascii="Times New Roman;Times;Serif" w:hAnsi="Times New Roman;Times;Serif"/>
          <w:b w:val="false"/>
          <w:i w:val="false"/>
          <w:caps w:val="false"/>
          <w:smallCaps w:val="false"/>
          <w:sz w:val="20"/>
        </w:rPr>
        <w:t>12% per annum. On July 23, 2025, the Company exercised its conversion option under the September 1800 Diagonal Note. On the conversion date, the September 1800 Diagonal Note had a fair value of $</w:t>
      </w:r>
      <w:bookmarkStart w:id="2500" w:name="xdx_904_eus-gaap--DebtInstrumentFairValu"/>
      <w:bookmarkEnd w:id="2500"/>
      <w:r>
        <w:rPr>
          <w:rFonts w:ascii="Times New Roman;Times;Serif" w:hAnsi="Times New Roman;Times;Serif"/>
          <w:b w:val="false"/>
          <w:i w:val="false"/>
          <w:caps w:val="false"/>
          <w:smallCaps w:val="false"/>
          <w:sz w:val="20"/>
        </w:rPr>
        <w:t xml:space="preserve">17,000 and converted into </w:t>
      </w:r>
      <w:bookmarkStart w:id="2501" w:name="xdx_905_eus-gaap--ConversionOfStockShare"/>
      <w:bookmarkEnd w:id="2501"/>
      <w:r>
        <w:rPr>
          <w:rFonts w:ascii="Times New Roman;Times;Serif" w:hAnsi="Times New Roman;Times;Serif"/>
          <w:b w:val="false"/>
          <w:i w:val="false"/>
          <w:caps w:val="false"/>
          <w:smallCaps w:val="false"/>
          <w:sz w:val="20"/>
        </w:rPr>
        <w:t>352 shares of the Company’s Class A Common Stock in satisfaction of $</w:t>
      </w:r>
      <w:bookmarkStart w:id="2502" w:name="xdx_900_eus-gaap--ConversionOfStockAmoun"/>
      <w:bookmarkEnd w:id="2502"/>
      <w:r>
        <w:rPr>
          <w:rFonts w:ascii="Times New Roman;Times;Serif" w:hAnsi="Times New Roman;Times;Serif"/>
          <w:b w:val="false"/>
          <w:i w:val="false"/>
          <w:caps w:val="false"/>
          <w:smallCaps w:val="false"/>
          <w:sz w:val="20"/>
        </w:rPr>
        <w:t>17,388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w:t>
      </w:r>
      <w:bookmarkStart w:id="2503" w:name="xdx_903_eus-gaap--DebtInstrumentFaceAmou"/>
      <w:bookmarkEnd w:id="2503"/>
      <w:r>
        <w:rPr>
          <w:rFonts w:ascii="Times New Roman;Times;Serif" w:hAnsi="Times New Roman;Times;Serif"/>
          <w:b w:val="false"/>
          <w:i w:val="false"/>
          <w:caps w:val="false"/>
          <w:smallCaps w:val="false"/>
          <w:sz w:val="20"/>
        </w:rPr>
        <w:t>124,200 and received net proceeds of $</w:t>
      </w:r>
      <w:bookmarkStart w:id="2504" w:name="xdx_90D_eus-gaap--ProceedsFromIssuanceOf"/>
      <w:bookmarkEnd w:id="2504"/>
      <w:r>
        <w:rPr>
          <w:rFonts w:ascii="Times New Roman;Times;Serif" w:hAnsi="Times New Roman;Times;Serif"/>
          <w:b w:val="false"/>
          <w:i w:val="false"/>
          <w:caps w:val="false"/>
          <w:smallCaps w:val="false"/>
          <w:sz w:val="20"/>
        </w:rPr>
        <w:t>100,000, after an original discount of $</w:t>
      </w:r>
      <w:bookmarkStart w:id="2505" w:name="xdx_902_eus-gaap--DebtInstrumentUnamorti"/>
      <w:bookmarkEnd w:id="2505"/>
      <w:r>
        <w:rPr>
          <w:rFonts w:ascii="Times New Roman;Times;Serif" w:hAnsi="Times New Roman;Times;Serif"/>
          <w:b w:val="false"/>
          <w:i w:val="false"/>
          <w:caps w:val="false"/>
          <w:smallCaps w:val="false"/>
          <w:sz w:val="20"/>
        </w:rPr>
        <w:t>16,200 and issuance costs of $</w:t>
      </w:r>
      <w:bookmarkStart w:id="2506" w:name="xdx_904_ecustom--DebtInstrumentUnamortiz"/>
      <w:bookmarkEnd w:id="2506"/>
      <w:r>
        <w:rPr>
          <w:rFonts w:ascii="Times New Roman;Times;Serif" w:hAnsi="Times New Roman;Times;Serif"/>
          <w:b w:val="false"/>
          <w:i w:val="false"/>
          <w:caps w:val="false"/>
          <w:smallCaps w:val="false"/>
          <w:sz w:val="20"/>
        </w:rPr>
        <w:t xml:space="preserve">8,000 for due diligence and legal fees. The December 1800 Diagonal Note has a maturity date of </w:t>
      </w:r>
      <w:bookmarkStart w:id="2507" w:name="xdx_905_eus-gaap--DebtInstrumentMaturity"/>
      <w:bookmarkEnd w:id="2507"/>
      <w:r>
        <w:rPr>
          <w:rFonts w:ascii="Times New Roman;Times;Serif" w:hAnsi="Times New Roman;Times;Serif"/>
          <w:b w:val="false"/>
          <w:i w:val="false"/>
          <w:caps w:val="false"/>
          <w:smallCaps w:val="false"/>
          <w:sz w:val="20"/>
        </w:rPr>
        <w:t xml:space="preserve">October 15, 2025 and bears interest at </w:t>
      </w:r>
      <w:bookmarkStart w:id="2508" w:name="xdx_901_eus-gaap--DebtInstrumentInterest"/>
      <w:bookmarkEnd w:id="2508"/>
      <w:r>
        <w:rPr>
          <w:rFonts w:ascii="Times New Roman;Times;Serif" w:hAnsi="Times New Roman;Times;Serif"/>
          <w:b w:val="false"/>
          <w:i w:val="false"/>
          <w:caps w:val="false"/>
          <w:smallCaps w:val="false"/>
          <w:sz w:val="20"/>
        </w:rPr>
        <w:t>12% per annum. On July 22, 2025, the Company exercised its conversion option under the December 1800 Diagonal Note. On the conversion date, the December 1800 Diagonal Note had a fair value of $</w:t>
      </w:r>
      <w:bookmarkStart w:id="2509" w:name="xdx_904_eus-gaap--DebtInstrumentFairValu"/>
      <w:bookmarkEnd w:id="2509"/>
      <w:r>
        <w:rPr>
          <w:rFonts w:ascii="Times New Roman;Times;Serif" w:hAnsi="Times New Roman;Times;Serif"/>
          <w:b w:val="false"/>
          <w:i w:val="false"/>
          <w:caps w:val="false"/>
          <w:smallCaps w:val="false"/>
          <w:sz w:val="20"/>
        </w:rPr>
        <w:t xml:space="preserve">58,000 and converted into </w:t>
      </w:r>
      <w:bookmarkStart w:id="2510" w:name="xdx_90B_eus-gaap--ConversionOfStockShare"/>
      <w:bookmarkEnd w:id="2510"/>
      <w:r>
        <w:rPr>
          <w:rFonts w:ascii="Times New Roman;Times;Serif" w:hAnsi="Times New Roman;Times;Serif"/>
          <w:b w:val="false"/>
          <w:i w:val="false"/>
          <w:caps w:val="false"/>
          <w:smallCaps w:val="false"/>
          <w:sz w:val="20"/>
        </w:rPr>
        <w:t>999 shares of the Company’s Class A Common Stock in satisfaction of $</w:t>
      </w:r>
      <w:bookmarkStart w:id="2511" w:name="xdx_90C_eus-gaap--ConversionOfStockAmoun"/>
      <w:bookmarkEnd w:id="2511"/>
      <w:r>
        <w:rPr>
          <w:rFonts w:ascii="Times New Roman;Times;Serif" w:hAnsi="Times New Roman;Times;Serif"/>
          <w:b w:val="false"/>
          <w:i w:val="false"/>
          <w:caps w:val="false"/>
          <w:smallCaps w:val="false"/>
          <w:sz w:val="20"/>
        </w:rPr>
        <w:t>52,164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w:t>
      </w:r>
      <w:bookmarkStart w:id="2512" w:name="xdx_906_eus-gaap--DebtInstrumentFaceAmou"/>
      <w:bookmarkEnd w:id="2512"/>
      <w:r>
        <w:rPr>
          <w:rFonts w:ascii="Times New Roman;Times;Serif" w:hAnsi="Times New Roman;Times;Serif"/>
          <w:b w:val="false"/>
          <w:i w:val="false"/>
          <w:caps w:val="false"/>
          <w:smallCaps w:val="false"/>
          <w:sz w:val="20"/>
        </w:rPr>
        <w:t>124,200 and received net proceeds of $</w:t>
      </w:r>
      <w:bookmarkStart w:id="2513" w:name="xdx_906_eus-gaap--ProceedsFromIssuanceOf"/>
      <w:bookmarkEnd w:id="2513"/>
      <w:r>
        <w:rPr>
          <w:rFonts w:ascii="Times New Roman;Times;Serif" w:hAnsi="Times New Roman;Times;Serif"/>
          <w:b w:val="false"/>
          <w:i w:val="false"/>
          <w:caps w:val="false"/>
          <w:smallCaps w:val="false"/>
          <w:sz w:val="20"/>
        </w:rPr>
        <w:t>100,000, after an original discount of $</w:t>
      </w:r>
      <w:bookmarkStart w:id="2514" w:name="xdx_90B_eus-gaap--DebtInstrumentUnamorti"/>
      <w:bookmarkEnd w:id="2514"/>
      <w:r>
        <w:rPr>
          <w:rFonts w:ascii="Times New Roman;Times;Serif" w:hAnsi="Times New Roman;Times;Serif"/>
          <w:b w:val="false"/>
          <w:i w:val="false"/>
          <w:caps w:val="false"/>
          <w:smallCaps w:val="false"/>
          <w:sz w:val="20"/>
        </w:rPr>
        <w:t>16,200 and issuance costs of $</w:t>
      </w:r>
      <w:bookmarkStart w:id="2515" w:name="xdx_90C_ecustom--DebtInstrumentUnamortiz"/>
      <w:bookmarkEnd w:id="2515"/>
      <w:r>
        <w:rPr>
          <w:rFonts w:ascii="Times New Roman;Times;Serif" w:hAnsi="Times New Roman;Times;Serif"/>
          <w:b w:val="false"/>
          <w:i w:val="false"/>
          <w:caps w:val="false"/>
          <w:smallCaps w:val="false"/>
          <w:sz w:val="20"/>
        </w:rPr>
        <w:t xml:space="preserve">8,000 for due diligence and legal fees. The February 1800 Diagonal Note has a maturity date of </w:t>
      </w:r>
      <w:bookmarkStart w:id="2516" w:name="xdx_906_eus-gaap--DebtInstrumentMaturity"/>
      <w:bookmarkEnd w:id="2516"/>
      <w:r>
        <w:rPr>
          <w:rFonts w:ascii="Times New Roman;Times;Serif" w:hAnsi="Times New Roman;Times;Serif"/>
          <w:b w:val="false"/>
          <w:i w:val="false"/>
          <w:caps w:val="false"/>
          <w:smallCaps w:val="false"/>
          <w:sz w:val="20"/>
        </w:rPr>
        <w:t xml:space="preserve">December 15, 2025 and bears interest at </w:t>
      </w:r>
      <w:bookmarkStart w:id="2517" w:name="xdx_904_eus-gaap--DebtInstrumentInterest"/>
      <w:bookmarkEnd w:id="2517"/>
      <w:r>
        <w:rPr>
          <w:rFonts w:ascii="Times New Roman;Times;Serif" w:hAnsi="Times New Roman;Times;Serif"/>
          <w:b w:val="false"/>
          <w:i w:val="false"/>
          <w:caps w:val="false"/>
          <w:smallCaps w:val="false"/>
          <w:sz w:val="20"/>
        </w:rPr>
        <w:t>12% per annum. On August 11, 2025, the Company exercised its conversion option under the February 1800 Diagonal Note. On the conversion date, the February 1800 Diagonal Note had a fair value of $</w:t>
      </w:r>
      <w:bookmarkStart w:id="2518" w:name="xdx_90F_eus-gaap--DebtInstrumentFairValu"/>
      <w:bookmarkEnd w:id="2518"/>
      <w:r>
        <w:rPr>
          <w:rFonts w:ascii="Times New Roman;Times;Serif" w:hAnsi="Times New Roman;Times;Serif"/>
          <w:b w:val="false"/>
          <w:i w:val="false"/>
          <w:caps w:val="false"/>
          <w:smallCaps w:val="false"/>
          <w:sz w:val="20"/>
        </w:rPr>
        <w:t xml:space="preserve">80,700 and converted into </w:t>
      </w:r>
      <w:bookmarkStart w:id="2519" w:name="xdx_900_eus-gaap--ConversionOfStockShare"/>
      <w:bookmarkEnd w:id="2519"/>
      <w:r>
        <w:rPr>
          <w:rFonts w:ascii="Times New Roman;Times;Serif" w:hAnsi="Times New Roman;Times;Serif"/>
          <w:b w:val="false"/>
          <w:i w:val="false"/>
          <w:caps w:val="false"/>
          <w:smallCaps w:val="false"/>
          <w:sz w:val="20"/>
        </w:rPr>
        <w:t>1,639 shares of the Company’s Class A Common Stock in satisfaction of $</w:t>
      </w:r>
      <w:bookmarkStart w:id="2520" w:name="xdx_90C_eus-gaap--ConversionOfStockAmoun"/>
      <w:bookmarkEnd w:id="2520"/>
      <w:r>
        <w:rPr>
          <w:rFonts w:ascii="Times New Roman;Times;Serif" w:hAnsi="Times New Roman;Times;Serif"/>
          <w:b w:val="false"/>
          <w:i w:val="false"/>
          <w:caps w:val="false"/>
          <w:smallCaps w:val="false"/>
          <w:sz w:val="20"/>
        </w:rPr>
        <w:t>69,552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w:t>
      </w:r>
      <w:bookmarkStart w:id="2521" w:name="xdx_90C_eus-gaap--DebtInstrumentFaceAmou"/>
      <w:bookmarkEnd w:id="2521"/>
      <w:r>
        <w:rPr>
          <w:rFonts w:ascii="Times New Roman;Times;Serif" w:hAnsi="Times New Roman;Times;Serif"/>
          <w:b w:val="false"/>
          <w:i w:val="false"/>
          <w:caps w:val="false"/>
          <w:smallCaps w:val="false"/>
          <w:sz w:val="20"/>
        </w:rPr>
        <w:t>230,000 and received net proceeds of $</w:t>
      </w:r>
      <w:bookmarkStart w:id="2522" w:name="xdx_905_eus-gaap--ProceedsFromIssuanceOf"/>
      <w:bookmarkEnd w:id="2522"/>
      <w:r>
        <w:rPr>
          <w:rFonts w:ascii="Times New Roman;Times;Serif" w:hAnsi="Times New Roman;Times;Serif"/>
          <w:b w:val="false"/>
          <w:i w:val="false"/>
          <w:caps w:val="false"/>
          <w:smallCaps w:val="false"/>
          <w:sz w:val="20"/>
        </w:rPr>
        <w:t>192,000, after an original discount of $</w:t>
      </w:r>
      <w:bookmarkStart w:id="2523" w:name="xdx_902_eus-gaap--DebtInstrumentUnamorti"/>
      <w:bookmarkEnd w:id="2523"/>
      <w:r>
        <w:rPr>
          <w:rFonts w:ascii="Times New Roman;Times;Serif" w:hAnsi="Times New Roman;Times;Serif"/>
          <w:b w:val="false"/>
          <w:i w:val="false"/>
          <w:caps w:val="false"/>
          <w:smallCaps w:val="false"/>
          <w:sz w:val="20"/>
        </w:rPr>
        <w:t>30,000 and issuance costs of $</w:t>
      </w:r>
      <w:bookmarkStart w:id="2524" w:name="xdx_904_ecustom--DebtInstrumentUnamortiz"/>
      <w:bookmarkEnd w:id="2524"/>
      <w:r>
        <w:rPr>
          <w:rFonts w:ascii="Times New Roman;Times;Serif" w:hAnsi="Times New Roman;Times;Serif"/>
          <w:b w:val="false"/>
          <w:i w:val="false"/>
          <w:caps w:val="false"/>
          <w:smallCaps w:val="false"/>
          <w:sz w:val="20"/>
        </w:rPr>
        <w:t xml:space="preserve">8,000 for due diligence and legal fees. The April 1800 Diagonal Note has a maturity date of </w:t>
      </w:r>
      <w:bookmarkStart w:id="2525" w:name="xdx_906_eus-gaap--DebtInstrumentMaturity"/>
      <w:bookmarkEnd w:id="2525"/>
      <w:r>
        <w:rPr>
          <w:rFonts w:ascii="Times New Roman;Times;Serif" w:hAnsi="Times New Roman;Times;Serif"/>
          <w:b w:val="false"/>
          <w:i w:val="false"/>
          <w:caps w:val="false"/>
          <w:smallCaps w:val="false"/>
          <w:sz w:val="20"/>
        </w:rPr>
        <w:t xml:space="preserve">February 15, 2026 and bears interest at </w:t>
      </w:r>
      <w:bookmarkStart w:id="2526" w:name="xdx_90A_eus-gaap--DebtInstrumentInterest"/>
      <w:bookmarkEnd w:id="2526"/>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21, 2025 and October 27, 2025, the Lender exercised its conversion option multiple times under the April 1800 Diagonal Note and received an aggregate of </w:t>
      </w:r>
      <w:bookmarkStart w:id="2527" w:name="xdx_90E_eus-gaap--StockIssuedDuringPerio"/>
      <w:bookmarkEnd w:id="2527"/>
      <w:r>
        <w:rPr>
          <w:rFonts w:ascii="Times New Roman;Times;Serif" w:hAnsi="Times New Roman;Times;Serif"/>
          <w:b w:val="false"/>
          <w:i w:val="false"/>
          <w:caps w:val="false"/>
          <w:smallCaps w:val="false"/>
          <w:sz w:val="20"/>
        </w:rPr>
        <w:t>7,015 shares of Class A Common Stock at conversion prices per share ranging from $</w:t>
      </w:r>
      <w:bookmarkStart w:id="2528" w:name="xdx_902_eus-gaap--SharesIssuedPricePerSh"/>
      <w:bookmarkEnd w:id="2528"/>
      <w:r>
        <w:rPr>
          <w:rFonts w:ascii="Times New Roman;Times;Serif" w:hAnsi="Times New Roman;Times;Serif"/>
          <w:b w:val="false"/>
          <w:i w:val="false"/>
          <w:caps w:val="false"/>
          <w:smallCaps w:val="false"/>
          <w:sz w:val="20"/>
        </w:rPr>
        <w:t>33.80 to $</w:t>
      </w:r>
      <w:bookmarkStart w:id="2529" w:name="xdx_907_eus-gaap--SharesIssuedPricePerSh"/>
      <w:bookmarkEnd w:id="2529"/>
      <w:r>
        <w:rPr>
          <w:rFonts w:ascii="Times New Roman;Times;Serif" w:hAnsi="Times New Roman;Times;Serif"/>
          <w:b w:val="false"/>
          <w:i w:val="false"/>
          <w:caps w:val="false"/>
          <w:smallCaps w:val="false"/>
          <w:sz w:val="20"/>
        </w:rPr>
        <w:t>41.20 in full satisfaction of the Company’s remaining obligations under the April 1800 Diagonal Note totaling $</w:t>
      </w:r>
      <w:bookmarkStart w:id="2530" w:name="xdx_90E_eus-gaap--ConversionOfStockAmoun"/>
      <w:bookmarkEnd w:id="2530"/>
      <w:r>
        <w:rPr>
          <w:rFonts w:ascii="Times New Roman;Times;Serif" w:hAnsi="Times New Roman;Times;Serif"/>
          <w:b w:val="false"/>
          <w:i w:val="false"/>
          <w:caps w:val="false"/>
          <w:smallCaps w:val="false"/>
          <w:sz w:val="20"/>
        </w:rPr>
        <w:t>265,100.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w:t>
      </w:r>
      <w:bookmarkStart w:id="2531" w:name="xdx_90C_eus-gaap--DebtInstrumentFaceAmou"/>
      <w:bookmarkEnd w:id="2531"/>
      <w:r>
        <w:rPr>
          <w:rFonts w:ascii="Times New Roman;Times;Serif" w:hAnsi="Times New Roman;Times;Serif"/>
          <w:b w:val="false"/>
          <w:i w:val="false"/>
          <w:caps w:val="false"/>
          <w:smallCaps w:val="false"/>
          <w:sz w:val="20"/>
        </w:rPr>
        <w:t>163,300 and received net proceeds of $</w:t>
      </w:r>
      <w:bookmarkStart w:id="2532" w:name="xdx_904_eus-gaap--ProceedsFromIssuanceOf"/>
      <w:bookmarkEnd w:id="2532"/>
      <w:r>
        <w:rPr>
          <w:rFonts w:ascii="Times New Roman;Times;Serif" w:hAnsi="Times New Roman;Times;Serif"/>
          <w:b w:val="false"/>
          <w:i w:val="false"/>
          <w:caps w:val="false"/>
          <w:smallCaps w:val="false"/>
          <w:sz w:val="20"/>
        </w:rPr>
        <w:t>135,000, after an original discount of $</w:t>
      </w:r>
      <w:bookmarkStart w:id="2533" w:name="xdx_907_eus-gaap--DebtInstrumentUnamorti"/>
      <w:bookmarkEnd w:id="2533"/>
      <w:r>
        <w:rPr>
          <w:rFonts w:ascii="Times New Roman;Times;Serif" w:hAnsi="Times New Roman;Times;Serif"/>
          <w:b w:val="false"/>
          <w:i w:val="false"/>
          <w:caps w:val="false"/>
          <w:smallCaps w:val="false"/>
          <w:sz w:val="20"/>
        </w:rPr>
        <w:t>21,300 and issuance costs of $</w:t>
      </w:r>
      <w:bookmarkStart w:id="2534" w:name="xdx_905_ecustom--DebtInstrumentUnamortiz"/>
      <w:bookmarkEnd w:id="2534"/>
      <w:r>
        <w:rPr>
          <w:rFonts w:ascii="Times New Roman;Times;Serif" w:hAnsi="Times New Roman;Times;Serif"/>
          <w:b w:val="false"/>
          <w:i w:val="false"/>
          <w:caps w:val="false"/>
          <w:smallCaps w:val="false"/>
          <w:sz w:val="20"/>
        </w:rPr>
        <w:t xml:space="preserve">7,000 for due diligence and legal fees. The May 1800 Diagonal Note has a maturity date of </w:t>
      </w:r>
      <w:bookmarkStart w:id="2535" w:name="xdx_900_eus-gaap--DebtInstrumentMaturity"/>
      <w:bookmarkEnd w:id="2535"/>
      <w:r>
        <w:rPr>
          <w:rFonts w:ascii="Times New Roman;Times;Serif" w:hAnsi="Times New Roman;Times;Serif"/>
          <w:b w:val="false"/>
          <w:i w:val="false"/>
          <w:caps w:val="false"/>
          <w:smallCaps w:val="false"/>
          <w:sz w:val="20"/>
        </w:rPr>
        <w:t xml:space="preserve">February 15, 2026 and bears interest at </w:t>
      </w:r>
      <w:bookmarkStart w:id="2536" w:name="xdx_90C_eus-gaap--DebtInstrumentInterest"/>
      <w:bookmarkEnd w:id="2536"/>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w:t>
      </w:r>
      <w:bookmarkStart w:id="2537" w:name="xdx_90F_eus-gaap--DebtInstrumentFaceAmou"/>
      <w:bookmarkEnd w:id="2537"/>
      <w:r>
        <w:rPr>
          <w:rFonts w:ascii="Times New Roman;Times;Serif" w:hAnsi="Times New Roman;Times;Serif"/>
          <w:b w:val="false"/>
          <w:i w:val="false"/>
          <w:caps w:val="false"/>
          <w:smallCaps w:val="false"/>
          <w:sz w:val="20"/>
        </w:rPr>
        <w:t>295,550 and received net proceeds of $</w:t>
      </w:r>
      <w:bookmarkStart w:id="2538" w:name="xdx_90C_eus-gaap--ProceedsFromIssuanceOf"/>
      <w:bookmarkEnd w:id="2538"/>
      <w:r>
        <w:rPr>
          <w:rFonts w:ascii="Times New Roman;Times;Serif" w:hAnsi="Times New Roman;Times;Serif"/>
          <w:b w:val="false"/>
          <w:i w:val="false"/>
          <w:caps w:val="false"/>
          <w:smallCaps w:val="false"/>
          <w:sz w:val="20"/>
        </w:rPr>
        <w:t>250,000, after an original discount of $</w:t>
      </w:r>
      <w:bookmarkStart w:id="2539" w:name="xdx_90E_eus-gaap--DebtInstrumentUnamorti"/>
      <w:bookmarkEnd w:id="2539"/>
      <w:r>
        <w:rPr>
          <w:rFonts w:ascii="Times New Roman;Times;Serif" w:hAnsi="Times New Roman;Times;Serif"/>
          <w:b w:val="false"/>
          <w:i w:val="false"/>
          <w:caps w:val="false"/>
          <w:smallCaps w:val="false"/>
          <w:sz w:val="20"/>
        </w:rPr>
        <w:t>38,550 and issuance costs of $</w:t>
      </w:r>
      <w:bookmarkStart w:id="2540" w:name="xdx_903_ecustom--DebtInstrumentUnamortiz"/>
      <w:bookmarkEnd w:id="2540"/>
      <w:r>
        <w:rPr>
          <w:rFonts w:ascii="Times New Roman;Times;Serif" w:hAnsi="Times New Roman;Times;Serif"/>
          <w:b w:val="false"/>
          <w:i w:val="false"/>
          <w:caps w:val="false"/>
          <w:smallCaps w:val="false"/>
          <w:sz w:val="20"/>
        </w:rPr>
        <w:t xml:space="preserve">7,000 for due diligence and legal fees. The July 1800 Diagonal Note has a maturity date of </w:t>
      </w:r>
      <w:bookmarkStart w:id="2541" w:name="xdx_904_eus-gaap--DebtInstrumentMaturity"/>
      <w:bookmarkEnd w:id="2541"/>
      <w:r>
        <w:rPr>
          <w:rFonts w:ascii="Times New Roman;Times;Serif" w:hAnsi="Times New Roman;Times;Serif"/>
          <w:b w:val="false"/>
          <w:i w:val="false"/>
          <w:caps w:val="false"/>
          <w:smallCaps w:val="false"/>
          <w:sz w:val="20"/>
        </w:rPr>
        <w:t xml:space="preserve">May 30, 2026 and bears interest at </w:t>
      </w:r>
      <w:bookmarkStart w:id="2542" w:name="xdx_902_eus-gaap--DebtInstrumentInterest"/>
      <w:bookmarkEnd w:id="2542"/>
      <w:r>
        <w:rPr>
          <w:rFonts w:ascii="Times New Roman;Times;Serif" w:hAnsi="Times New Roman;Times;Serif"/>
          <w:b w:val="false"/>
          <w:i w:val="false"/>
          <w:caps w:val="false"/>
          <w:smallCaps w:val="false"/>
          <w:sz w:val="20"/>
        </w:rPr>
        <w:t>12% per annum.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w:t>
      </w:r>
      <w:bookmarkStart w:id="2543" w:name="xdx_90A_eus-gaap--DebtInstrumentFaceAmou"/>
      <w:bookmarkEnd w:id="2543"/>
      <w:r>
        <w:rPr>
          <w:rFonts w:ascii="Times New Roman;Times;Serif" w:hAnsi="Times New Roman;Times;Serif"/>
          <w:b w:val="false"/>
          <w:i w:val="false"/>
          <w:caps w:val="false"/>
          <w:smallCaps w:val="false"/>
          <w:sz w:val="20"/>
        </w:rPr>
        <w:t>151,800 and received net proceeds of $</w:t>
      </w:r>
      <w:bookmarkStart w:id="2544" w:name="xdx_908_eus-gaap--ProceedsFromIssuanceOf"/>
      <w:bookmarkEnd w:id="2544"/>
      <w:r>
        <w:rPr>
          <w:rFonts w:ascii="Times New Roman;Times;Serif" w:hAnsi="Times New Roman;Times;Serif"/>
          <w:b w:val="false"/>
          <w:i w:val="false"/>
          <w:caps w:val="false"/>
          <w:smallCaps w:val="false"/>
          <w:sz w:val="20"/>
        </w:rPr>
        <w:t>125,000, after an original discount of $</w:t>
      </w:r>
      <w:bookmarkStart w:id="2545" w:name="xdx_902_eus-gaap--DebtInstrumentUnamorti"/>
      <w:bookmarkEnd w:id="2545"/>
      <w:r>
        <w:rPr>
          <w:rFonts w:ascii="Times New Roman;Times;Serif" w:hAnsi="Times New Roman;Times;Serif"/>
          <w:b w:val="false"/>
          <w:i w:val="false"/>
          <w:caps w:val="false"/>
          <w:smallCaps w:val="false"/>
          <w:sz w:val="20"/>
        </w:rPr>
        <w:t>19,800 and issuance costs of $</w:t>
      </w:r>
      <w:bookmarkStart w:id="2546" w:name="xdx_906_ecustom--DebtInstrumentUnamortiz"/>
      <w:bookmarkEnd w:id="2546"/>
      <w:r>
        <w:rPr>
          <w:rFonts w:ascii="Times New Roman;Times;Serif" w:hAnsi="Times New Roman;Times;Serif"/>
          <w:b w:val="false"/>
          <w:i w:val="false"/>
          <w:caps w:val="false"/>
          <w:smallCaps w:val="false"/>
          <w:sz w:val="20"/>
        </w:rPr>
        <w:t xml:space="preserve">7,000 for due diligence and legal fees. The September 2025 1800 Diagonal Note has a maturity date of </w:t>
      </w:r>
      <w:bookmarkStart w:id="2547" w:name="xdx_90E_eus-gaap--DebtInstrumentMaturity"/>
      <w:bookmarkEnd w:id="2547"/>
      <w:r>
        <w:rPr>
          <w:rFonts w:ascii="Times New Roman;Times;Serif" w:hAnsi="Times New Roman;Times;Serif"/>
          <w:b w:val="false"/>
          <w:i w:val="false"/>
          <w:caps w:val="false"/>
          <w:smallCaps w:val="false"/>
          <w:sz w:val="20"/>
        </w:rPr>
        <w:t xml:space="preserve">June 15, 2026 and bears interest at </w:t>
      </w:r>
      <w:bookmarkStart w:id="2548" w:name="xdx_90D_eus-gaap--DebtInstrumentInterest"/>
      <w:bookmarkEnd w:id="2548"/>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w:t>
      </w:r>
      <w:bookmarkStart w:id="2549" w:name="xdx_90C_eus-gaap--DebtInstrumentFaceAmou"/>
      <w:bookmarkEnd w:id="2549"/>
      <w:r>
        <w:rPr>
          <w:rFonts w:ascii="Times New Roman;Times;Serif" w:hAnsi="Times New Roman;Times;Serif"/>
          <w:b w:val="false"/>
          <w:i w:val="false"/>
          <w:caps w:val="false"/>
          <w:smallCaps w:val="false"/>
          <w:sz w:val="20"/>
        </w:rPr>
        <w:t>238,050 and received net proceeds of $</w:t>
      </w:r>
      <w:bookmarkStart w:id="2550" w:name="xdx_90A_eus-gaap--ProceedsFromIssuanceOf"/>
      <w:bookmarkEnd w:id="2550"/>
      <w:r>
        <w:rPr>
          <w:rFonts w:ascii="Times New Roman;Times;Serif" w:hAnsi="Times New Roman;Times;Serif"/>
          <w:b w:val="false"/>
          <w:i w:val="false"/>
          <w:caps w:val="false"/>
          <w:smallCaps w:val="false"/>
          <w:sz w:val="20"/>
        </w:rPr>
        <w:t>200,000, after an original discount of $</w:t>
      </w:r>
      <w:bookmarkStart w:id="2551" w:name="xdx_901_eus-gaap--DebtInstrumentUnamorti"/>
      <w:bookmarkEnd w:id="2551"/>
      <w:r>
        <w:rPr>
          <w:rFonts w:ascii="Times New Roman;Times;Serif" w:hAnsi="Times New Roman;Times;Serif"/>
          <w:b w:val="false"/>
          <w:i w:val="false"/>
          <w:caps w:val="false"/>
          <w:smallCaps w:val="false"/>
          <w:sz w:val="20"/>
        </w:rPr>
        <w:t>31,050 and issuance costs of $</w:t>
      </w:r>
      <w:bookmarkStart w:id="2552" w:name="xdx_90B_ecustom--DebtInstrumentUnamortiz"/>
      <w:bookmarkEnd w:id="2552"/>
      <w:r>
        <w:rPr>
          <w:rFonts w:ascii="Times New Roman;Times;Serif" w:hAnsi="Times New Roman;Times;Serif"/>
          <w:b w:val="false"/>
          <w:i w:val="false"/>
          <w:caps w:val="false"/>
          <w:smallCaps w:val="false"/>
          <w:sz w:val="20"/>
        </w:rPr>
        <w:t xml:space="preserve">7,000 for due diligence and legal fees. The November 1800 Diagonal Note has a maturity date of </w:t>
      </w:r>
      <w:bookmarkStart w:id="2553" w:name="xdx_905_eus-gaap--DebtInstrumentMaturity"/>
      <w:bookmarkEnd w:id="2553"/>
      <w:r>
        <w:rPr>
          <w:rFonts w:ascii="Times New Roman;Times;Serif" w:hAnsi="Times New Roman;Times;Serif"/>
          <w:b w:val="false"/>
          <w:i w:val="false"/>
          <w:caps w:val="false"/>
          <w:smallCaps w:val="false"/>
          <w:sz w:val="20"/>
        </w:rPr>
        <w:t xml:space="preserve">July 30, 2026 and bears interest at </w:t>
      </w:r>
      <w:bookmarkStart w:id="2554" w:name="xdx_90B_eus-gaap--DebtInstrumentInterest"/>
      <w:bookmarkEnd w:id="2554"/>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w:t>
      </w:r>
      <w:bookmarkStart w:id="2555" w:name="xdx_90D_ecustom--PercentageOfCommonStock"/>
      <w:bookmarkEnd w:id="2555"/>
      <w:r>
        <w:rPr>
          <w:rFonts w:ascii="Times New Roman;Times;Serif" w:hAnsi="Times New Roman;Times;Serif"/>
          <w:b w:val="false"/>
          <w:i w:val="false"/>
          <w:caps w:val="false"/>
          <w:smallCaps w:val="false"/>
          <w:sz w:val="20"/>
        </w:rPr>
        <w:t xml:space="preserve">4.99% of the Company’s outstanding shares of Common Stock. </w:t>
      </w:r>
      <w:bookmarkStart w:id="2556" w:name="xdx_90C_eus-gaap--DebtInstrumentConverti"/>
      <w:bookmarkEnd w:id="2556"/>
      <w:r>
        <w:rPr>
          <w:rFonts w:ascii="Times New Roman;Times;Serif" w:hAnsi="Times New Roman;Times;Serif"/>
          <w:b w:val="false"/>
          <w:i w:val="false"/>
          <w:caps w:val="false"/>
          <w:smallCaps w:val="false"/>
          <w:sz w:val="20"/>
        </w:rPr>
        <w:t>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w:t>
      </w:r>
      <w:bookmarkStart w:id="2557" w:name="xdx_901_eus-gaap--InterestExpense_c20250"/>
      <w:bookmarkEnd w:id="2557"/>
      <w:r>
        <w:rPr>
          <w:rFonts w:ascii="Times New Roman;Times;Serif" w:hAnsi="Times New Roman;Times;Serif"/>
          <w:b w:val="false"/>
          <w:i w:val="false"/>
          <w:caps w:val="false"/>
          <w:smallCaps w:val="false"/>
          <w:sz w:val="20"/>
        </w:rPr>
        <w:t>306,696 and $</w:t>
      </w:r>
      <w:bookmarkStart w:id="2558" w:name="xdx_90F_eus-gaap--InterestExpense_c20240"/>
      <w:bookmarkEnd w:id="2558"/>
      <w:r>
        <w:rPr>
          <w:rFonts w:ascii="Times New Roman;Times;Serif" w:hAnsi="Times New Roman;Times;Serif"/>
          <w:b w:val="false"/>
          <w:i w:val="false"/>
          <w:caps w:val="false"/>
          <w:smallCaps w:val="false"/>
          <w:sz w:val="20"/>
        </w:rPr>
        <w:t>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59" w:name="xdx_892_eus-gaap--ScheduleOfDebtInstrume"/>
      <w:bookmarkEnd w:id="2559"/>
      <w:r>
        <w:rPr>
          <w:rFonts w:ascii="Times New Roman;Times;Serif" w:hAnsi="Times New Roman;Times;Serif"/>
          <w:b w:val="false"/>
          <w:i w:val="false"/>
          <w:caps w:val="false"/>
          <w:smallCaps w:val="false"/>
          <w:sz w:val="20"/>
        </w:rPr>
        <w:t>The following table presents the 1800 Diagonal Notes year ended December 31, 2025:</w:t>
      </w:r>
    </w:p>
    <w:p>
      <w:pPr>
        <w:pStyle w:val="TextBody"/>
        <w:bidi w:val="0"/>
        <w:spacing w:before="0" w:after="0"/>
        <w:ind w:left="0" w:right="0" w:hanging="0"/>
        <w:jc w:val="both"/>
        <w:rPr>
          <w:caps w:val="false"/>
          <w:smallCaps w:val="false"/>
        </w:rPr>
      </w:pPr>
      <w:r>
        <w:rPr>
          <w:caps w:val="false"/>
          <w:smallCaps w:val="false"/>
        </w:rPr>
        <w:t> </w:t>
      </w:r>
      <w:bookmarkStart w:id="2560" w:name="xdx_8BB_zrc0rWjqDEQc"/>
      <w:bookmarkEnd w:id="2560"/>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561" w:name="xdx_307_134_z0eqY2ElZrl1"/>
      <w:bookmarkStart w:id="2562" w:name="xdx_307_134_z0eqY2ElZrl1"/>
      <w:bookmarkEnd w:id="2562"/>
    </w:p>
    <w:tbl>
      <w:tblPr>
        <w:tblW w:w="6944" w:type="dxa"/>
        <w:jc w:val="left"/>
        <w:tblInd w:w="0" w:type="dxa"/>
        <w:tblLayout w:type="fixed"/>
        <w:tblCellMar>
          <w:top w:w="0" w:type="dxa"/>
          <w:left w:w="0" w:type="dxa"/>
          <w:bottom w:w="0" w:type="dxa"/>
          <w:right w:w="0" w:type="dxa"/>
        </w:tblCellMar>
      </w:tblPr>
      <w:tblGrid>
        <w:gridCol w:w="5300"/>
        <w:gridCol w:w="60"/>
        <w:gridCol w:w="184"/>
        <w:gridCol w:w="1290"/>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563" w:name="xdx_4BF_us-gaap--LongtermDebtTypeAxis_cu"/>
            <w:bookmarkEnd w:id="2563"/>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1800 Diagonal</w:t>
            </w:r>
          </w:p>
        </w:tc>
        <w:tc>
          <w:tcPr>
            <w:tcW w:w="110" w:type="dxa"/>
            <w:tcBorders/>
            <w:vAlign w:val="center"/>
          </w:tcPr>
          <w:p>
            <w:pPr>
              <w:pStyle w:val="TableContents"/>
              <w:bidi w:val="0"/>
              <w:spacing w:before="0" w:after="283"/>
              <w:jc w:val="left"/>
              <w:rPr/>
            </w:pPr>
            <w:r>
              <w:rPr/>
              <w:t> </w:t>
            </w:r>
            <w:bookmarkStart w:id="2564" w:name="xdx_438_c20250101__20251231_eus-gaap--No"/>
            <w:bookmarkEnd w:id="2564"/>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110" w:type="dxa"/>
            <w:tcBorders/>
            <w:shd w:fill="CCEEFF" w:val="clear"/>
            <w:vAlign w:val="center"/>
          </w:tcPr>
          <w:p>
            <w:pPr>
              <w:pStyle w:val="TableContents"/>
              <w:bidi w:val="0"/>
              <w:spacing w:before="0" w:after="283"/>
              <w:jc w:val="left"/>
              <w:rPr/>
            </w:pPr>
            <w:r>
              <w:rPr/>
              <w:t> </w:t>
            </w:r>
            <w:bookmarkStart w:id="2565" w:name="xdx_403_ecustom--IssuanceOfLongTermDebt_"/>
            <w:bookmarkEnd w:id="2565"/>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1,297,200</w:t>
            </w:r>
          </w:p>
        </w:tc>
        <w:tc>
          <w:tcPr>
            <w:tcW w:w="110" w:type="dxa"/>
            <w:tcBorders/>
            <w:shd w:fill="FFFFFF" w:val="clear"/>
            <w:vAlign w:val="center"/>
          </w:tcPr>
          <w:p>
            <w:pPr>
              <w:pStyle w:val="TableContents"/>
              <w:bidi w:val="0"/>
              <w:spacing w:before="0" w:after="283"/>
              <w:jc w:val="left"/>
              <w:rPr/>
            </w:pPr>
            <w:r>
              <w:rPr/>
              <w:t> </w:t>
            </w:r>
            <w:bookmarkStart w:id="2566" w:name="xdx_409_ecustom--GainsLossesOnDebtIssuan"/>
            <w:bookmarkEnd w:id="2566"/>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140,215</w:t>
            </w:r>
          </w:p>
        </w:tc>
        <w:tc>
          <w:tcPr>
            <w:tcW w:w="110" w:type="dxa"/>
            <w:tcBorders/>
            <w:shd w:fill="CCEEFF" w:val="clear"/>
            <w:vAlign w:val="center"/>
          </w:tcPr>
          <w:p>
            <w:pPr>
              <w:pStyle w:val="TableContents"/>
              <w:bidi w:val="0"/>
              <w:spacing w:before="0" w:after="283"/>
              <w:jc w:val="left"/>
              <w:rPr/>
            </w:pPr>
            <w:r>
              <w:rPr/>
              <w:t> </w:t>
            </w:r>
            <w:bookmarkStart w:id="2567" w:name="xdx_409_eus-gaap--RepaymentsOfLongTermDe"/>
            <w:bookmarkEnd w:id="2567"/>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(615,457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68" w:name="xdx_406_ecustom--ChangeInFairValueOfLong"/>
            <w:bookmarkEnd w:id="2568"/>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69" w:name="xdx_407_ecustom--ConversionsOfLongTermDe"/>
            <w:bookmarkEnd w:id="2569"/>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70" w:name="xdx_435_c20250101__20251231_eus-gaap--No"/>
            <w:bookmarkEnd w:id="257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71" w:name="xdx_980_eus-gaap--LongTermNotesPayable_i"/>
            <w:bookmarkEnd w:id="2571"/>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721,938</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72" w:name="xdx_98F_ecustom--InterestPayableOnLongTe"/>
            <w:bookmarkEnd w:id="2572"/>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573" w:name="xdx_8AA_zvBhc3suDfU8"/>
      <w:bookmarkEnd w:id="2573"/>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w:t>
      </w:r>
      <w:bookmarkStart w:id="2574" w:name="xdx_902_eus-gaap--DebtInstrumentFaceAmou"/>
      <w:bookmarkEnd w:id="2574"/>
      <w:r>
        <w:rPr>
          <w:rFonts w:ascii="Times New Roman;Times;Serif" w:hAnsi="Times New Roman;Times;Serif"/>
          <w:b w:val="false"/>
          <w:i w:val="false"/>
          <w:caps w:val="false"/>
          <w:smallCaps w:val="false"/>
          <w:sz w:val="20"/>
        </w:rPr>
        <w:t>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w:t>
      </w:r>
      <w:bookmarkStart w:id="2575" w:name="xdx_901_ecustom--WarrantsIssued_pid_c202"/>
      <w:bookmarkEnd w:id="2575"/>
      <w:r>
        <w:rPr>
          <w:rFonts w:ascii="Times New Roman;Times;Serif" w:hAnsi="Times New Roman;Times;Serif"/>
          <w:b w:val="false"/>
          <w:i w:val="false"/>
          <w:caps w:val="false"/>
          <w:smallCaps w:val="false"/>
          <w:sz w:val="20"/>
        </w:rPr>
        <w:t xml:space="preserve">1,061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bookmarkStart w:id="2576" w:name="xdx_89A_ecustom--ScheduleOfPrivatePlacem"/>
      <w:bookmarkEnd w:id="2576"/>
      <w:r>
        <w:rPr>
          <w:caps w:val="false"/>
          <w:smallCaps w:val="false"/>
        </w:rPr>
        <w:t> </w:t>
      </w:r>
      <w:bookmarkStart w:id="2577" w:name="xdx_8BF_zTVhdXLt3n51"/>
      <w:bookmarkEnd w:id="2577"/>
      <w:r>
        <w:rPr>
          <w:rFonts w:ascii="Times New Roman;Times;Serif" w:hAnsi="Times New Roman;Times;Serif"/>
          <w:b w:val="false"/>
          <w:i w:val="false"/>
          <w:caps w:val="false"/>
          <w:smallCaps w:val="false"/>
          <w:sz w:val="20"/>
        </w:rPr>
        <w:t>Schedule of Private Placement Offering</w:t>
      </w:r>
    </w:p>
    <w:tbl>
      <w:tblPr>
        <w:tblW w:w="11355" w:type="dxa"/>
        <w:jc w:val="left"/>
        <w:tblInd w:w="0" w:type="dxa"/>
        <w:tblLayout w:type="fixed"/>
        <w:tblCellMar>
          <w:top w:w="0" w:type="dxa"/>
          <w:left w:w="0" w:type="dxa"/>
          <w:bottom w:w="0" w:type="dxa"/>
          <w:right w:w="0" w:type="dxa"/>
        </w:tblCellMar>
      </w:tblPr>
      <w:tblGrid>
        <w:gridCol w:w="800"/>
        <w:gridCol w:w="60"/>
        <w:gridCol w:w="1025"/>
        <w:gridCol w:w="60"/>
        <w:gridCol w:w="1025"/>
        <w:gridCol w:w="60"/>
        <w:gridCol w:w="140"/>
        <w:gridCol w:w="980"/>
        <w:gridCol w:w="60"/>
        <w:gridCol w:w="60"/>
        <w:gridCol w:w="140"/>
        <w:gridCol w:w="980"/>
        <w:gridCol w:w="60"/>
        <w:gridCol w:w="60"/>
        <w:gridCol w:w="238"/>
        <w:gridCol w:w="952"/>
        <w:gridCol w:w="60"/>
        <w:gridCol w:w="60"/>
        <w:gridCol w:w="238"/>
        <w:gridCol w:w="952"/>
        <w:gridCol w:w="60"/>
        <w:gridCol w:w="60"/>
        <w:gridCol w:w="1025"/>
        <w:gridCol w:w="60"/>
        <w:gridCol w:w="71"/>
        <w:gridCol w:w="954"/>
        <w:gridCol w:w="60"/>
        <w:gridCol w:w="60"/>
        <w:gridCol w:w="184"/>
        <w:gridCol w:w="736"/>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r>
      <w:tr>
        <w:trPr/>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Maturity Date of the 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bookmarkStart w:id="2578" w:name="xdx_909_eus-gaap--DebtInstrumentMaturity"/>
            <w:bookmarkEnd w:id="2578"/>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79" w:name="xdx_98F_eus-gaap--DebtInstrumentFaceAmou"/>
            <w:bookmarkEnd w:id="257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0" w:name="xdx_985_eus-gaap--ProceedsFromIssuanceOf"/>
            <w:bookmarkEnd w:id="258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1" w:name="xdx_985_eus-gaap--DebtInstrumentConverti"/>
            <w:bookmarkEnd w:id="2581"/>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2" w:name="xdx_98D_ecustom--DebtInstrumentConversio"/>
            <w:bookmarkEnd w:id="2582"/>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Warrant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bookmarkStart w:id="2583" w:name="xdx_98A_ecustom--WarrantsIssued_pid_c202"/>
            <w:bookmarkEnd w:id="2583"/>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4" w:name="xdx_986_eus-gaap--ClassOfWarrantOrRightE"/>
            <w:bookmarkEnd w:id="2584"/>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bookmarkStart w:id="2585" w:name="xdx_90F_eus-gaap--DebtInstrumentMaturity"/>
            <w:bookmarkEnd w:id="2585"/>
            <w:r>
              <w:rPr>
                <w:rFonts w:ascii="Times New Roman;Times;Serif" w:hAnsi="Times New Roman;Times;Serif"/>
              </w:rPr>
              <w:t>September 19,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6" w:name="xdx_988_eus-gaap--DebtInstrumentFaceAmou"/>
            <w:bookmarkEnd w:id="258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7" w:name="xdx_982_eus-gaap--ProceedsFromIssuanceOf"/>
            <w:bookmarkEnd w:id="258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8" w:name="xdx_989_eus-gaap--DebtInstrumentConverti"/>
            <w:bookmarkEnd w:id="2588"/>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9" w:name="xdx_983_ecustom--DebtInstrumentConversio"/>
            <w:bookmarkEnd w:id="2589"/>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Warrant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bookmarkStart w:id="2590" w:name="xdx_98A_ecustom--WarrantsIssued_pid_c202"/>
            <w:bookmarkEnd w:id="2590"/>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1" w:name="xdx_984_eus-gaap--ClassOfWarrantOrRightE"/>
            <w:bookmarkEnd w:id="2591"/>
          </w:p>
        </w:tc>
        <w:tc>
          <w:tcPr>
            <w:tcW w:w="7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bookmarkStart w:id="2592" w:name="xdx_905_eus-gaap--DebtInstrumentMaturity"/>
            <w:bookmarkEnd w:id="2592"/>
            <w:r>
              <w:rPr>
                <w:rFonts w:ascii="Times New Roman;Times;Serif" w:hAnsi="Times New Roman;Times;Serif"/>
              </w:rPr>
              <w:t>October 8,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3" w:name="xdx_989_eus-gaap--DebtInstrumentFaceAmou"/>
            <w:bookmarkEnd w:id="259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4" w:name="xdx_983_eus-gaap--ProceedsFromIssuanceOf"/>
            <w:bookmarkEnd w:id="2594"/>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5" w:name="xdx_98C_eus-gaap--DebtInstrumentConverti"/>
            <w:bookmarkEnd w:id="2595"/>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6" w:name="xdx_985_ecustom--DebtInstrumentConversio"/>
            <w:bookmarkEnd w:id="2596"/>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Warrant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597" w:name="xdx_98A_ecustom--WarrantsIssued_pid_c202"/>
            <w:bookmarkEnd w:id="2597"/>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8" w:name="xdx_983_eus-gaap--ClassOfWarrantOrRightE"/>
            <w:bookmarkEnd w:id="2598"/>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599" w:name="xdx_982_eus-gaap--DebtInstrumentFaceAmou"/>
            <w:bookmarkEnd w:id="259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bookmarkStart w:id="2600" w:name="xdx_98E_eus-gaap--ProceedsFromIssuanceOf"/>
            <w:bookmarkEnd w:id="260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5,497,909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601" w:name="xdx_98E_ecustom--WarrantsIssued_pid_c202"/>
            <w:bookmarkEnd w:id="2601"/>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02" w:name="xdx_8AE_zHSw8S8f3EW7"/>
      <w:bookmarkEnd w:id="26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Notes were issued with an original issue discount of </w:t>
      </w:r>
      <w:bookmarkStart w:id="2603" w:name="xdx_905_ecustom--DebtInstrumentInterestR"/>
      <w:bookmarkEnd w:id="2603"/>
      <w:r>
        <w:rPr>
          <w:rFonts w:ascii="Times New Roman;Times;Serif" w:hAnsi="Times New Roman;Times;Serif"/>
          <w:b w:val="false"/>
          <w:i w:val="false"/>
          <w:caps w:val="false"/>
          <w:smallCaps w:val="false"/>
          <w:sz w:val="20"/>
        </w:rPr>
        <w:t xml:space="preserve">10.0% and accrue interest at a rate of </w:t>
      </w:r>
      <w:bookmarkStart w:id="2604" w:name="xdx_90C_eus-gaap--DebtInstrumentInterest"/>
      <w:bookmarkEnd w:id="2604"/>
      <w:r>
        <w:rPr>
          <w:rFonts w:ascii="Times New Roman;Times;Serif" w:hAnsi="Times New Roman;Times;Serif"/>
          <w:b w:val="false"/>
          <w:i w:val="false"/>
          <w:caps w:val="false"/>
          <w:smallCaps w:val="false"/>
          <w:sz w:val="20"/>
        </w:rPr>
        <w:t>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w:t>
      </w:r>
      <w:bookmarkStart w:id="2605" w:name="xdx_900_ecustom--DebtInstrumentMaturityF"/>
      <w:bookmarkEnd w:id="2605"/>
      <w:r>
        <w:rPr>
          <w:rFonts w:ascii="Times New Roman;Times;Serif" w:hAnsi="Times New Roman;Times;Serif"/>
          <w:b w:val="false"/>
          <w:i w:val="false"/>
          <w:caps w:val="false"/>
          <w:smallCaps w:val="false"/>
          <w:sz w:val="20"/>
        </w:rPr>
        <w:t xml:space="preserve">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2606" w:name="xdx_90C_ecustom--MinimumPercentageOfOuts"/>
      <w:bookmarkEnd w:id="2606"/>
      <w:r>
        <w:rPr>
          <w:rFonts w:ascii="Times New Roman;Times;Serif" w:hAnsi="Times New Roman;Times;Serif"/>
          <w:b w:val="false"/>
          <w:i w:val="false"/>
          <w:caps w:val="false"/>
          <w:smallCaps w:val="false"/>
          <w:sz w:val="20"/>
        </w:rPr>
        <w:t xml:space="preserve">4.99% (or up to </w:t>
      </w:r>
      <w:bookmarkStart w:id="2607" w:name="xdx_904_ecustom--MaximumPercentageOfOuts"/>
      <w:bookmarkEnd w:id="2607"/>
      <w:r>
        <w:rPr>
          <w:rFonts w:ascii="Times New Roman;Times;Serif" w:hAnsi="Times New Roman;Times;Serif"/>
          <w:b w:val="false"/>
          <w:i w:val="false"/>
          <w:caps w:val="false"/>
          <w:smallCaps w:val="false"/>
          <w:sz w:val="20"/>
        </w:rPr>
        <w:t>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as per the terms of the Notes and Warrants, the conversion price and exercise price was adjusted to $</w:t>
      </w:r>
      <w:bookmarkStart w:id="2608" w:name="xdx_909_ecustom--ExercisePriceAdjustment"/>
      <w:bookmarkEnd w:id="2608"/>
      <w:r>
        <w:rPr>
          <w:rFonts w:ascii="Times New Roman;Times;Serif" w:hAnsi="Times New Roman;Times;Serif"/>
          <w:b w:val="false"/>
          <w:i w:val="false"/>
          <w:caps w:val="false"/>
          <w:smallCaps w:val="false"/>
          <w:sz w:val="20"/>
        </w:rPr>
        <w:t xml:space="preserve">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w:t>
      </w:r>
      <w:bookmarkStart w:id="2609" w:name="xdx_905_ecustom--PercentageOfPremiumBuye"/>
      <w:bookmarkEnd w:id="2609"/>
      <w:r>
        <w:rPr>
          <w:rFonts w:ascii="Times New Roman;Times;Serif" w:hAnsi="Times New Roman;Times;Serif"/>
          <w:b w:val="false"/>
          <w:i w:val="false"/>
          <w:caps w:val="false"/>
          <w:smallCaps w:val="false"/>
          <w:sz w:val="20"/>
        </w:rPr>
        <w:t>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w:t>
      </w:r>
      <w:bookmarkStart w:id="2610" w:name="xdx_905_eus-gaap--RepaymentsOfConvertibl"/>
      <w:bookmarkEnd w:id="2610"/>
      <w:r>
        <w:rPr>
          <w:rFonts w:ascii="Times New Roman;Times;Serif" w:hAnsi="Times New Roman;Times;Serif"/>
          <w:b w:val="false"/>
          <w:i w:val="false"/>
          <w:caps w:val="false"/>
          <w:smallCaps w:val="false"/>
          <w:sz w:val="20"/>
        </w:rPr>
        <w:t>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August 12, 2025 and October 22, 2025, the Buyer exercised its contractual conversion options multiple times under the June 3i Note and received an aggregate of </w:t>
      </w:r>
      <w:bookmarkStart w:id="2611" w:name="xdx_905_eus-gaap--DebtConversionConverte"/>
      <w:bookmarkEnd w:id="2611"/>
      <w:r>
        <w:rPr>
          <w:rFonts w:ascii="Times New Roman;Times;Serif" w:hAnsi="Times New Roman;Times;Serif"/>
          <w:b w:val="false"/>
          <w:i w:val="false"/>
          <w:caps w:val="false"/>
          <w:smallCaps w:val="false"/>
          <w:sz w:val="20"/>
        </w:rPr>
        <w:t>30,823 shares of Class A Common Stock at conversion prices per share ranging from $</w:t>
      </w:r>
      <w:bookmarkStart w:id="2612" w:name="xdx_90E_eus-gaap--DebtInstrumentConverti"/>
      <w:bookmarkEnd w:id="2612"/>
      <w:r>
        <w:rPr>
          <w:rFonts w:ascii="Times New Roman;Times;Serif" w:hAnsi="Times New Roman;Times;Serif"/>
          <w:b w:val="false"/>
          <w:i w:val="false"/>
          <w:caps w:val="false"/>
          <w:smallCaps w:val="false"/>
          <w:sz w:val="20"/>
        </w:rPr>
        <w:t>38.20 to $</w:t>
      </w:r>
      <w:bookmarkStart w:id="2613" w:name="xdx_908_eus-gaap--DebtInstrumentConverti"/>
      <w:bookmarkEnd w:id="2613"/>
      <w:r>
        <w:rPr>
          <w:rFonts w:ascii="Times New Roman;Times;Serif" w:hAnsi="Times New Roman;Times;Serif"/>
          <w:b w:val="false"/>
          <w:i w:val="false"/>
          <w:caps w:val="false"/>
          <w:smallCaps w:val="false"/>
          <w:sz w:val="20"/>
        </w:rPr>
        <w:t>51.60 in full satisfaction of the Company’s remaining obligations under the June 3i Note totaling $</w:t>
      </w:r>
      <w:bookmarkStart w:id="2614" w:name="xdx_904_eus-gaap--DebtInstrumentCarrying"/>
      <w:bookmarkEnd w:id="2614"/>
      <w:r>
        <w:rPr>
          <w:rFonts w:ascii="Times New Roman;Times;Serif" w:hAnsi="Times New Roman;Times;Serif"/>
          <w:b w:val="false"/>
          <w:i w:val="false"/>
          <w:caps w:val="false"/>
          <w:smallCaps w:val="false"/>
          <w:sz w:val="20"/>
        </w:rPr>
        <w:t>1,419,698.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September 10, 2025 and October 14, 2025, the Buyer exercised its contractual conversion option multiple times under the August 3i Note and received an aggregate of </w:t>
      </w:r>
      <w:bookmarkStart w:id="2615" w:name="xdx_90F_eus-gaap--DebtConversionConverte"/>
      <w:bookmarkEnd w:id="2615"/>
      <w:r>
        <w:rPr>
          <w:rFonts w:ascii="Times New Roman;Times;Serif" w:hAnsi="Times New Roman;Times;Serif"/>
          <w:b w:val="false"/>
          <w:i w:val="false"/>
          <w:caps w:val="false"/>
          <w:smallCaps w:val="false"/>
          <w:sz w:val="20"/>
        </w:rPr>
        <w:t>30,883 shares of Class A Common Stock at conversion prices per share ranging from $</w:t>
      </w:r>
      <w:bookmarkStart w:id="2616" w:name="xdx_907_eus-gaap--DebtInstrumentConverti"/>
      <w:bookmarkEnd w:id="2616"/>
      <w:r>
        <w:rPr>
          <w:rFonts w:ascii="Times New Roman;Times;Serif" w:hAnsi="Times New Roman;Times;Serif"/>
          <w:b w:val="false"/>
          <w:i w:val="false"/>
          <w:caps w:val="false"/>
          <w:smallCaps w:val="false"/>
          <w:sz w:val="20"/>
        </w:rPr>
        <w:t>38.20 to $</w:t>
      </w:r>
      <w:bookmarkStart w:id="2617" w:name="xdx_90C_eus-gaap--DebtInstrumentConverti"/>
      <w:bookmarkEnd w:id="2617"/>
      <w:r>
        <w:rPr>
          <w:rFonts w:ascii="Times New Roman;Times;Serif" w:hAnsi="Times New Roman;Times;Serif"/>
          <w:b w:val="false"/>
          <w:i w:val="false"/>
          <w:caps w:val="false"/>
          <w:smallCaps w:val="false"/>
          <w:sz w:val="20"/>
        </w:rPr>
        <w:t>48.40 in satisfaction of $</w:t>
      </w:r>
      <w:bookmarkStart w:id="2618" w:name="xdx_906_eus-gaap--DebtInstrumentCarrying"/>
      <w:bookmarkEnd w:id="2618"/>
      <w:r>
        <w:rPr>
          <w:rFonts w:ascii="Times New Roman;Times;Serif" w:hAnsi="Times New Roman;Times;Serif"/>
          <w:b w:val="false"/>
          <w:i w:val="false"/>
          <w:caps w:val="false"/>
          <w:smallCaps w:val="false"/>
          <w:sz w:val="20"/>
        </w:rPr>
        <w:t>1,411,667 of the Company’s obligations under the August 3i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October 16, 2025 and December 11, 2025, the Buyer exercised its contractual conversion option multiple times under the October 3i Note and received an aggregate of </w:t>
      </w:r>
      <w:bookmarkStart w:id="2619" w:name="xdx_908_eus-gaap--DebtConversionConverte"/>
      <w:bookmarkEnd w:id="2619"/>
      <w:r>
        <w:rPr>
          <w:rFonts w:ascii="Times New Roman;Times;Serif" w:hAnsi="Times New Roman;Times;Serif"/>
          <w:b w:val="false"/>
          <w:i w:val="false"/>
          <w:caps w:val="false"/>
          <w:smallCaps w:val="false"/>
          <w:sz w:val="20"/>
        </w:rPr>
        <w:t>66,584 shares of Class A Common Stock at conversion prices per share ranging from $</w:t>
      </w:r>
      <w:bookmarkStart w:id="2620" w:name="xdx_90B_eus-gaap--DebtInstrumentConverti"/>
      <w:bookmarkEnd w:id="2620"/>
      <w:r>
        <w:rPr>
          <w:rFonts w:ascii="Times New Roman;Times;Serif" w:hAnsi="Times New Roman;Times;Serif"/>
          <w:b w:val="false"/>
          <w:i w:val="false"/>
          <w:caps w:val="false"/>
          <w:smallCaps w:val="false"/>
          <w:sz w:val="20"/>
        </w:rPr>
        <w:t>20.60 to $</w:t>
      </w:r>
      <w:bookmarkStart w:id="2621" w:name="xdx_902_eus-gaap--DebtInstrumentConverti"/>
      <w:bookmarkEnd w:id="2621"/>
      <w:r>
        <w:rPr>
          <w:rFonts w:ascii="Times New Roman;Times;Serif" w:hAnsi="Times New Roman;Times;Serif"/>
          <w:b w:val="false"/>
          <w:i w:val="false"/>
          <w:caps w:val="false"/>
          <w:smallCaps w:val="false"/>
          <w:sz w:val="20"/>
        </w:rPr>
        <w:t>50.00 in satisfaction of $</w:t>
      </w:r>
      <w:bookmarkStart w:id="2622" w:name="xdx_908_eus-gaap--DebtInstrumentCarrying"/>
      <w:bookmarkEnd w:id="2622"/>
      <w:r>
        <w:rPr>
          <w:rFonts w:ascii="Times New Roman;Times;Serif" w:hAnsi="Times New Roman;Times;Serif"/>
          <w:b w:val="false"/>
          <w:i w:val="false"/>
          <w:caps w:val="false"/>
          <w:smallCaps w:val="false"/>
          <w:sz w:val="20"/>
        </w:rPr>
        <w:t>1,676,667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w:t>
      </w:r>
      <w:bookmarkStart w:id="2623" w:name="xdx_90D_eus-gaap--InterestExpense_c20250"/>
      <w:bookmarkEnd w:id="2623"/>
      <w:r>
        <w:rPr>
          <w:rFonts w:ascii="Times New Roman;Times;Serif" w:hAnsi="Times New Roman;Times;Serif"/>
          <w:b w:val="false"/>
          <w:i w:val="false"/>
          <w:caps w:val="false"/>
          <w:smallCaps w:val="false"/>
          <w:sz w:val="20"/>
        </w:rPr>
        <w:t>1,193,231 for the year ending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24" w:name="xdx_891_eus-gaap--ScheduleOfDebtInstrume"/>
      <w:bookmarkEnd w:id="2624"/>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625" w:name="xdx_8B2_zzyWzAo1qYef"/>
      <w:bookmarkEnd w:id="2625"/>
      <w:r>
        <w:rPr>
          <w:rFonts w:ascii="Times New Roman;Times;Serif" w:hAnsi="Times New Roman;Times;Serif"/>
          <w:b w:val="false"/>
          <w:i w:val="false"/>
          <w:caps w:val="false"/>
          <w:smallCaps w:val="false"/>
          <w:sz w:val="20"/>
        </w:rPr>
        <w:t>Schedule of Notes </w:t>
      </w:r>
    </w:p>
    <w:p>
      <w:pPr>
        <w:pStyle w:val="Normal"/>
        <w:bidi w:val="0"/>
        <w:spacing w:before="0" w:after="0"/>
        <w:jc w:val="left"/>
        <w:rPr>
          <w:sz w:val="4"/>
          <w:szCs w:val="4"/>
        </w:rPr>
      </w:pPr>
      <w:r>
        <w:rPr>
          <w:sz w:val="4"/>
          <w:szCs w:val="4"/>
        </w:rPr>
      </w:r>
      <w:bookmarkStart w:id="2626" w:name="xdx_302_134_zTvRX25oYq0b"/>
      <w:bookmarkStart w:id="2627" w:name="xdx_302_134_zTvRX25oYq0b"/>
      <w:bookmarkEnd w:id="2627"/>
    </w:p>
    <w:tbl>
      <w:tblPr>
        <w:tblW w:w="6734" w:type="dxa"/>
        <w:jc w:val="left"/>
        <w:tblInd w:w="0" w:type="dxa"/>
        <w:tblLayout w:type="fixed"/>
        <w:tblCellMar>
          <w:top w:w="0" w:type="dxa"/>
          <w:left w:w="0" w:type="dxa"/>
          <w:bottom w:w="0" w:type="dxa"/>
          <w:right w:w="0" w:type="dxa"/>
        </w:tblCellMar>
      </w:tblPr>
      <w:tblGrid>
        <w:gridCol w:w="5300"/>
        <w:gridCol w:w="60"/>
        <w:gridCol w:w="148"/>
        <w:gridCol w:w="1116"/>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28" w:name="xdx_4B2_us-gaap--LongtermDebtTypeAxis_cu"/>
            <w:bookmarkEnd w:id="2628"/>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3i, LP Notes</w:t>
            </w:r>
          </w:p>
        </w:tc>
        <w:tc>
          <w:tcPr>
            <w:tcW w:w="110" w:type="dxa"/>
            <w:tcBorders/>
            <w:vAlign w:val="center"/>
          </w:tcPr>
          <w:p>
            <w:pPr>
              <w:pStyle w:val="TableContents"/>
              <w:bidi w:val="0"/>
              <w:spacing w:before="0" w:after="283"/>
              <w:jc w:val="left"/>
              <w:rPr/>
            </w:pPr>
            <w:r>
              <w:rPr/>
              <w:t> </w:t>
            </w:r>
            <w:bookmarkStart w:id="2629" w:name="xdx_433_c20250101__20251231_eus-gaap--No"/>
            <w:bookmarkEnd w:id="2629"/>
          </w:p>
        </w:tc>
      </w:tr>
      <w:tr>
        <w:trPr/>
        <w:tc>
          <w:tcPr>
            <w:tcW w:w="530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30" w:name="xdx_40F_ecustom--IssuanceOfLongTermDebt_"/>
            <w:bookmarkEnd w:id="2630"/>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Private Placement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6,450,000</w:t>
            </w:r>
          </w:p>
        </w:tc>
        <w:tc>
          <w:tcPr>
            <w:tcW w:w="110" w:type="dxa"/>
            <w:tcBorders/>
            <w:shd w:fill="CCEEFF" w:val="clear"/>
            <w:vAlign w:val="center"/>
          </w:tcPr>
          <w:p>
            <w:pPr>
              <w:pStyle w:val="TableContents"/>
              <w:bidi w:val="0"/>
              <w:spacing w:before="0" w:after="283"/>
              <w:jc w:val="left"/>
              <w:rPr/>
            </w:pPr>
            <w:r>
              <w:rPr/>
              <w:t> </w:t>
            </w:r>
            <w:bookmarkStart w:id="2631" w:name="xdx_40D_ecustom--GainsLossesOnDebtIssuan"/>
            <w:bookmarkEnd w:id="2631"/>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3,349,000</w:t>
            </w:r>
          </w:p>
        </w:tc>
        <w:tc>
          <w:tcPr>
            <w:tcW w:w="110" w:type="dxa"/>
            <w:tcBorders/>
            <w:shd w:fill="FFFFFF" w:val="clear"/>
            <w:vAlign w:val="center"/>
          </w:tcPr>
          <w:p>
            <w:pPr>
              <w:pStyle w:val="TableContents"/>
              <w:bidi w:val="0"/>
              <w:spacing w:before="0" w:after="283"/>
              <w:jc w:val="left"/>
              <w:rPr/>
            </w:pPr>
            <w:r>
              <w:rPr/>
              <w:t> </w:t>
            </w:r>
            <w:bookmarkStart w:id="2632" w:name="xdx_408_eus-gaap--RepaymentsOfLongTermDe"/>
            <w:bookmarkEnd w:id="2632"/>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33" w:name="xdx_40C_ecustom--ChangeInFairValueOfLong"/>
            <w:bookmarkEnd w:id="2633"/>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34" w:name="xdx_400_ecustom--ConversionsOfLongTermDe"/>
            <w:bookmarkEnd w:id="2634"/>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35" w:name="xdx_43B_c20250101__20251231_eus-gaap--No"/>
            <w:bookmarkEnd w:id="2635"/>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36" w:name="xdx_98B_eus-gaap--LongTermNotesPayable_i"/>
            <w:bookmarkEnd w:id="2636"/>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1,709,091</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37" w:name="xdx_986_ecustom--InterestPayableOnLongTe"/>
            <w:bookmarkEnd w:id="2637"/>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38" w:name="xdx_8AA_zNwkCuEIrC2i"/>
      <w:bookmarkEnd w:id="2638"/>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Boot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first promissory note (the “Boot Capital Note”) for an aggregate principal amount of $</w:t>
      </w:r>
      <w:bookmarkStart w:id="2639" w:name="xdx_90E_eus-gaap--DebtInstrumentFaceAmou"/>
      <w:bookmarkEnd w:id="2639"/>
      <w:r>
        <w:rPr>
          <w:rFonts w:ascii="Times New Roman;Times;Serif" w:hAnsi="Times New Roman;Times;Serif"/>
          <w:b w:val="false"/>
          <w:i w:val="false"/>
          <w:caps w:val="false"/>
          <w:smallCaps w:val="false"/>
          <w:sz w:val="20"/>
        </w:rPr>
        <w:t>115,000 and received $</w:t>
      </w:r>
      <w:bookmarkStart w:id="2640" w:name="xdx_90F_eus-gaap--ProceedsFromIssuanceOf"/>
      <w:bookmarkEnd w:id="2640"/>
      <w:r>
        <w:rPr>
          <w:rFonts w:ascii="Times New Roman;Times;Serif" w:hAnsi="Times New Roman;Times;Serif"/>
          <w:b w:val="false"/>
          <w:i w:val="false"/>
          <w:caps w:val="false"/>
          <w:smallCaps w:val="false"/>
          <w:sz w:val="20"/>
        </w:rPr>
        <w:t>100,000 of proceeds, net of an original discount of $</w:t>
      </w:r>
      <w:bookmarkStart w:id="2641" w:name="xdx_902_eus-gaap--DebtInstrumentUnamorti"/>
      <w:bookmarkEnd w:id="2641"/>
      <w:r>
        <w:rPr>
          <w:rFonts w:ascii="Times New Roman;Times;Serif" w:hAnsi="Times New Roman;Times;Serif"/>
          <w:b w:val="false"/>
          <w:i w:val="false"/>
          <w:caps w:val="false"/>
          <w:smallCaps w:val="false"/>
          <w:sz w:val="20"/>
        </w:rPr>
        <w:t xml:space="preserve">15,000, with a maturity date of </w:t>
      </w:r>
      <w:bookmarkStart w:id="2642" w:name="xdx_908_eus-gaap--DebtInstrumentMaturity"/>
      <w:bookmarkEnd w:id="2642"/>
      <w:r>
        <w:rPr>
          <w:rFonts w:ascii="Times New Roman;Times;Serif" w:hAnsi="Times New Roman;Times;Serif"/>
          <w:b w:val="false"/>
          <w:i w:val="false"/>
          <w:caps w:val="false"/>
          <w:smallCaps w:val="false"/>
          <w:sz w:val="20"/>
        </w:rPr>
        <w:t xml:space="preserve">August 30, 2026. The stated interest rate on the Boot Capital Note is </w:t>
      </w:r>
      <w:bookmarkStart w:id="2643" w:name="xdx_90D_eus-gaap--DebtInstrumentInterest"/>
      <w:bookmarkEnd w:id="2643"/>
      <w:r>
        <w:rPr>
          <w:rFonts w:ascii="Times New Roman;Times;Serif" w:hAnsi="Times New Roman;Times;Serif"/>
          <w:b w:val="false"/>
          <w:i w:val="false"/>
          <w:caps w:val="false"/>
          <w:smallCaps w:val="false"/>
          <w:sz w:val="20"/>
        </w:rPr>
        <w:t>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w:t>
      </w:r>
      <w:bookmarkStart w:id="2644" w:name="xdx_90B_ecustom--PercentageOfCommonStock"/>
      <w:bookmarkEnd w:id="2644"/>
      <w:r>
        <w:rPr>
          <w:rFonts w:ascii="Times New Roman;Times;Serif" w:hAnsi="Times New Roman;Times;Serif"/>
          <w:b w:val="false"/>
          <w:i w:val="false"/>
          <w:caps w:val="false"/>
          <w:smallCaps w:val="false"/>
          <w:sz w:val="20"/>
        </w:rPr>
        <w:t xml:space="preserve">4.99% of the Company’s outstanding shares of Common Stock. </w:t>
      </w:r>
      <w:bookmarkStart w:id="2645" w:name="xdx_905_eus-gaap--DebtInstrumentConverti"/>
      <w:bookmarkEnd w:id="2645"/>
      <w:r>
        <w:rPr>
          <w:rFonts w:ascii="Times New Roman;Times;Serif" w:hAnsi="Times New Roman;Times;Serif"/>
          <w:b w:val="false"/>
          <w:i w:val="false"/>
          <w:caps w:val="false"/>
          <w:smallCaps w:val="false"/>
          <w:sz w:val="20"/>
        </w:rPr>
        <w:t>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46" w:name="xdx_892_eus-gaap--ScheduleOfDebtInstrume"/>
      <w:bookmarkEnd w:id="2646"/>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caps w:val="false"/>
          <w:smallCaps w:val="false"/>
        </w:rPr>
      </w:pPr>
      <w:r>
        <w:rPr>
          <w:caps w:val="false"/>
          <w:smallCaps w:val="false"/>
        </w:rPr>
        <w:t> </w:t>
      </w:r>
      <w:bookmarkStart w:id="2647" w:name="xdx_8B1_zju7AzOjPzMi"/>
      <w:bookmarkEnd w:id="2647"/>
      <w:r>
        <w:rPr>
          <w:rFonts w:ascii="Times New Roman;Times;Serif" w:hAnsi="Times New Roman;Times;Serif"/>
          <w:b w:val="false"/>
          <w:i w:val="false"/>
          <w:caps w:val="false"/>
          <w:smallCaps w:val="false"/>
          <w:sz w:val="20"/>
        </w:rPr>
        <w:t>Schedule of Notes</w:t>
      </w:r>
    </w:p>
    <w:p>
      <w:pPr>
        <w:pStyle w:val="Normal"/>
        <w:bidi w:val="0"/>
        <w:spacing w:before="0" w:after="0"/>
        <w:jc w:val="left"/>
        <w:rPr>
          <w:sz w:val="4"/>
          <w:szCs w:val="4"/>
        </w:rPr>
      </w:pPr>
      <w:r>
        <w:rPr>
          <w:sz w:val="4"/>
          <w:szCs w:val="4"/>
        </w:rPr>
      </w:r>
      <w:bookmarkStart w:id="2648" w:name="xdx_301_134_ziqXgaajO2L5"/>
      <w:bookmarkStart w:id="2649" w:name="xdx_301_134_ziqXgaajO2L5"/>
      <w:bookmarkEnd w:id="2649"/>
    </w:p>
    <w:tbl>
      <w:tblPr>
        <w:tblW w:w="6744" w:type="dxa"/>
        <w:jc w:val="left"/>
        <w:tblInd w:w="0" w:type="dxa"/>
        <w:tblLayout w:type="fixed"/>
        <w:tblCellMar>
          <w:top w:w="0" w:type="dxa"/>
          <w:left w:w="0" w:type="dxa"/>
          <w:bottom w:w="0" w:type="dxa"/>
          <w:right w:w="0" w:type="dxa"/>
        </w:tblCellMar>
      </w:tblPr>
      <w:tblGrid>
        <w:gridCol w:w="5300"/>
        <w:gridCol w:w="60"/>
        <w:gridCol w:w="195"/>
        <w:gridCol w:w="1114"/>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50" w:name="xdx_4BF_us-gaap--LongtermDebtTypeAxis_cu"/>
            <w:bookmarkEnd w:id="2650"/>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Boot Capital</w:t>
            </w:r>
          </w:p>
        </w:tc>
        <w:tc>
          <w:tcPr>
            <w:tcW w:w="75" w:type="dxa"/>
            <w:tcBorders/>
            <w:vAlign w:val="center"/>
          </w:tcPr>
          <w:p>
            <w:pPr>
              <w:pStyle w:val="TableContents"/>
              <w:bidi w:val="0"/>
              <w:spacing w:before="0" w:after="283"/>
              <w:jc w:val="left"/>
              <w:rPr/>
            </w:pPr>
            <w:r>
              <w:rPr/>
              <w:t> </w:t>
            </w:r>
            <w:bookmarkStart w:id="2651" w:name="xdx_431_c20250101__20251231_eus-gaap--No"/>
            <w:bookmarkEnd w:id="2651"/>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652" w:name="xdx_404_ecustom--IssuanceOfLongTermDebt_"/>
            <w:bookmarkEnd w:id="2652"/>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5" w:type="dxa"/>
            <w:tcBorders/>
            <w:shd w:fill="FFFFFF" w:val="clear"/>
            <w:vAlign w:val="center"/>
          </w:tcPr>
          <w:p>
            <w:pPr>
              <w:pStyle w:val="TableContents"/>
              <w:bidi w:val="0"/>
              <w:spacing w:before="0" w:after="283"/>
              <w:jc w:val="left"/>
              <w:rPr/>
            </w:pPr>
            <w:r>
              <w:rPr/>
              <w:t> </w:t>
            </w:r>
            <w:bookmarkStart w:id="2653" w:name="xdx_40D_ecustom--GainsLossesOnDebtIssuan"/>
            <w:bookmarkEnd w:id="2653"/>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w:t>
            </w:r>
          </w:p>
        </w:tc>
        <w:tc>
          <w:tcPr>
            <w:tcW w:w="75" w:type="dxa"/>
            <w:tcBorders/>
            <w:shd w:fill="CCEEFF" w:val="clear"/>
            <w:vAlign w:val="center"/>
          </w:tcPr>
          <w:p>
            <w:pPr>
              <w:pStyle w:val="TableContents"/>
              <w:bidi w:val="0"/>
              <w:spacing w:before="0" w:after="283"/>
              <w:jc w:val="left"/>
              <w:rPr/>
            </w:pPr>
            <w:r>
              <w:rPr/>
              <w:t> </w:t>
            </w:r>
            <w:bookmarkStart w:id="2654" w:name="xdx_408_eus-gaap--RepaymentsOfLongTermDe"/>
            <w:bookmarkEnd w:id="2654"/>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55" w:name="xdx_40C_ecustom--ChangeInFairValueOfLong"/>
            <w:bookmarkEnd w:id="2655"/>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w:t>
            </w:r>
          </w:p>
        </w:tc>
        <w:tc>
          <w:tcPr>
            <w:tcW w:w="75" w:type="dxa"/>
            <w:tcBorders/>
            <w:shd w:fill="CCEEFF" w:val="clear"/>
            <w:vAlign w:val="center"/>
          </w:tcPr>
          <w:p>
            <w:pPr>
              <w:pStyle w:val="TableContents"/>
              <w:bidi w:val="0"/>
              <w:spacing w:before="0" w:after="283"/>
              <w:jc w:val="left"/>
              <w:rPr/>
            </w:pPr>
            <w:r>
              <w:rPr/>
              <w:t> </w:t>
            </w:r>
            <w:bookmarkStart w:id="2656" w:name="xdx_40B_ecustom--ConversionsOfLongTermDe"/>
            <w:bookmarkEnd w:id="2656"/>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57" w:name="xdx_43C_c20250101__20251231_eus-gaap--No"/>
            <w:bookmarkEnd w:id="2657"/>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58" w:name="xdx_983_eus-gaap--LongTermNotesPayable_i"/>
            <w:bookmarkEnd w:id="2658"/>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59" w:name="xdx_98A_ecustom--InterestPayableOnLongTe"/>
            <w:bookmarkEnd w:id="2659"/>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60" w:name="xdx_8AC_z9BYC1ZhWf3g"/>
      <w:bookmarkEnd w:id="266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61" w:name="xdx_801_eus-gaap--DerivativeInstrumentsA"/>
      <w:bookmarkEnd w:id="2661"/>
      <w:r>
        <w:rPr>
          <w:rFonts w:ascii="Times New Roman;Times;Serif" w:hAnsi="Times New Roman;Times;Serif"/>
          <w:b/>
          <w:i w:val="false"/>
          <w:caps w:val="false"/>
          <w:smallCaps w:val="false"/>
          <w:sz w:val="20"/>
        </w:rPr>
        <w:t xml:space="preserve">13. </w:t>
      </w:r>
      <w:bookmarkStart w:id="2662" w:name="xdx_825_zDXGWQN3BBs2"/>
      <w:bookmarkEnd w:id="2662"/>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Public Warrants in the Merger, exercisable into </w:t>
      </w:r>
      <w:bookmarkStart w:id="2663" w:name="xdx_908_eus-gaap--ClassOfWarrantOrRightO"/>
      <w:bookmarkEnd w:id="2663"/>
      <w:r>
        <w:rPr>
          <w:rFonts w:ascii="Times New Roman;Times;Serif" w:hAnsi="Times New Roman;Times;Serif"/>
          <w:b w:val="false"/>
          <w:i w:val="false"/>
          <w:caps w:val="false"/>
          <w:smallCaps w:val="false"/>
          <w:sz w:val="20"/>
        </w:rPr>
        <w:t xml:space="preserve">1,150 shares of Common Stock of the Company, and which remained outstanding as of December 31, 2025. </w:t>
      </w:r>
      <w:bookmarkStart w:id="2664" w:name="xdx_901_ecustom--WarrantsExercisePriceDe"/>
      <w:bookmarkEnd w:id="2664"/>
      <w:r>
        <w:rPr>
          <w:rFonts w:ascii="Times New Roman;Times;Serif" w:hAnsi="Times New Roman;Times;Serif"/>
          <w:b w:val="false"/>
          <w:i w:val="false"/>
          <w:caps w:val="false"/>
          <w:smallCaps w:val="false"/>
          <w:sz w:val="20"/>
        </w:rPr>
        <w:t>The Public Warrants have an exercise price of $</w:t>
      </w:r>
      <w:bookmarkStart w:id="2665" w:name="xdx_909_eus-gaap--ClassOfWarrantOrRightE"/>
      <w:bookmarkEnd w:id="2665"/>
      <w:r>
        <w:rPr>
          <w:rFonts w:ascii="Times New Roman;Times;Serif" w:hAnsi="Times New Roman;Times;Serif"/>
          <w:b w:val="false"/>
          <w:i w:val="false"/>
          <w:caps w:val="false"/>
          <w:smallCaps w:val="false"/>
          <w:sz w:val="20"/>
        </w:rPr>
        <w:t>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w:t>
      </w:r>
      <w:bookmarkStart w:id="2666" w:name="xdx_909_ecustom--WarrantsExercisable_iI_"/>
      <w:bookmarkEnd w:id="2666"/>
      <w:r>
        <w:rPr>
          <w:rFonts w:ascii="Times New Roman;Times;Serif" w:hAnsi="Times New Roman;Times;Serif"/>
          <w:b w:val="false"/>
          <w:i w:val="false"/>
          <w:caps w:val="false"/>
          <w:smallCaps w:val="false"/>
          <w:sz w:val="20"/>
        </w:rPr>
        <w:t xml:space="preserve">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w:t>
      </w:r>
      <w:bookmarkStart w:id="2667" w:name="xdx_900_ecustom--ContractualTerm_dtD_c20"/>
      <w:bookmarkEnd w:id="2667"/>
      <w:r>
        <w:rPr>
          <w:rFonts w:ascii="Times New Roman;Times;Serif" w:hAnsi="Times New Roman;Times;Serif"/>
          <w:b w:val="false"/>
          <w:i w:val="false"/>
          <w:caps w:val="false"/>
          <w:smallCaps w:val="false"/>
          <w:sz w:val="20"/>
        </w:rPr>
        <w:t>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w:t>
      </w:r>
      <w:bookmarkStart w:id="2668" w:name="xdx_90D_ecustom--ClassOfWarrantOrRightRe"/>
      <w:bookmarkEnd w:id="2668"/>
      <w:r>
        <w:rPr>
          <w:rFonts w:ascii="Times New Roman;Times;Serif" w:hAnsi="Times New Roman;Times;Serif"/>
          <w:b w:val="false"/>
          <w:i/>
          <w:caps w:val="false"/>
          <w:smallCaps w:val="false"/>
          <w:sz w:val="20"/>
        </w:rPr>
        <w:t>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69" w:name="xdx_903_ecustom--WarrantsExercisableDesc"/>
      <w:bookmarkEnd w:id="2669"/>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w:t>
            </w:r>
            <w:bookmarkStart w:id="2670" w:name="xdx_90D_eus-gaap--ClassOfWarrantOrRightE"/>
            <w:bookmarkEnd w:id="2670"/>
            <w:r>
              <w:rPr>
                <w:rFonts w:ascii="Times New Roman;Times;Serif" w:hAnsi="Times New Roman;Times;Serif"/>
                <w:b w:val="false"/>
                <w:i w:val="false"/>
                <w:caps w:val="false"/>
                <w:smallCaps w:val="false"/>
                <w:sz w:val="20"/>
              </w:rPr>
              <w:t>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w:t>
            </w:r>
            <w:bookmarkStart w:id="2671" w:name="xdx_903_ecustom--ClassOfWarrantOrRightRe"/>
            <w:bookmarkEnd w:id="2671"/>
            <w:r>
              <w:rPr>
                <w:rFonts w:ascii="Times New Roman;Times;Serif" w:hAnsi="Times New Roman;Times;Serif"/>
                <w:b w:val="false"/>
                <w:i w:val="false"/>
                <w:caps w:val="false"/>
                <w:smallCaps w:val="false"/>
                <w:sz w:val="20"/>
              </w:rPr>
              <w:t>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w:t>
      </w:r>
      <w:bookmarkStart w:id="2672" w:name="xdx_90D_ecustom--ClassOfWarrantOrRightRe"/>
      <w:bookmarkEnd w:id="2672"/>
      <w:r>
        <w:rPr>
          <w:rFonts w:ascii="Times New Roman;Times;Serif" w:hAnsi="Times New Roman;Times;Serif"/>
          <w:b w:val="false"/>
          <w:i w:val="false"/>
          <w:caps w:val="false"/>
          <w:smallCaps w:val="false"/>
          <w:sz w:val="20"/>
        </w:rPr>
        <w:t>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w:t>
      </w:r>
      <w:bookmarkStart w:id="2673" w:name="xdx_903_ecustom--ClassOfWarrantOrRightRe"/>
      <w:bookmarkEnd w:id="2673"/>
      <w:r>
        <w:rPr>
          <w:rFonts w:ascii="Times New Roman;Times;Serif" w:hAnsi="Times New Roman;Times;Serif"/>
          <w:b w:val="false"/>
          <w:i w:val="false"/>
          <w:caps w:val="false"/>
          <w:smallCaps w:val="false"/>
          <w:sz w:val="20"/>
        </w:rPr>
        <w:t>115,000.00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74" w:name="xdx_902_ecustom--FractionalSharesIssuedU"/>
      <w:bookmarkEnd w:id="2674"/>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83 shares at an exercise price of $</w:t>
      </w:r>
      <w:bookmarkStart w:id="2675" w:name="xdx_904_eus-gaap--ClassOfWarrantOrRightE"/>
      <w:bookmarkEnd w:id="2675"/>
      <w:r>
        <w:rPr>
          <w:rFonts w:ascii="Times New Roman;Times;Serif" w:hAnsi="Times New Roman;Times;Serif"/>
          <w:b w:val="false"/>
          <w:i w:val="false"/>
          <w:caps w:val="false"/>
          <w:smallCaps w:val="false"/>
          <w:sz w:val="20"/>
        </w:rPr>
        <w:t xml:space="preserve">64,900.00 per share. </w:t>
      </w:r>
      <w:bookmarkStart w:id="2676" w:name="xdx_90D_ecustom--WarrantsExercisePriceDe"/>
      <w:bookmarkEnd w:id="2676"/>
      <w:r>
        <w:rPr>
          <w:rFonts w:ascii="Times New Roman;Times;Serif" w:hAnsi="Times New Roman;Times;Serif"/>
          <w:b w:val="false"/>
          <w:i w:val="false"/>
          <w:caps w:val="false"/>
          <w:smallCaps w:val="false"/>
          <w:sz w:val="20"/>
        </w:rPr>
        <w:t>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w:t>
      </w:r>
      <w:bookmarkStart w:id="2677" w:name="xdx_906_ecustom--ClassOfWarrantOrRightSt"/>
      <w:bookmarkEnd w:id="2677"/>
      <w:r>
        <w:rPr>
          <w:rFonts w:ascii="Times New Roman;Times;Serif" w:hAnsi="Times New Roman;Times;Serif"/>
          <w:b w:val="false"/>
          <w:i w:val="false"/>
          <w:caps w:val="false"/>
          <w:smallCaps w:val="false"/>
          <w:sz w:val="20"/>
        </w:rPr>
        <w:t>366.00. The effect of the change in strike price feature being triggered resulted in a change of value of approximately $</w:t>
      </w:r>
      <w:bookmarkStart w:id="2678" w:name="xdx_90F_ecustom--ChangeInValueOfWarrants"/>
      <w:bookmarkEnd w:id="2678"/>
      <w:r>
        <w:rPr>
          <w:rFonts w:ascii="Times New Roman;Times;Serif" w:hAnsi="Times New Roman;Times;Serif"/>
          <w:b w:val="false"/>
          <w:i w:val="false"/>
          <w:caps w:val="false"/>
          <w:smallCaps w:val="false"/>
          <w:sz w:val="20"/>
        </w:rPr>
        <w:t>15,000 which is recorded in the statement of operations line 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 Warrant may not be exercised if such exercise would result in the beneficial ownership of the holder and its affiliates in excess of </w:t>
      </w:r>
      <w:bookmarkStart w:id="2679" w:name="xdx_904_ecustom--ClassOfWarrantsOrRights"/>
      <w:bookmarkEnd w:id="2679"/>
      <w:r>
        <w:rPr>
          <w:rFonts w:ascii="Times New Roman;Times;Serif" w:hAnsi="Times New Roman;Times;Serif"/>
          <w:b w:val="false"/>
          <w:i w:val="false"/>
          <w:caps w:val="false"/>
          <w:smallCaps w:val="false"/>
          <w:sz w:val="20"/>
        </w:rPr>
        <w:t>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80" w:name="xdx_808_eus-gaap--CommitmentsAndContinge"/>
      <w:bookmarkEnd w:id="2680"/>
      <w:r>
        <w:rPr>
          <w:rFonts w:ascii="Times New Roman;Times;Serif" w:hAnsi="Times New Roman;Times;Serif"/>
          <w:b/>
          <w:i w:val="false"/>
          <w:caps w:val="false"/>
          <w:smallCaps w:val="false"/>
          <w:sz w:val="20"/>
        </w:rPr>
        <w:t xml:space="preserve">14. </w:t>
      </w:r>
      <w:bookmarkStart w:id="2681" w:name="xdx_824_zwN07Uew1PY4"/>
      <w:bookmarkEnd w:id="268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 contains an escalation clause and a renewal option. The Company is not reasonably certain that the renewal option will be exercised upon expiration of the initial terms of its existing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82" w:name="xdx_890_eus-gaap--LeaseCostTableTextBloc"/>
      <w:bookmarkEnd w:id="2682"/>
      <w:r>
        <w:rPr>
          <w:rFonts w:ascii="Times New Roman;Times;Serif" w:hAnsi="Times New Roman;Times;Serif"/>
          <w:b w:val="false"/>
          <w:i w:val="false"/>
          <w:caps w:val="false"/>
          <w:smallCaps w:val="false"/>
          <w:sz w:val="20"/>
        </w:rPr>
        <w:t>The components of lease expense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bookmarkStart w:id="2683" w:name="xdx_8BA_zZUCTiuPhfUj"/>
      <w:bookmarkEnd w:id="2683"/>
      <w:r>
        <w:rPr>
          <w:rFonts w:ascii="Times New Roman;Times;Serif" w:hAnsi="Times New Roman;Times;Serif"/>
          <w:b w:val="false"/>
          <w:i w:val="false"/>
          <w:caps w:val="false"/>
          <w:smallCaps w:val="false"/>
          <w:sz w:val="20"/>
        </w:rPr>
        <w:t>Schedule of Components of Lease Expense</w:t>
      </w:r>
    </w:p>
    <w:tbl>
      <w:tblPr>
        <w:tblW w:w="6746" w:type="dxa"/>
        <w:jc w:val="left"/>
        <w:tblInd w:w="0" w:type="dxa"/>
        <w:tblLayout w:type="fixed"/>
        <w:tblCellMar>
          <w:top w:w="0" w:type="dxa"/>
          <w:left w:w="0" w:type="dxa"/>
          <w:bottom w:w="28" w:type="dxa"/>
          <w:right w:w="0" w:type="dxa"/>
        </w:tblCellMar>
      </w:tblPr>
      <w:tblGrid>
        <w:gridCol w:w="3050"/>
        <w:gridCol w:w="60"/>
        <w:gridCol w:w="252"/>
        <w:gridCol w:w="1227"/>
        <w:gridCol w:w="108"/>
        <w:gridCol w:w="108"/>
        <w:gridCol w:w="252"/>
        <w:gridCol w:w="1579"/>
        <w:gridCol w:w="110"/>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bookmarkStart w:id="2684" w:name="xdx_49E_20250101__20251231_zizflCUBmH8b"/>
            <w:bookmarkEnd w:id="2684"/>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bookmarkStart w:id="2685" w:name="xdx_491_20240101__20241231_z77mprKITNQ7"/>
            <w:bookmarkEnd w:id="2685"/>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2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bookmarkStart w:id="2686" w:name="xdx_400_eus-gaap--OperatingLeaseCost_i01"/>
            <w:bookmarkEnd w:id="2686"/>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145,674</w:t>
            </w:r>
          </w:p>
        </w:tc>
        <w:tc>
          <w:tcPr>
            <w:tcW w:w="110" w:type="dxa"/>
            <w:tcBorders/>
            <w:shd w:fill="CCEEFF" w:val="clear"/>
            <w:tcMar>
              <w:bottom w:w="0" w:type="dxa"/>
            </w:tcMar>
            <w:vAlign w:val="center"/>
          </w:tcPr>
          <w:p>
            <w:pPr>
              <w:pStyle w:val="TableContents"/>
              <w:bidi w:val="0"/>
              <w:spacing w:before="0" w:after="283"/>
              <w:jc w:val="left"/>
              <w:rPr/>
            </w:pPr>
            <w:r>
              <w:rPr/>
              <w:t> </w:t>
            </w:r>
            <w:bookmarkStart w:id="2687" w:name="xdx_40A_eus-gaap--SubleaseIncome_i01N_di"/>
            <w:bookmarkEnd w:id="2687"/>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Sublease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227" w:type="dxa"/>
            <w:tcBorders>
              <w:bottom w:val="single" w:sz="8" w:space="0" w:color="000000"/>
            </w:tcBorders>
            <w:shd w:fill="FFFFFF" w:val="clear"/>
            <w:vAlign w:val="center"/>
          </w:tcPr>
          <w:p>
            <w:pPr>
              <w:pStyle w:val="TableContents"/>
              <w:bidi w:val="0"/>
              <w:spacing w:before="0" w:after="283"/>
              <w:jc w:val="right"/>
              <w:rPr/>
            </w:pP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(117,084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88" w:name="xdx_40D_eus-gaap--LeaseCost_i01T_zOqWxOd"/>
            <w:bookmarkEnd w:id="2688"/>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89" w:name="xdx_8A2_zA5Zq4Z35FDj"/>
      <w:bookmarkEnd w:id="268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90" w:name="xdx_89E_ecustom--ScheduleOfSupplementalC"/>
      <w:bookmarkEnd w:id="2690"/>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bookmarkStart w:id="2691" w:name="xdx_8BF_zyUxxNHIAZpe"/>
      <w:bookmarkEnd w:id="2691"/>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28" w:type="dxa"/>
          <w:right w:w="0" w:type="dxa"/>
        </w:tblCellMar>
      </w:tblPr>
      <w:tblGrid>
        <w:gridCol w:w="6542"/>
        <w:gridCol w:w="60"/>
        <w:gridCol w:w="236"/>
        <w:gridCol w:w="1277"/>
        <w:gridCol w:w="160"/>
        <w:gridCol w:w="101"/>
        <w:gridCol w:w="236"/>
        <w:gridCol w:w="1480"/>
        <w:gridCol w:w="113"/>
      </w:tblGrid>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bookmarkStart w:id="2692" w:name="xdx_49C_20250101__20251231_zLDIXbrI2Znj"/>
            <w:bookmarkEnd w:id="2692"/>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bookmarkStart w:id="2693" w:name="xdx_49C_20240101__20241231_zOcNQG4QrYd"/>
            <w:bookmarkEnd w:id="2693"/>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9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2694" w:name="xdx_404_ecustom--NoncashLeaseExpenseInOp"/>
            <w:bookmarkEnd w:id="2694"/>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 (operating cash flow)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24,011</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3" w:type="dxa"/>
            <w:tcBorders/>
            <w:shd w:fill="FFFFFF" w:val="clear"/>
            <w:tcMar>
              <w:bottom w:w="0" w:type="dxa"/>
            </w:tcMar>
            <w:vAlign w:val="center"/>
          </w:tcPr>
          <w:p>
            <w:pPr>
              <w:pStyle w:val="TableContents"/>
              <w:bidi w:val="0"/>
              <w:spacing w:before="0" w:after="283"/>
              <w:jc w:val="left"/>
              <w:rPr/>
            </w:pPr>
            <w:r>
              <w:rPr/>
              <w:t> </w:t>
            </w:r>
            <w:bookmarkStart w:id="2695" w:name="xdx_406_ecustom--IncreaseDecreaseInLease"/>
            <w:bookmarkEnd w:id="2695"/>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lease liabilities (operating cash flow)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(23,280</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bookmarkStart w:id="2696" w:name="xdx_401_ecustom--RightOfUseAssetsObtaine"/>
            <w:bookmarkEnd w:id="2696"/>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97" w:name="xdx_8A8_z7gKLTcG20I6"/>
      <w:bookmarkEnd w:id="26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98" w:name="xdx_897_ecustom--ScheduleOfSupplementalB"/>
      <w:bookmarkEnd w:id="2698"/>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bookmarkStart w:id="2699" w:name="xdx_8BB_zoatphxWa6k5"/>
      <w:bookmarkEnd w:id="2699"/>
      <w:r>
        <w:rPr>
          <w:rFonts w:ascii="Times New Roman;Times;Serif" w:hAnsi="Times New Roman;Times;Serif"/>
          <w:b w:val="false"/>
          <w:i w:val="false"/>
          <w:caps w:val="false"/>
          <w:smallCaps w:val="false"/>
          <w:sz w:val="20"/>
        </w:rPr>
        <w:t>Schedule of Supplemental Balance Sheet Information Related to Leases</w:t>
      </w:r>
    </w:p>
    <w:tbl>
      <w:tblPr>
        <w:tblW w:w="5618" w:type="dxa"/>
        <w:jc w:val="left"/>
        <w:tblInd w:w="0" w:type="dxa"/>
        <w:tblLayout w:type="fixed"/>
        <w:tblCellMar>
          <w:top w:w="0" w:type="dxa"/>
          <w:left w:w="0" w:type="dxa"/>
          <w:bottom w:w="28" w:type="dxa"/>
          <w:right w:w="0" w:type="dxa"/>
        </w:tblCellMar>
      </w:tblPr>
      <w:tblGrid>
        <w:gridCol w:w="3485"/>
        <w:gridCol w:w="60"/>
        <w:gridCol w:w="159"/>
        <w:gridCol w:w="772"/>
        <w:gridCol w:w="68"/>
        <w:gridCol w:w="68"/>
        <w:gridCol w:w="159"/>
        <w:gridCol w:w="772"/>
        <w:gridCol w:w="75"/>
      </w:tblGrid>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bookmarkStart w:id="2700" w:name="xdx_490_20251231_zEfLnB6a6E0d"/>
            <w:bookmarkEnd w:id="2700"/>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bookmarkStart w:id="2701" w:name="xdx_499_20241231_zmWosteiTa4c"/>
            <w:bookmarkEnd w:id="2701"/>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bookmarkStart w:id="2702" w:name="xdx_407_eus-gaap--OperatingLeaseRightOfU"/>
            <w:bookmarkEnd w:id="2702"/>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75" w:type="dxa"/>
            <w:tcBorders/>
            <w:shd w:fill="CCEEFF" w:val="clear"/>
            <w:tcMar>
              <w:bottom w:w="0" w:type="dxa"/>
            </w:tcMar>
            <w:vAlign w:val="center"/>
          </w:tcPr>
          <w:p>
            <w:pPr>
              <w:pStyle w:val="TableContents"/>
              <w:bidi w:val="0"/>
              <w:spacing w:before="0" w:after="283"/>
              <w:jc w:val="left"/>
              <w:rPr/>
            </w:pPr>
            <w:r>
              <w:rPr/>
              <w:t> </w:t>
            </w:r>
            <w:bookmarkStart w:id="2703" w:name="xdx_40E_eus-gaap--OperatingLeaseLiabilit"/>
            <w:bookmarkEnd w:id="2703"/>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75" w:type="dxa"/>
            <w:tcBorders/>
            <w:shd w:fill="FFFFFF" w:val="clear"/>
            <w:tcMar>
              <w:bottom w:w="0" w:type="dxa"/>
            </w:tcMar>
            <w:vAlign w:val="center"/>
          </w:tcPr>
          <w:p>
            <w:pPr>
              <w:pStyle w:val="TableContents"/>
              <w:bidi w:val="0"/>
              <w:spacing w:before="0" w:after="283"/>
              <w:jc w:val="left"/>
              <w:rPr/>
            </w:pPr>
            <w:r>
              <w:rPr/>
              <w:t> </w:t>
            </w:r>
            <w:bookmarkStart w:id="2704" w:name="xdx_40D_eus-gaap--OperatingLeaseLiabilit"/>
            <w:bookmarkEnd w:id="2704"/>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75" w:type="dxa"/>
            <w:tcBorders/>
            <w:shd w:fill="CCEEFF" w:val="clear"/>
            <w:tcMar>
              <w:bottom w:w="0" w:type="dxa"/>
            </w:tcMar>
            <w:vAlign w:val="center"/>
          </w:tcPr>
          <w:p>
            <w:pPr>
              <w:pStyle w:val="TableContents"/>
              <w:bidi w:val="0"/>
              <w:spacing w:before="0" w:after="283"/>
              <w:jc w:val="left"/>
              <w:rPr/>
            </w:pPr>
            <w:r>
              <w:rPr/>
              <w:t> </w:t>
            </w:r>
            <w:bookmarkStart w:id="2705" w:name="xdx_409_eus-gaap--OperatingLeaseLiabilit"/>
            <w:bookmarkEnd w:id="2705"/>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72,705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4130"/>
        <w:gridCol w:w="60"/>
        <w:gridCol w:w="107"/>
        <w:gridCol w:w="785"/>
        <w:gridCol w:w="107"/>
        <w:gridCol w:w="107"/>
        <w:gridCol w:w="107"/>
        <w:gridCol w:w="785"/>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remaining lease term:</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 (in years)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bookmarkStart w:id="2706" w:name="xdx_90D_eus-gaap--OperatingLeaseWeighted"/>
            <w:bookmarkEnd w:id="2706"/>
            <w:r>
              <w:rPr>
                <w:rFonts w:ascii="Times New Roman;Times;Serif" w:hAnsi="Times New Roman;Times;Serif"/>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bookmarkStart w:id="2707" w:name="xdx_90F_eus-gaap--OperatingLeaseWeighted"/>
            <w:bookmarkEnd w:id="2707"/>
            <w:r>
              <w:rPr>
                <w:rFonts w:ascii="Times New Roman;Times;Serif" w:hAnsi="Times New Roman;Times;Serif"/>
              </w:rPr>
              <w:t>2.83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35"/>
        <w:gridCol w:w="60"/>
        <w:gridCol w:w="60"/>
        <w:gridCol w:w="440"/>
        <w:gridCol w:w="215"/>
        <w:gridCol w:w="60"/>
        <w:gridCol w:w="60"/>
        <w:gridCol w:w="440"/>
        <w:gridCol w:w="230"/>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2708" w:name="xdx_98A_eus-gaap--OperatingLeaseWeighted"/>
            <w:bookmarkEnd w:id="2708"/>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2709" w:name="xdx_980_eus-gaap--OperatingLeaseWeighted"/>
            <w:bookmarkEnd w:id="2709"/>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710" w:name="xdx_8AA_zG2KZF8YAP6"/>
      <w:bookmarkEnd w:id="271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11" w:name="xdx_891_eus-gaap--LesseeOperatingLeaseLi"/>
      <w:bookmarkEnd w:id="2711"/>
      <w:r>
        <w:rPr>
          <w:rFonts w:ascii="Times New Roman;Times;Serif" w:hAnsi="Times New Roman;Times;Serif"/>
          <w:b w:val="false"/>
          <w:i w:val="false"/>
          <w:caps w:val="false"/>
          <w:smallCaps w:val="false"/>
          <w:sz w:val="20"/>
        </w:rPr>
        <w:t>Future minimum lease payments under non-cancellable lease as of December 31, 2025, are as follows:</w:t>
      </w:r>
    </w:p>
    <w:p>
      <w:pPr>
        <w:pStyle w:val="TextBody"/>
        <w:bidi w:val="0"/>
        <w:spacing w:before="0" w:after="0"/>
        <w:ind w:left="0" w:right="0" w:hanging="0"/>
        <w:jc w:val="both"/>
        <w:rPr>
          <w:caps w:val="false"/>
          <w:smallCaps w:val="false"/>
        </w:rPr>
      </w:pPr>
      <w:r>
        <w:rPr>
          <w:caps w:val="false"/>
          <w:smallCaps w:val="false"/>
        </w:rPr>
        <w:t> </w:t>
      </w:r>
      <w:bookmarkStart w:id="2712" w:name="xdx_8B2_zAWNxheMtyq3"/>
      <w:bookmarkEnd w:id="2712"/>
      <w:r>
        <w:rPr>
          <w:rFonts w:ascii="Times New Roman;Times;Serif" w:hAnsi="Times New Roman;Times;Serif"/>
          <w:b w:val="false"/>
          <w:i w:val="false"/>
          <w:caps w:val="false"/>
          <w:smallCaps w:val="false"/>
          <w:sz w:val="20"/>
        </w:rPr>
        <w:t>Schedule of Future Minimum Lease Payments Under Non-Cancellable Lease</w:t>
      </w:r>
    </w:p>
    <w:tbl>
      <w:tblPr>
        <w:tblW w:w="3965" w:type="dxa"/>
        <w:jc w:val="left"/>
        <w:tblInd w:w="0" w:type="dxa"/>
        <w:tblLayout w:type="fixed"/>
        <w:tblCellMar>
          <w:top w:w="0" w:type="dxa"/>
          <w:left w:w="0" w:type="dxa"/>
          <w:bottom w:w="28" w:type="dxa"/>
          <w:right w:w="0" w:type="dxa"/>
        </w:tblCellMar>
      </w:tblPr>
      <w:tblGrid>
        <w:gridCol w:w="2975"/>
        <w:gridCol w:w="60"/>
        <w:gridCol w:w="140"/>
        <w:gridCol w:w="680"/>
        <w:gridCol w:w="110"/>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Maturities of lease liabilities:</w:t>
            </w:r>
          </w:p>
        </w:tc>
        <w:tc>
          <w:tcPr>
            <w:tcW w:w="60" w:type="dxa"/>
            <w:tcBorders/>
            <w:tcMar>
              <w:bottom w:w="0" w:type="dxa"/>
            </w:tcMar>
            <w:vAlign w:val="center"/>
          </w:tcPr>
          <w:p>
            <w:pPr>
              <w:pStyle w:val="TableContents"/>
              <w:bidi w:val="0"/>
              <w:spacing w:before="0" w:after="283"/>
              <w:jc w:val="left"/>
              <w:rPr/>
            </w:pPr>
            <w:r>
              <w:rPr/>
              <w:t> </w:t>
            </w:r>
            <w:bookmarkStart w:id="2713" w:name="xdx_499_20251231_zvLJUJlA6K2k"/>
            <w:bookmarkEnd w:id="2713"/>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2714" w:name="xdx_40A_eus-gaap--LesseeOperatingLeaseLi"/>
            <w:bookmarkEnd w:id="2714"/>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33,458</w:t>
            </w:r>
          </w:p>
        </w:tc>
        <w:tc>
          <w:tcPr>
            <w:tcW w:w="110" w:type="dxa"/>
            <w:tcBorders/>
            <w:shd w:fill="FFFFFF" w:val="clear"/>
            <w:tcMar>
              <w:bottom w:w="0" w:type="dxa"/>
            </w:tcMar>
            <w:vAlign w:val="center"/>
          </w:tcPr>
          <w:p>
            <w:pPr>
              <w:pStyle w:val="TableContents"/>
              <w:bidi w:val="0"/>
              <w:spacing w:before="0" w:after="283"/>
              <w:jc w:val="left"/>
              <w:rPr/>
            </w:pPr>
            <w:r>
              <w:rPr/>
              <w:t> </w:t>
            </w:r>
            <w:bookmarkStart w:id="2715" w:name="xdx_40E_eus-gaap--LesseeOperatingLeaseLi"/>
            <w:bookmarkEnd w:id="2715"/>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28,235</w:t>
            </w:r>
          </w:p>
        </w:tc>
        <w:tc>
          <w:tcPr>
            <w:tcW w:w="110" w:type="dxa"/>
            <w:tcBorders/>
            <w:shd w:fill="CCEEFF" w:val="clear"/>
            <w:tcMar>
              <w:bottom w:w="0" w:type="dxa"/>
            </w:tcMar>
            <w:vAlign w:val="center"/>
          </w:tcPr>
          <w:p>
            <w:pPr>
              <w:pStyle w:val="TableContents"/>
              <w:bidi w:val="0"/>
              <w:spacing w:before="0" w:after="283"/>
              <w:jc w:val="left"/>
              <w:rPr/>
            </w:pPr>
            <w:r>
              <w:rPr/>
              <w:t> </w:t>
            </w:r>
            <w:bookmarkStart w:id="2716" w:name="xdx_40B_eus-gaap--LesseeOperatingLeaseLi"/>
            <w:bookmarkEnd w:id="2716"/>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2717" w:name="xdx_40B_eus-gaap--LesseeOperatingLeaseLi"/>
            <w:bookmarkEnd w:id="2717"/>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2718" w:name="xdx_409_ecustom--LesseeOperatingLeaseLia"/>
            <w:bookmarkEnd w:id="2718"/>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2719" w:name="xdx_40B_eus-gaap--LesseeOperatingLeaseLi"/>
            <w:bookmarkEnd w:id="2719"/>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61,693</w:t>
            </w:r>
          </w:p>
        </w:tc>
        <w:tc>
          <w:tcPr>
            <w:tcW w:w="110" w:type="dxa"/>
            <w:tcBorders/>
            <w:shd w:fill="CCEEFF" w:val="clear"/>
            <w:tcMar>
              <w:bottom w:w="0" w:type="dxa"/>
            </w:tcMar>
            <w:vAlign w:val="center"/>
          </w:tcPr>
          <w:p>
            <w:pPr>
              <w:pStyle w:val="TableContents"/>
              <w:bidi w:val="0"/>
              <w:spacing w:before="0" w:after="283"/>
              <w:jc w:val="left"/>
              <w:rPr/>
            </w:pPr>
            <w:r>
              <w:rPr/>
              <w:t> </w:t>
            </w:r>
            <w:bookmarkStart w:id="2720" w:name="xdx_407_eus-gaap--LesseeOperatingLeaseLi"/>
            <w:bookmarkEnd w:id="2720"/>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21" w:name="xdx_402_eus-gaap--OperatingLeaseLiabilit"/>
            <w:bookmarkEnd w:id="2721"/>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22" w:name="xdx_8A0_zoCyw6Gvq3q4"/>
      <w:bookmarkEnd w:id="272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 with MZHCI,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entered into an Investor Relations Consulting Agreement (the “Consulting Agreement”) with MZHCI, LLC, a MZ Group Company (“MZHCI”), pursuant to which the Company agreed to issue </w:t>
      </w:r>
      <w:bookmarkStart w:id="2723" w:name="xdx_90C_eus-gaap--RestrictedStockSharesI"/>
      <w:bookmarkEnd w:id="2723"/>
      <w:r>
        <w:rPr>
          <w:rFonts w:ascii="Times New Roman;Times;Serif" w:hAnsi="Times New Roman;Times;Serif"/>
          <w:b w:val="false"/>
          <w:i w:val="false"/>
          <w:caps w:val="false"/>
          <w:smallCaps w:val="false"/>
          <w:sz w:val="20"/>
        </w:rPr>
        <w:t>2,400 restricted shares, partially in exchange for the various investor relations services outlined in the Consulting Agreement. The Company will also pay MZHCI $</w:t>
      </w:r>
      <w:bookmarkStart w:id="2724" w:name="xdx_90F_ecustom--InvestorRelationsServic"/>
      <w:bookmarkEnd w:id="2724"/>
      <w:r>
        <w:rPr>
          <w:rFonts w:ascii="Times New Roman;Times;Serif" w:hAnsi="Times New Roman;Times;Serif"/>
          <w:b w:val="false"/>
          <w:i w:val="false"/>
          <w:caps w:val="false"/>
          <w:smallCaps w:val="false"/>
          <w:sz w:val="20"/>
        </w:rPr>
        <w:t xml:space="preserve">12,500 per month for their investor relations services with an annual </w:t>
      </w:r>
      <w:bookmarkStart w:id="2725" w:name="xdx_90B_ecustom--CostOfLivingAdjustmentP"/>
      <w:bookmarkEnd w:id="2725"/>
      <w:r>
        <w:rPr>
          <w:rFonts w:ascii="Times New Roman;Times;Serif" w:hAnsi="Times New Roman;Times;Serif"/>
          <w:b w:val="false"/>
          <w:i w:val="false"/>
          <w:caps w:val="false"/>
          <w:smallCaps w:val="false"/>
          <w:sz w:val="20"/>
        </w:rPr>
        <w:t>5% cost of living adjustment. This agreement becomes effective upon the execution of the Consulting Agreement and shall remain effective for a period of six (</w:t>
      </w:r>
      <w:bookmarkStart w:id="2726" w:name="xdx_906_ecustom--EffectiveAgreementPerio"/>
      <w:bookmarkEnd w:id="2726"/>
      <w:r>
        <w:rPr>
          <w:rFonts w:ascii="Times New Roman;Times;Serif" w:hAnsi="Times New Roman;Times;Serif"/>
          <w:b w:val="false"/>
          <w:i w:val="false"/>
          <w:caps w:val="false"/>
          <w:smallCaps w:val="false"/>
          <w:sz w:val="20"/>
        </w:rPr>
        <w:t>6) months, unless terminated earlier. The Consulting Agreement shall automatically renew every six (</w:t>
      </w:r>
      <w:bookmarkStart w:id="2727" w:name="xdx_90D_ecustom--AgreementRenewalPeriod_"/>
      <w:bookmarkEnd w:id="2727"/>
      <w:r>
        <w:rPr>
          <w:rFonts w:ascii="Times New Roman;Times;Serif" w:hAnsi="Times New Roman;Times;Serif"/>
          <w:b w:val="false"/>
          <w:i w:val="false"/>
          <w:caps w:val="false"/>
          <w:smallCaps w:val="false"/>
          <w:sz w:val="20"/>
        </w:rPr>
        <w:t>6) months thereafter unless either party delivers to the other sixty (</w:t>
      </w:r>
      <w:bookmarkStart w:id="2728" w:name="xdx_900_ecustom--ServicesAgreementPeriod"/>
      <w:bookmarkEnd w:id="2728"/>
      <w:r>
        <w:rPr>
          <w:rFonts w:ascii="Times New Roman;Times;Serif" w:hAnsi="Times New Roman;Times;Serif"/>
          <w:b w:val="false"/>
          <w:i w:val="false"/>
          <w:caps w:val="false"/>
          <w:smallCaps w:val="false"/>
          <w:sz w:val="20"/>
        </w:rPr>
        <w:t xml:space="preserve">60) days written notice of termination prior to the end of the then-current term. On September 9, 2024, the Company issued </w:t>
      </w:r>
      <w:bookmarkStart w:id="2729" w:name="xdx_90D_eus-gaap--StockIssuedDuringPerio"/>
      <w:bookmarkEnd w:id="2729"/>
      <w:r>
        <w:rPr>
          <w:rFonts w:ascii="Times New Roman;Times;Serif" w:hAnsi="Times New Roman;Times;Serif"/>
          <w:b w:val="false"/>
          <w:i w:val="false"/>
          <w:caps w:val="false"/>
          <w:smallCaps w:val="false"/>
          <w:sz w:val="20"/>
        </w:rPr>
        <w:t>1,200 shares to MZHCI. The shares are exempt from registration pursuant to Section 4(a)(2) of the Securities Act of 1933, as amended, and were issued as restricted stock with an appropriate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Perkins Coie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Repayment Agreement (the “Perkins Repayment Agreement”) where the Company agreed to issue $</w:t>
      </w:r>
      <w:bookmarkStart w:id="2730" w:name="xdx_90B_eus-gaap--StockIssuedDuringPerio"/>
      <w:bookmarkEnd w:id="2730"/>
      <w:r>
        <w:rPr>
          <w:rFonts w:ascii="Times New Roman;Times;Serif" w:hAnsi="Times New Roman;Times;Serif"/>
          <w:b w:val="false"/>
          <w:i w:val="false"/>
          <w:caps w:val="false"/>
          <w:smallCaps w:val="false"/>
          <w:sz w:val="20"/>
        </w:rPr>
        <w:t xml:space="preserve">1,385,000 worth of shares, which the Company shall register no fewer than </w:t>
      </w:r>
      <w:bookmarkStart w:id="2731" w:name="xdx_901_eus-gaap--StockIssuedDuringPerio"/>
      <w:bookmarkEnd w:id="2731"/>
      <w:r>
        <w:rPr>
          <w:rFonts w:ascii="Times New Roman;Times;Serif" w:hAnsi="Times New Roman;Times;Serif"/>
          <w:b w:val="false"/>
          <w:i w:val="false"/>
          <w:caps w:val="false"/>
          <w:smallCaps w:val="false"/>
          <w:sz w:val="20"/>
        </w:rPr>
        <w:t xml:space="preserve">46,000 shares, subject to adjustment, in a registration statement on Form S-1 within </w:t>
      </w:r>
      <w:bookmarkStart w:id="2732" w:name="xdx_90C_ecustom--RegistrationRightsAgree"/>
      <w:bookmarkEnd w:id="2732"/>
      <w:r>
        <w:rPr>
          <w:rFonts w:ascii="Times New Roman;Times;Serif" w:hAnsi="Times New Roman;Times;Serif"/>
          <w:b w:val="false"/>
          <w:i w:val="false"/>
          <w:caps w:val="false"/>
          <w:smallCaps w:val="false"/>
          <w:sz w:val="20"/>
        </w:rPr>
        <w:t xml:space="preserve">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w:t>
      </w:r>
      <w:bookmarkStart w:id="2733" w:name="xdx_902_eus-gaap--StockIssuedDuringPerio"/>
      <w:bookmarkEnd w:id="2733"/>
      <w:r>
        <w:rPr>
          <w:rFonts w:ascii="Times New Roman;Times;Serif" w:hAnsi="Times New Roman;Times;Serif"/>
          <w:b w:val="false"/>
          <w:i w:val="false"/>
          <w:caps w:val="false"/>
          <w:smallCaps w:val="false"/>
          <w:sz w:val="20"/>
        </w:rPr>
        <w:t xml:space="preserve">3,000 shares to Perkins to settle part of the outstanding liability balance. During the year ended December 31, 2025, the Company issued </w:t>
      </w:r>
      <w:bookmarkStart w:id="2734" w:name="xdx_90C_eus-gaap--CommonStockSharesAutho"/>
      <w:bookmarkEnd w:id="2734"/>
      <w:r>
        <w:rPr>
          <w:rFonts w:ascii="Times New Roman;Times;Serif" w:hAnsi="Times New Roman;Times;Serif"/>
          <w:b w:val="false"/>
          <w:i w:val="false"/>
          <w:caps w:val="false"/>
          <w:smallCaps w:val="false"/>
          <w:sz w:val="20"/>
        </w:rPr>
        <w:t>6,500 shares to Perkins to settle the remaining outstanding liability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Cooley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Cooley LLP (“Cooley”) for previously provided legal services (the “Cooley Repayment Agreement”). Under the Cooley Repayment Agreement, the Company’s outstanding fees have been lowered from $</w:t>
      </w:r>
      <w:bookmarkStart w:id="2735" w:name="xdx_907_eus-gaap--DebtInstrumentFeeAmoun"/>
      <w:bookmarkEnd w:id="2735"/>
      <w:r>
        <w:rPr>
          <w:rFonts w:ascii="Times New Roman;Times;Serif" w:hAnsi="Times New Roman;Times;Serif"/>
          <w:b w:val="false"/>
          <w:i w:val="false"/>
          <w:caps w:val="false"/>
          <w:smallCaps w:val="false"/>
          <w:sz w:val="20"/>
        </w:rPr>
        <w:t>1,523,029 to $</w:t>
      </w:r>
      <w:bookmarkStart w:id="2736" w:name="xdx_902_eus-gaap--DebtInstrumentFeeAmoun"/>
      <w:bookmarkEnd w:id="2736"/>
      <w:r>
        <w:rPr>
          <w:rFonts w:ascii="Times New Roman;Times;Serif" w:hAnsi="Times New Roman;Times;Serif"/>
          <w:b w:val="false"/>
          <w:i w:val="false"/>
          <w:caps w:val="false"/>
          <w:smallCaps w:val="false"/>
          <w:sz w:val="20"/>
        </w:rPr>
        <w:t xml:space="preserve">400,000 (the “Cooley Unpaid Fee”) in exchange for </w:t>
      </w:r>
      <w:bookmarkStart w:id="2737" w:name="xdx_905_eus-gaap--DebtInstrumentFrequenc"/>
      <w:bookmarkEnd w:id="2737"/>
      <w:r>
        <w:rPr>
          <w:rFonts w:ascii="Times New Roman;Times;Serif" w:hAnsi="Times New Roman;Times;Serif"/>
          <w:b w:val="false"/>
          <w:i w:val="false"/>
          <w:caps w:val="false"/>
          <w:smallCaps w:val="false"/>
          <w:sz w:val="20"/>
        </w:rPr>
        <w:t>11 monthly installments of $</w:t>
      </w:r>
      <w:bookmarkStart w:id="2738" w:name="xdx_908_eus-gaap--DebtInstrumentPeriodic"/>
      <w:bookmarkEnd w:id="2738"/>
      <w:r>
        <w:rPr>
          <w:rFonts w:ascii="Times New Roman;Times;Serif" w:hAnsi="Times New Roman;Times;Serif"/>
          <w:b w:val="false"/>
          <w:i w:val="false"/>
          <w:caps w:val="false"/>
          <w:smallCaps w:val="false"/>
          <w:sz w:val="20"/>
        </w:rPr>
        <w:t xml:space="preserve">36,300, with the first payment to be made on </w:t>
      </w:r>
      <w:bookmarkStart w:id="2739" w:name="xdx_902_eus-gaap--DebtInstrumentDateOfFi"/>
      <w:bookmarkEnd w:id="2739"/>
      <w:r>
        <w:rPr>
          <w:rFonts w:ascii="Times New Roman;Times;Serif" w:hAnsi="Times New Roman;Times;Serif"/>
          <w:b w:val="false"/>
          <w:i w:val="false"/>
          <w:caps w:val="false"/>
          <w:smallCaps w:val="false"/>
          <w:sz w:val="20"/>
        </w:rPr>
        <w:t>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w:t>
      </w:r>
      <w:bookmarkStart w:id="2740" w:name="xdx_909_eus-gaap--GainsLossesOnExtinguis"/>
      <w:bookmarkEnd w:id="2740"/>
      <w:r>
        <w:rPr>
          <w:rFonts w:ascii="Times New Roman;Times;Serif" w:hAnsi="Times New Roman;Times;Serif"/>
          <w:b w:val="false"/>
          <w:i w:val="false"/>
          <w:caps w:val="false"/>
          <w:smallCaps w:val="false"/>
          <w:sz w:val="20"/>
        </w:rPr>
        <w:t xml:space="preserve">1.1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Letter with CohnReznick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Settlement Letter with CohnReznick LLP (“CohnReznick”) regarding the Company’s unpaid balance totaling $</w:t>
      </w:r>
      <w:bookmarkStart w:id="2741" w:name="xdx_90B_eus-gaap--DebtInstrumentFaceAmou"/>
      <w:bookmarkEnd w:id="2741"/>
      <w:r>
        <w:rPr>
          <w:rFonts w:ascii="Times New Roman;Times;Serif" w:hAnsi="Times New Roman;Times;Serif"/>
          <w:b w:val="false"/>
          <w:i w:val="false"/>
          <w:caps w:val="false"/>
          <w:smallCaps w:val="false"/>
          <w:sz w:val="20"/>
        </w:rPr>
        <w:t>817,400 for services rendered in connection with the 7GC business combination with the Company (the “Settlement Letter”). Under the Settlement Letter, the Company and CohnReznick agreed to settle the total unpaid balance due, upon CohnReznick’s receipt of $</w:t>
      </w:r>
      <w:bookmarkStart w:id="2742" w:name="xdx_908_eus-gaap--ObligationWithJointAnd"/>
      <w:bookmarkEnd w:id="2742"/>
      <w:r>
        <w:rPr>
          <w:rFonts w:ascii="Times New Roman;Times;Serif" w:hAnsi="Times New Roman;Times;Serif"/>
          <w:b w:val="false"/>
          <w:i w:val="false"/>
          <w:caps w:val="false"/>
          <w:smallCaps w:val="false"/>
          <w:sz w:val="20"/>
        </w:rPr>
        <w:t xml:space="preserve">450,000 (the “Settlement Amount”), which will be paid in </w:t>
      </w:r>
      <w:bookmarkStart w:id="2743" w:name="xdx_90F_eus-gaap--DebtInstrumentFrequenc"/>
      <w:bookmarkEnd w:id="2743"/>
      <w:r>
        <w:rPr>
          <w:rFonts w:ascii="Times New Roman;Times;Serif" w:hAnsi="Times New Roman;Times;Serif"/>
          <w:b w:val="false"/>
          <w:i w:val="false"/>
          <w:caps w:val="false"/>
          <w:smallCaps w:val="false"/>
          <w:sz w:val="20"/>
        </w:rPr>
        <w:t>15 equal monthly installments of $</w:t>
      </w:r>
      <w:bookmarkStart w:id="2744" w:name="xdx_90B_eus-gaap--DebtInstrumentPeriodic"/>
      <w:bookmarkEnd w:id="2744"/>
      <w:r>
        <w:rPr>
          <w:rFonts w:ascii="Times New Roman;Times;Serif" w:hAnsi="Times New Roman;Times;Serif"/>
          <w:b w:val="false"/>
          <w:i w:val="false"/>
          <w:caps w:val="false"/>
          <w:smallCaps w:val="false"/>
          <w:sz w:val="20"/>
        </w:rPr>
        <w:t xml:space="preserve">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w:t>
      </w:r>
      <w:r>
        <w:rPr>
          <w:rFonts w:ascii="Times New Roman;Times;Serif" w:hAnsi="Times New Roman;Times;Serif"/>
          <w:b w:val="false"/>
          <w:i w:val="false"/>
          <w:caps w:val="false"/>
          <w:smallCaps w:val="false"/>
          <w:sz w:val="20"/>
          <w:shd w:fill="FFFFFF" w:val="clear"/>
        </w:rPr>
        <w:t>The remaining unpaid balance of $</w:t>
      </w:r>
      <w:bookmarkStart w:id="2745" w:name="xdx_909_eus-gaap--DebtInstrumentFaceAmou"/>
      <w:bookmarkEnd w:id="2745"/>
      <w:r>
        <w:rPr>
          <w:rFonts w:ascii="Times New Roman;Times;Serif" w:hAnsi="Times New Roman;Times;Serif"/>
          <w:b w:val="false"/>
          <w:i w:val="false"/>
          <w:caps w:val="false"/>
          <w:smallCaps w:val="false"/>
          <w:sz w:val="20"/>
          <w:shd w:fill="FFFFFF" w:val="clear"/>
        </w:rPr>
        <w:t>577,400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entered into a Repayment Agreement with Sidley Austin LLP (“Sidley”) for previously provided legal services (the “Sidley Repayment Agreement”). Under the Sidley Repayment Agreement, the Company’s outstanding fees have been lowered from $</w:t>
      </w:r>
      <w:bookmarkStart w:id="2746" w:name="xdx_903_eus-gaap--DebtInstrumentFeeAmoun"/>
      <w:bookmarkEnd w:id="2746"/>
      <w:r>
        <w:rPr>
          <w:rFonts w:ascii="Times New Roman;Times;Serif" w:hAnsi="Times New Roman;Times;Serif"/>
          <w:b w:val="false"/>
          <w:i w:val="false"/>
          <w:caps w:val="false"/>
          <w:smallCaps w:val="false"/>
          <w:sz w:val="20"/>
        </w:rPr>
        <w:t>4,815,979 to $</w:t>
      </w:r>
      <w:bookmarkStart w:id="2747" w:name="xdx_90A_eus-gaap--DebtInstrumentFeeAmoun"/>
      <w:bookmarkEnd w:id="2747"/>
      <w:r>
        <w:rPr>
          <w:rFonts w:ascii="Times New Roman;Times;Serif" w:hAnsi="Times New Roman;Times;Serif"/>
          <w:b w:val="false"/>
          <w:i w:val="false"/>
          <w:caps w:val="false"/>
          <w:smallCaps w:val="false"/>
          <w:sz w:val="20"/>
        </w:rPr>
        <w:t xml:space="preserve">1,605,326 (the “Sidley Unpaid Fee”). Under the Sidley Repayment Agreement, the Company agrees to </w:t>
      </w:r>
      <w:bookmarkStart w:id="2748" w:name="xdx_901_eus-gaap--DebtInstrumentFrequenc"/>
      <w:bookmarkEnd w:id="2748"/>
      <w:r>
        <w:rPr>
          <w:rFonts w:ascii="Times New Roman;Times;Serif" w:hAnsi="Times New Roman;Times;Serif"/>
          <w:b w:val="false"/>
          <w:i w:val="false"/>
          <w:caps w:val="false"/>
          <w:smallCaps w:val="false"/>
          <w:sz w:val="20"/>
        </w:rPr>
        <w:t xml:space="preserve">12 monthly payments that Sidley applies to the balance of the Sidley </w:t>
      </w:r>
      <w:bookmarkStart w:id="2749" w:name="xdx_904_ecustom--UnpaidFeeDescription_c2"/>
      <w:bookmarkEnd w:id="2749"/>
      <w:r>
        <w:rPr>
          <w:rFonts w:ascii="Times New Roman;Times;Serif" w:hAnsi="Times New Roman;Times;Serif"/>
          <w:b w:val="false"/>
          <w:i w:val="false"/>
          <w:caps w:val="false"/>
          <w:smallCaps w:val="false"/>
          <w:sz w:val="20"/>
        </w:rPr>
        <w:t xml:space="preserve">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w:t>
      </w:r>
      <w:bookmarkStart w:id="2750" w:name="xdx_905_ecustom--ShortfallAccrueInterest"/>
      <w:bookmarkEnd w:id="2750"/>
      <w:r>
        <w:rPr>
          <w:rFonts w:ascii="Times New Roman;Times;Serif" w:hAnsi="Times New Roman;Times;Serif"/>
          <w:b w:val="false"/>
          <w:i w:val="false"/>
          <w:caps w:val="false"/>
          <w:smallCaps w:val="false"/>
          <w:sz w:val="20"/>
        </w:rPr>
        <w:t xml:space="preserve">12% per annum, compounded daily, until such payment is made. As such, in accordance with ASC 470-60, </w:t>
      </w:r>
      <w:bookmarkStart w:id="2751" w:name="xdx_903_eus-gaap--GainsLossesOnExtinguis"/>
      <w:bookmarkEnd w:id="2751"/>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w:t>
      </w:r>
      <w:bookmarkStart w:id="2752" w:name="xdx_906_eus-gaap--GainsLossesOnExtinguis"/>
      <w:bookmarkEnd w:id="2752"/>
      <w:r>
        <w:rPr>
          <w:rFonts w:ascii="Times New Roman;Times;Serif" w:hAnsi="Times New Roman;Times;Serif"/>
          <w:b w:val="false"/>
          <w:i w:val="false"/>
          <w:caps w:val="false"/>
          <w:smallCaps w:val="false"/>
          <w:sz w:val="20"/>
        </w:rPr>
        <w:t xml:space="preserve">3.2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w:t>
      </w:r>
      <w:bookmarkStart w:id="2753" w:name="xdx_903_eus-gaap--DebtInstrumentFeeAmoun"/>
      <w:bookmarkEnd w:id="2753"/>
      <w:r>
        <w:rPr>
          <w:rFonts w:ascii="Times New Roman;Times;Serif" w:hAnsi="Times New Roman;Times;Serif"/>
          <w:b w:val="false"/>
          <w:i w:val="false"/>
          <w:caps w:val="false"/>
          <w:smallCaps w:val="false"/>
          <w:sz w:val="20"/>
        </w:rPr>
        <w:t>1,072,148 to $</w:t>
      </w:r>
      <w:bookmarkStart w:id="2754" w:name="xdx_903_eus-gaap--DebtInstrumentFeeAmoun"/>
      <w:bookmarkEnd w:id="2754"/>
      <w:r>
        <w:rPr>
          <w:rFonts w:ascii="Times New Roman;Times;Serif" w:hAnsi="Times New Roman;Times;Serif"/>
          <w:b w:val="false"/>
          <w:i w:val="false"/>
          <w:caps w:val="false"/>
          <w:smallCaps w:val="false"/>
          <w:sz w:val="20"/>
        </w:rPr>
        <w:t xml:space="preserve">357,025 (the “Donnelley Unpaid Fee”). The Donnelley Unpaid Fee will be paid in </w:t>
      </w:r>
      <w:bookmarkStart w:id="2755" w:name="xdx_906_eus-gaap--DebtInstrumentFrequenc"/>
      <w:bookmarkEnd w:id="2755"/>
      <w:r>
        <w:rPr>
          <w:rFonts w:ascii="Times New Roman;Times;Serif" w:hAnsi="Times New Roman;Times;Serif"/>
          <w:b w:val="false"/>
          <w:i w:val="false"/>
          <w:caps w:val="false"/>
          <w:smallCaps w:val="false"/>
          <w:sz w:val="20"/>
        </w:rPr>
        <w:t>12 monthly installments, with the first monthly payment of $</w:t>
      </w:r>
      <w:bookmarkStart w:id="2756" w:name="xdx_90E_eus-gaap--DebtInstrumentPeriodic"/>
      <w:bookmarkEnd w:id="2756"/>
      <w:r>
        <w:rPr>
          <w:rFonts w:ascii="Times New Roman;Times;Serif" w:hAnsi="Times New Roman;Times;Serif"/>
          <w:b w:val="false"/>
          <w:i w:val="false"/>
          <w:caps w:val="false"/>
          <w:smallCaps w:val="false"/>
          <w:sz w:val="20"/>
        </w:rPr>
        <w:t xml:space="preserve">45,000 due on October 1, 2024; the remaining </w:t>
      </w:r>
      <w:bookmarkStart w:id="2757" w:name="xdx_907_ecustom--NumberOfInstallmentsRem"/>
      <w:bookmarkEnd w:id="2757"/>
      <w:r>
        <w:rPr>
          <w:rFonts w:ascii="Times New Roman;Times;Serif" w:hAnsi="Times New Roman;Times;Serif"/>
          <w:b w:val="false"/>
          <w:i w:val="false"/>
          <w:caps w:val="false"/>
          <w:smallCaps w:val="false"/>
          <w:sz w:val="20"/>
        </w:rPr>
        <w:t>11 payments shall each be in the amount of $</w:t>
      </w:r>
      <w:bookmarkStart w:id="2758" w:name="xdx_90F_ecustom--RemainingMonthlyInstall"/>
      <w:bookmarkEnd w:id="2758"/>
      <w:r>
        <w:rPr>
          <w:rFonts w:ascii="Times New Roman;Times;Serif" w:hAnsi="Times New Roman;Times;Serif"/>
          <w:b w:val="false"/>
          <w:i w:val="false"/>
          <w:caps w:val="false"/>
          <w:smallCaps w:val="false"/>
          <w:sz w:val="20"/>
        </w:rPr>
        <w:t xml:space="preserve">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w:t>
      </w:r>
      <w:bookmarkStart w:id="2759" w:name="xdx_90B_eus-gaap--GainsLossesOnExtinguis"/>
      <w:bookmarkEnd w:id="2759"/>
      <w:r>
        <w:rPr>
          <w:rFonts w:ascii="Times New Roman;Times;Serif" w:hAnsi="Times New Roman;Times;Serif"/>
          <w:b w:val="false"/>
          <w:i w:val="false"/>
          <w:caps w:val="false"/>
          <w:smallCaps w:val="false"/>
          <w:sz w:val="20"/>
        </w:rPr>
        <w:t>no gain on settlement will be recorded until all payments have been made as required and the potential obligation to pay the amounts written off are eliminated. The remaining unpaid balance of $</w:t>
      </w:r>
      <w:bookmarkStart w:id="2760" w:name="xdx_905_eus-gaap--DebtInstrumentFeeAmoun"/>
      <w:bookmarkEnd w:id="2760"/>
      <w:r>
        <w:rPr>
          <w:rFonts w:ascii="Times New Roman;Times;Serif" w:hAnsi="Times New Roman;Times;Serif"/>
          <w:b w:val="false"/>
          <w:i w:val="false"/>
          <w:caps w:val="false"/>
          <w:smallCaps w:val="false"/>
          <w:sz w:val="20"/>
        </w:rPr>
        <w:t>85,098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w:t>
      </w:r>
      <w:bookmarkStart w:id="2761" w:name="xdx_90D_eus-gaap--DebtInstrumentFeeAmoun"/>
      <w:bookmarkEnd w:id="2761"/>
      <w:r>
        <w:rPr>
          <w:rFonts w:ascii="Times New Roman;Times;Serif" w:hAnsi="Times New Roman;Times;Serif"/>
          <w:b w:val="false"/>
          <w:i w:val="false"/>
          <w:caps w:val="false"/>
          <w:smallCaps w:val="false"/>
          <w:sz w:val="20"/>
        </w:rPr>
        <w:t>196,666 (the “Verista Unpaid Fee”). The Company and Verista have agreed that the Verista Unpaid Fee will be repaid with $</w:t>
      </w:r>
      <w:bookmarkStart w:id="2762" w:name="xdx_90B_eus-gaap--StockIssuedDuringPerio"/>
      <w:bookmarkEnd w:id="2762"/>
      <w:r>
        <w:rPr>
          <w:rFonts w:ascii="Times New Roman;Times;Serif" w:hAnsi="Times New Roman;Times;Serif"/>
          <w:b w:val="false"/>
          <w:i w:val="false"/>
          <w:caps w:val="false"/>
          <w:smallCaps w:val="false"/>
          <w:sz w:val="20"/>
        </w:rPr>
        <w:t>66,666 worth of shares of the Company, and $</w:t>
      </w:r>
      <w:bookmarkStart w:id="2763" w:name="xdx_902_ecustom--DebtInstrumentFeeRemain"/>
      <w:bookmarkEnd w:id="2763"/>
      <w:r>
        <w:rPr>
          <w:rFonts w:ascii="Times New Roman;Times;Serif" w:hAnsi="Times New Roman;Times;Serif"/>
          <w:b w:val="false"/>
          <w:i w:val="false"/>
          <w:caps w:val="false"/>
          <w:smallCaps w:val="false"/>
          <w:sz w:val="20"/>
        </w:rPr>
        <w:t xml:space="preserve">130,000 in </w:t>
      </w:r>
      <w:bookmarkStart w:id="2764" w:name="xdx_909_eus-gaap--DebtInstrumentFrequenc"/>
      <w:bookmarkEnd w:id="2764"/>
      <w:r>
        <w:rPr>
          <w:rFonts w:ascii="Times New Roman;Times;Serif" w:hAnsi="Times New Roman;Times;Serif"/>
          <w:b w:val="false"/>
          <w:i w:val="false"/>
          <w:caps w:val="false"/>
          <w:smallCaps w:val="false"/>
          <w:sz w:val="20"/>
        </w:rPr>
        <w:t>16 equal cash installment payments of $</w:t>
      </w:r>
      <w:bookmarkStart w:id="2765" w:name="xdx_90C_ecustom--RemainingMonthlyInstall"/>
      <w:bookmarkEnd w:id="2765"/>
      <w:r>
        <w:rPr>
          <w:rFonts w:ascii="Times New Roman;Times;Serif" w:hAnsi="Times New Roman;Times;Serif"/>
          <w:b w:val="false"/>
          <w:i w:val="false"/>
          <w:caps w:val="false"/>
          <w:smallCaps w:val="false"/>
          <w:sz w:val="20"/>
        </w:rPr>
        <w:t xml:space="preserve">8,125, beginning on October 1, 2024, and on the first day of each month thereafter through January 1, 2026. As of December 31, 2025, the Company had issued </w:t>
      </w:r>
      <w:bookmarkStart w:id="2766" w:name="xdx_90A_eus-gaap--StockIssuedDuringPerio"/>
      <w:bookmarkEnd w:id="2766"/>
      <w:r>
        <w:rPr>
          <w:rFonts w:ascii="Times New Roman;Times;Serif" w:hAnsi="Times New Roman;Times;Serif"/>
          <w:b w:val="false"/>
          <w:i w:val="false"/>
          <w:caps w:val="false"/>
          <w:smallCaps w:val="false"/>
          <w:sz w:val="20"/>
        </w:rPr>
        <w:t>150 shares and made aggregate installment payments of $</w:t>
      </w:r>
      <w:bookmarkStart w:id="2767" w:name="xdx_908_eus-gaap--DebtInstrumentPeriodic"/>
      <w:bookmarkEnd w:id="2767"/>
      <w:r>
        <w:rPr>
          <w:rFonts w:ascii="Times New Roman;Times;Serif" w:hAnsi="Times New Roman;Times;Serif"/>
          <w:b w:val="false"/>
          <w:i w:val="false"/>
          <w:caps w:val="false"/>
          <w:smallCaps w:val="false"/>
          <w:sz w:val="20"/>
        </w:rPr>
        <w:t>78,437 to Verista. The remaining unpaid balance of $</w:t>
      </w:r>
      <w:bookmarkStart w:id="2768" w:name="xdx_907_eus-gaap--DebtInstrumentFeeAmoun"/>
      <w:bookmarkEnd w:id="2768"/>
      <w:r>
        <w:rPr>
          <w:rFonts w:ascii="Times New Roman;Times;Serif" w:hAnsi="Times New Roman;Times;Serif"/>
          <w:b w:val="false"/>
          <w:i w:val="false"/>
          <w:caps w:val="false"/>
          <w:smallCaps w:val="false"/>
          <w:sz w:val="20"/>
        </w:rPr>
        <w:t>45,785 is included in Accounts Payable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w:t>
      </w:r>
      <w:bookmarkStart w:id="2769" w:name="xdx_906_ecustom--LiquidatedDamagesToBePa"/>
      <w:bookmarkEnd w:id="2769"/>
      <w:r>
        <w:rPr>
          <w:rFonts w:ascii="Times New Roman;Times;Serif" w:hAnsi="Times New Roman;Times;Serif"/>
          <w:b w:val="false"/>
          <w:i w:val="false"/>
          <w:caps w:val="false"/>
          <w:smallCaps w:val="false"/>
          <w:sz w:val="20"/>
        </w:rPr>
        <w:t>500,000 in liquidated damages to cover certain transaction expenses that Act-On incurred in connection with the merger contemplated by the Merger Agreement and $</w:t>
      </w:r>
      <w:bookmarkStart w:id="2770" w:name="xdx_90A_ecustom--AdditionalInterestAndEx"/>
      <w:bookmarkEnd w:id="2770"/>
      <w:r>
        <w:rPr>
          <w:rFonts w:ascii="Times New Roman;Times;Serif" w:hAnsi="Times New Roman;Times;Serif"/>
          <w:b w:val="false"/>
          <w:i w:val="false"/>
          <w:caps w:val="false"/>
          <w:smallCaps w:val="false"/>
          <w:sz w:val="20"/>
        </w:rPr>
        <w:t>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w:t>
      </w:r>
      <w:bookmarkStart w:id="2771" w:name="xdx_901_ecustom--AmountOwed_iI_c20251231"/>
      <w:bookmarkEnd w:id="2771"/>
      <w:r>
        <w:rPr>
          <w:rFonts w:ascii="Times New Roman;Times;Serif" w:hAnsi="Times New Roman;Times;Serif"/>
          <w:b w:val="false"/>
          <w:i w:val="false"/>
          <w:caps w:val="false"/>
          <w:smallCaps w:val="false"/>
          <w:sz w:val="20"/>
        </w:rPr>
        <w:t>1,382,030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bookmarkStart w:id="2772" w:name="xdx_804_eus-gaap--StockholdersEquityNote"/>
      <w:bookmarkEnd w:id="2772"/>
      <w:r>
        <w:rPr>
          <w:rFonts w:ascii="Times New Roman;Times;Serif" w:hAnsi="Times New Roman;Times;Serif"/>
          <w:b/>
          <w:i w:val="false"/>
          <w:caps w:val="false"/>
          <w:smallCaps w:val="false"/>
          <w:sz w:val="20"/>
          <w:shd w:fill="FFFFFF" w:val="clear"/>
        </w:rPr>
        <w:t xml:space="preserve">15. </w:t>
      </w:r>
      <w:bookmarkStart w:id="2773" w:name="xdx_820_zyKB5B9AiMnj"/>
      <w:bookmarkEnd w:id="2773"/>
      <w:r>
        <w:rPr>
          <w:rFonts w:ascii="Times New Roman;Times;Serif" w:hAnsi="Times New Roman;Times;Serif"/>
          <w:b/>
          <w:i w:val="false"/>
          <w:caps w:val="false"/>
          <w:smallCaps w:val="false"/>
          <w:sz w:val="20"/>
          <w:shd w:fill="FFFFFF" w:val="clear"/>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w:t>
      </w:r>
      <w:bookmarkStart w:id="2774" w:name="xdx_903_eus-gaap--PreferredStockParOrSta"/>
      <w:bookmarkEnd w:id="2774"/>
      <w:r>
        <w:rPr>
          <w:rFonts w:ascii="Times New Roman;Times;Serif" w:hAnsi="Times New Roman;Times;Serif"/>
          <w:b w:val="false"/>
          <w:i w:val="false"/>
          <w:caps w:val="false"/>
          <w:smallCaps w:val="false"/>
          <w:sz w:val="20"/>
          <w:shd w:fill="FFFFFF" w:val="clear"/>
        </w:rPr>
        <w:t xml:space="preserve">0.0001 per share. The table below sets forth information about the Company’s equity, as of December 31, 2025: </w:t>
      </w:r>
    </w:p>
    <w:p>
      <w:pPr>
        <w:pStyle w:val="TextBody"/>
        <w:bidi w:val="0"/>
        <w:spacing w:before="0" w:after="0"/>
        <w:ind w:left="0" w:right="0" w:hanging="0"/>
        <w:jc w:val="both"/>
        <w:rPr>
          <w:caps w:val="false"/>
          <w:smallCaps w:val="false"/>
        </w:rPr>
      </w:pPr>
      <w:bookmarkStart w:id="2775" w:name="xdx_890_eus-gaap--ScheduleOfStockByClass"/>
      <w:bookmarkEnd w:id="2775"/>
      <w:r>
        <w:rPr>
          <w:caps w:val="false"/>
          <w:smallCaps w:val="false"/>
        </w:rPr>
        <w:t> </w:t>
      </w:r>
      <w:bookmarkStart w:id="2776" w:name="xdx_8B2_zfSVNBEGOx8f"/>
      <w:bookmarkEnd w:id="2776"/>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77" w:name="xdx_987_eus-gaap--PreferredStockSharesAu"/>
            <w:bookmarkEnd w:id="2777"/>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78" w:name="xdx_980_eus-gaap--PreferredStockSharesIs"/>
            <w:bookmarkEnd w:id="2778"/>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779" w:name="xdx_98E_eus-gaap--PreferredStockSharesOu"/>
            <w:bookmarkEnd w:id="2779"/>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780" w:name="xdx_98D_eus-gaap--PreferredStockSharesAu"/>
            <w:bookmarkEnd w:id="2780"/>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781" w:name="xdx_98F_eus-gaap--PreferredStockSharesIs"/>
            <w:bookmarkEnd w:id="2781"/>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2782" w:name="xdx_981_eus-gaap--PreferredStockSharesOu"/>
            <w:bookmarkEnd w:id="2782"/>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83" w:name="xdx_98D_eus-gaap--CommonStockSharesAutho"/>
            <w:bookmarkEnd w:id="278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84" w:name="xdx_98B_eus-gaap--CommonStockSharesIssue"/>
            <w:bookmarkEnd w:id="2784"/>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2785" w:name="xdx_984_eus-gaap--CommonStockSharesOutst"/>
            <w:bookmarkEnd w:id="2785"/>
          </w:p>
        </w:tc>
        <w:tc>
          <w:tcPr>
            <w:tcW w:w="11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86" w:name="xdx_98A_eus-gaap--CommonStockSharesAutho"/>
            <w:bookmarkEnd w:id="2786"/>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87" w:name="xdx_980_eus-gaap--CommonStockSharesIssue"/>
            <w:bookmarkEnd w:id="2787"/>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788" w:name="xdx_98A_eus-gaap--CommonStockSharesOutst"/>
            <w:bookmarkEnd w:id="2788"/>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89" w:name="xdx_985_ecustom--SharesAuthorized_iI_pid"/>
            <w:bookmarkEnd w:id="278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90" w:name="xdx_98C_eus-gaap--SharesIssued_iI_pid_c2"/>
            <w:bookmarkEnd w:id="2790"/>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91" w:name="xdx_98E_eus-gaap--SharesOutstanding_iI_p"/>
            <w:bookmarkEnd w:id="2791"/>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92" w:name="xdx_8AB_zXLIBZfgFTI6"/>
      <w:bookmarkEnd w:id="279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93" w:name="xdx_90E_eus-gaap--CommonStockVotingRight"/>
      <w:bookmarkEnd w:id="2793"/>
      <w:r>
        <w:rPr>
          <w:rFonts w:ascii="Times New Roman;Times;Serif" w:hAnsi="Times New Roman;Times;Serif"/>
          <w:b w:val="false"/>
          <w:i w:val="false"/>
          <w:caps w:val="false"/>
          <w:smallCaps w:val="false"/>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w:t>
      </w:r>
      <w:bookmarkStart w:id="2794" w:name="xdx_900_eus-gaap--PreferredStockSharesIs"/>
      <w:bookmarkEnd w:id="2794"/>
      <w:r>
        <w:rPr>
          <w:rFonts w:ascii="Times New Roman;Times;Serif" w:hAnsi="Times New Roman;Times;Serif"/>
          <w:b w:val="false"/>
          <w:i w:val="false"/>
          <w:caps w:val="false"/>
          <w:smallCaps w:val="false"/>
          <w:sz w:val="20"/>
        </w:rPr>
        <w:t>1) share of series FE preferred stock (the “Series FE Preferred Stock”), to one of the OpenReel Stockholders, FE IV OR Aggregator, LLC. The Series FE Preferred Stock has a two (</w:t>
      </w:r>
      <w:bookmarkStart w:id="2795" w:name="xdx_907_eus-gaap--PreferredStockContract"/>
      <w:bookmarkEnd w:id="2795"/>
      <w:r>
        <w:rPr>
          <w:rFonts w:ascii="Times New Roman;Times;Serif" w:hAnsi="Times New Roman;Times;Serif"/>
          <w:b w:val="false"/>
          <w:i w:val="false"/>
          <w:caps w:val="false"/>
          <w:smallCaps w:val="false"/>
          <w:sz w:val="20"/>
        </w:rPr>
        <w:t>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w:t>
      </w:r>
      <w:bookmarkStart w:id="2796" w:name="xdx_90C_eus-gaap--AssetAcquisitionConsid"/>
      <w:bookmarkEnd w:id="2796"/>
      <w:r>
        <w:rPr>
          <w:rFonts w:ascii="Times New Roman;Times;Serif" w:hAnsi="Times New Roman;Times;Serif"/>
          <w:b w:val="false"/>
          <w:i w:val="false"/>
          <w:caps w:val="false"/>
          <w:smallCaps w:val="false"/>
          <w:sz w:val="20"/>
        </w:rPr>
        <w:t>100,000,000 of the Company’s shares of Class A common stock, par value $</w:t>
      </w:r>
      <w:bookmarkStart w:id="2797" w:name="xdx_90D_eus-gaap--CommonStockParOrStated"/>
      <w:bookmarkEnd w:id="2797"/>
      <w:r>
        <w:rPr>
          <w:rFonts w:ascii="Times New Roman;Times;Serif" w:hAnsi="Times New Roman;Times;Serif"/>
          <w:b w:val="false"/>
          <w:i w:val="false"/>
          <w:caps w:val="false"/>
          <w:smallCaps w:val="false"/>
          <w:sz w:val="20"/>
        </w:rPr>
        <w:t>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advance (each, an “Advance”) the Company requests under the SEPA (notice of such request, an “Advance Notice”) may be for a number of shares of Class A common stock up to the greater of (i) </w:t>
      </w:r>
      <w:bookmarkStart w:id="2798" w:name="xdx_906_eus-gaap--InvestmentCompanyExpen"/>
      <w:bookmarkEnd w:id="2798"/>
      <w:r>
        <w:rPr>
          <w:rFonts w:ascii="Times New Roman;Times;Serif" w:hAnsi="Times New Roman;Times;Serif"/>
          <w:b w:val="false"/>
          <w:i w:val="false"/>
          <w:caps w:val="false"/>
          <w:smallCaps w:val="false"/>
          <w:sz w:val="20"/>
        </w:rPr>
        <w:t xml:space="preserve">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w:t>
      </w:r>
      <w:bookmarkStart w:id="2799" w:name="xdx_902_ecustom--PercentageOfSharesOutst"/>
      <w:bookmarkEnd w:id="2799"/>
      <w:r>
        <w:rPr>
          <w:rFonts w:ascii="Times New Roman;Times;Serif" w:hAnsi="Times New Roman;Times;Serif"/>
          <w:b w:val="false"/>
          <w:i w:val="false"/>
          <w:caps w:val="false"/>
          <w:smallCaps w:val="false"/>
          <w:sz w:val="20"/>
        </w:rPr>
        <w:t>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00" w:name="xdx_90C_ecustom--PercentageOfAverageDail"/>
            <w:bookmarkEnd w:id="2800"/>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01" w:name="xdx_904_ecustom--PercentageOfLowestDaily"/>
            <w:bookmarkEnd w:id="2801"/>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purchase under an Advance would be subject to certain limitations, including that Yorkville shall not purchase or acquire any shares that would result in it and its affiliates beneficially owning more than </w:t>
      </w:r>
      <w:bookmarkStart w:id="2802" w:name="xdx_902_ecustom--PurchaseOfStockPercenta"/>
      <w:bookmarkStart w:id="2803" w:name="xdx_90D_ecustom--PurchaseOfStockPercenta"/>
      <w:bookmarkEnd w:id="2802"/>
      <w:bookmarkEnd w:id="2803"/>
      <w:r>
        <w:rPr>
          <w:rFonts w:ascii="Times New Roman;Times;Serif" w:hAnsi="Times New Roman;Times;Serif"/>
          <w:b w:val="false"/>
          <w:i w:val="false"/>
          <w:caps w:val="false"/>
          <w:smallCaps w:val="false"/>
          <w:sz w:val="20"/>
        </w:rPr>
        <w:t xml:space="preserve">9.99% of the then outstanding voting power or number of shares of Class A common stock or any shares that, aggregated with shares issued under all other earlier Advances, would exceed </w:t>
      </w:r>
      <w:bookmarkStart w:id="2804" w:name="xdx_906_ecustom--PurchaseOfStockPercenta"/>
      <w:bookmarkStart w:id="2805" w:name="xdx_904_ecustom--PurchaseOfStockPercenta"/>
      <w:bookmarkEnd w:id="2804"/>
      <w:bookmarkEnd w:id="2805"/>
      <w:r>
        <w:rPr>
          <w:rFonts w:ascii="Times New Roman;Times;Serif" w:hAnsi="Times New Roman;Times;Serif"/>
          <w:b w:val="false"/>
          <w:i w:val="false"/>
          <w:caps w:val="false"/>
          <w:smallCaps w:val="false"/>
          <w:sz w:val="20"/>
        </w:rPr>
        <w:t>19.99% of all shares of Class A common stock and Class B common stock of the Company, par value $</w:t>
      </w:r>
      <w:bookmarkStart w:id="2806" w:name="xdx_906_eus-gaap--CommonStockParOrStated"/>
      <w:bookmarkStart w:id="2807" w:name="xdx_900_eus-gaap--CommonStockParOrStated"/>
      <w:bookmarkEnd w:id="2806"/>
      <w:bookmarkEnd w:id="2807"/>
      <w:r>
        <w:rPr>
          <w:rFonts w:ascii="Times New Roman;Times;Serif" w:hAnsi="Times New Roman;Times;Serif"/>
          <w:b w:val="false"/>
          <w:i w:val="false"/>
          <w:caps w:val="false"/>
          <w:smallCaps w:val="false"/>
          <w:sz w:val="20"/>
        </w:rPr>
        <w:t>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w:t>
      </w:r>
      <w:bookmarkStart w:id="2808" w:name="xdx_907_ecustom--CommitmentFeePayable_iI"/>
      <w:bookmarkEnd w:id="2808"/>
      <w:r>
        <w:rPr>
          <w:rFonts w:ascii="Times New Roman;Times;Serif" w:hAnsi="Times New Roman;Times;Serif"/>
          <w:b w:val="false"/>
          <w:i w:val="false"/>
          <w:caps w:val="false"/>
          <w:smallCaps w:val="false"/>
          <w:sz w:val="20"/>
        </w:rPr>
        <w:t xml:space="preserve">500,000 to Yorkville at the earlier of (i) March 14, 2024 or (ii) the termination of the SEPA, which will be payable, at the option of the Company, in cash or shares of Class A common stock through an Advance (the “Deferred Fee”). In March 2024 the Company issued </w:t>
      </w:r>
      <w:bookmarkStart w:id="2809" w:name="xdx_906_ecustom--SharesIssuedAsPaymentOf"/>
      <w:bookmarkEnd w:id="2809"/>
      <w:r>
        <w:rPr>
          <w:rFonts w:ascii="Times New Roman;Times;Serif" w:hAnsi="Times New Roman;Times;Serif"/>
          <w:b w:val="false"/>
          <w:i w:val="false"/>
          <w:caps w:val="false"/>
          <w:smallCaps w:val="false"/>
          <w:sz w:val="20"/>
        </w:rPr>
        <w:t>71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w:t>
      </w:r>
      <w:bookmarkStart w:id="2810" w:name="xdx_90B_eus-gaap--SharesIssuedPricePerSh"/>
      <w:bookmarkEnd w:id="2810"/>
      <w:r>
        <w:rPr>
          <w:rFonts w:ascii="Times New Roman;Times;Serif" w:hAnsi="Times New Roman;Times;Serif"/>
          <w:b w:val="false"/>
          <w:i w:val="false"/>
          <w:caps w:val="false"/>
          <w:smallCaps w:val="false"/>
          <w:sz w:val="20"/>
        </w:rPr>
        <w:t xml:space="preserve">5,000 per share of Class A common stock (the “Fixed Price”), or (ii) </w:t>
      </w:r>
      <w:bookmarkStart w:id="2811" w:name="xdx_907_ecustom--PercentageOfLowestDaily"/>
      <w:bookmarkEnd w:id="2811"/>
      <w:r>
        <w:rPr>
          <w:rFonts w:ascii="Times New Roman;Times;Serif" w:hAnsi="Times New Roman;Times;Serif"/>
          <w:b w:val="false"/>
          <w:i w:val="false"/>
          <w:caps w:val="false"/>
          <w:smallCaps w:val="false"/>
          <w:sz w:val="20"/>
        </w:rPr>
        <w:t>90% of the lowest daily Volume Weighted Average Price (“VWAP”) of the Class A common stock on Nasdaq during the 10 consecutive Trading Days immediately preceding the Investor Notice date or other date of determination (the “Variable Price”). The Variable Price shall not be lower than $</w:t>
      </w:r>
      <w:bookmarkStart w:id="2812" w:name="xdx_90D_ecustom--MaximumFloorPrice_iI_pi"/>
      <w:bookmarkEnd w:id="2812"/>
      <w:r>
        <w:rPr>
          <w:rFonts w:ascii="Times New Roman;Times;Serif" w:hAnsi="Times New Roman;Times;Serif"/>
          <w:b w:val="false"/>
          <w:i w:val="false"/>
          <w:caps w:val="false"/>
          <w:smallCaps w:val="false"/>
          <w:sz w:val="20"/>
        </w:rPr>
        <w:t xml:space="preserve">20,000.00 per share (the “Floor Price”). </w:t>
      </w:r>
      <w:bookmarkStart w:id="2813" w:name="xdx_907_ecustom--FloorPriceAdjustment_pi"/>
      <w:bookmarkEnd w:id="2813"/>
      <w:r>
        <w:rPr>
          <w:rFonts w:ascii="Times New Roman;Times;Serif" w:hAnsi="Times New Roman;Times;Serif"/>
          <w:b w:val="false"/>
          <w:i w:val="false"/>
          <w:caps w:val="false"/>
          <w:smallCaps w:val="false"/>
          <w:sz w:val="20"/>
        </w:rPr>
        <w:t xml:space="preserve">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w:t>
      </w:r>
      <w:bookmarkStart w:id="2814" w:name="xdx_90D_ecustom--MaximumPercentageOfClos"/>
      <w:bookmarkEnd w:id="2814"/>
      <w:r>
        <w:rPr>
          <w:rFonts w:ascii="Times New Roman;Times;Serif" w:hAnsi="Times New Roman;Times;Serif"/>
          <w:b w:val="false"/>
          <w:i w:val="false"/>
          <w:caps w:val="false"/>
          <w:smallCaps w:val="false"/>
          <w:sz w:val="20"/>
        </w:rPr>
        <w:t>75% of the closing price on the Trading Day immediately prior to the time of such reduction and no greater than $</w:t>
      </w:r>
      <w:bookmarkStart w:id="2815" w:name="xdx_903_eus-gaap--CommonStockConvertible"/>
      <w:bookmarkEnd w:id="2815"/>
      <w:r>
        <w:rPr>
          <w:rFonts w:ascii="Times New Roman;Times;Serif" w:hAnsi="Times New Roman;Times;Serif"/>
          <w:b w:val="false"/>
          <w:i w:val="false"/>
          <w:caps w:val="false"/>
          <w:smallCaps w:val="false"/>
          <w:sz w:val="20"/>
        </w:rPr>
        <w:t>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requested the purchase of a total of </w:t>
      </w:r>
      <w:bookmarkStart w:id="2816" w:name="xdx_909_eus-gaap--CommonStockSharesAutho"/>
      <w:bookmarkEnd w:id="2816"/>
      <w:r>
        <w:rPr>
          <w:rFonts w:ascii="Times New Roman;Times;Serif" w:hAnsi="Times New Roman;Times;Serif"/>
          <w:b w:val="false"/>
          <w:i w:val="false"/>
          <w:caps w:val="false"/>
          <w:smallCaps w:val="false"/>
          <w:sz w:val="20"/>
        </w:rPr>
        <w:t>63,301 shares of the Company’s Class A common stock in connection with the Option 1 Advances, which Yorkville purchased for a total purchase price of approximately $</w:t>
      </w:r>
      <w:bookmarkStart w:id="2817" w:name="xdx_904_eus-gaap--ProceedsFromIssuanceOr"/>
      <w:bookmarkEnd w:id="2817"/>
      <w:r>
        <w:rPr>
          <w:rFonts w:ascii="Times New Roman;Times;Serif" w:hAnsi="Times New Roman;Times;Serif"/>
          <w:b w:val="false"/>
          <w:i w:val="false"/>
          <w:caps w:val="false"/>
          <w:smallCaps w:val="false"/>
          <w:sz w:val="20"/>
        </w:rPr>
        <w:t>6,473,887. The Company recognized a loss of approximately $</w:t>
      </w:r>
      <w:bookmarkStart w:id="2818" w:name="xdx_908_eus-gaap--GainsLossesOnExtinguis"/>
      <w:bookmarkEnd w:id="2818"/>
      <w:r>
        <w:rPr>
          <w:rFonts w:ascii="Times New Roman;Times;Serif" w:hAnsi="Times New Roman;Times;Serif"/>
          <w:b w:val="false"/>
          <w:i w:val="false"/>
          <w:caps w:val="false"/>
          <w:smallCaps w:val="false"/>
          <w:sz w:val="20"/>
        </w:rPr>
        <w:t>340,850 on the sales,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requested the purchase of a total of </w:t>
      </w:r>
      <w:bookmarkStart w:id="2819" w:name="xdx_906_eus-gaap--CommonStockSharesAutho"/>
      <w:bookmarkEnd w:id="2819"/>
      <w:r>
        <w:rPr>
          <w:rFonts w:ascii="Times New Roman;Times;Serif" w:hAnsi="Times New Roman;Times;Serif"/>
          <w:b w:val="false"/>
          <w:i w:val="false"/>
          <w:caps w:val="false"/>
          <w:smallCaps w:val="false"/>
          <w:sz w:val="20"/>
        </w:rPr>
        <w:t>80,800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w:t>
      </w:r>
      <w:bookmarkStart w:id="2820" w:name="xdx_904_eus-gaap--DerivativeInstrumentsI"/>
      <w:bookmarkEnd w:id="2820"/>
      <w:r>
        <w:rPr>
          <w:rFonts w:ascii="Times New Roman;Times;Serif" w:hAnsi="Times New Roman;Times;Serif"/>
          <w:b w:val="false"/>
          <w:i w:val="false"/>
          <w:caps w:val="false"/>
          <w:smallCaps w:val="false"/>
          <w:sz w:val="20"/>
        </w:rPr>
        <w:t>467,656 in the aggregate, the fair values of which represented the intrinsic value of the requested number of shares of Class A common stock on the Advance Notice dates. The Company recognized a loss of approximately $</w:t>
      </w:r>
      <w:bookmarkStart w:id="2821" w:name="xdx_90C_eus-gaap--GainsLossesOnExtinguis"/>
      <w:bookmarkEnd w:id="2821"/>
      <w:r>
        <w:rPr>
          <w:rFonts w:ascii="Times New Roman;Times;Serif" w:hAnsi="Times New Roman;Times;Serif"/>
          <w:b w:val="false"/>
          <w:i w:val="false"/>
          <w:caps w:val="false"/>
          <w:smallCaps w:val="false"/>
          <w:sz w:val="20"/>
        </w:rPr>
        <w:t xml:space="preserve">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w:t>
      </w:r>
      <w:bookmarkStart w:id="2822" w:name="xdx_907_ecustom--SharesSold_iI_pid_c2025"/>
      <w:bookmarkEnd w:id="2822"/>
      <w:r>
        <w:rPr>
          <w:rFonts w:ascii="Times New Roman;Times;Serif" w:hAnsi="Times New Roman;Times;Serif"/>
          <w:b w:val="false"/>
          <w:i w:val="false"/>
          <w:caps w:val="false"/>
          <w:smallCaps w:val="false"/>
          <w:sz w:val="20"/>
        </w:rPr>
        <w:t>80,800 shares of the Company’s Class A common stock to Yorkville for total proceeds of approximately $</w:t>
      </w:r>
      <w:bookmarkStart w:id="2823" w:name="xdx_90F_ecustom--GrossProceeds_c20250101"/>
      <w:bookmarkEnd w:id="2823"/>
      <w:r>
        <w:rPr>
          <w:rFonts w:ascii="Times New Roman;Times;Serif" w:hAnsi="Times New Roman;Times;Serif"/>
          <w:b w:val="false"/>
          <w:i w:val="false"/>
          <w:caps w:val="false"/>
          <w:smallCaps w:val="false"/>
          <w:sz w:val="20"/>
        </w:rPr>
        <w:t>11,222,588.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during the year ended December 31, 2025, the Company settled one Advance Notice subject to the Option 2 Pricing Period issued on December 30, 2024, and accordingly sold </w:t>
      </w:r>
      <w:bookmarkStart w:id="2824" w:name="xdx_907_ecustom--SharesSold_iI_pid_c2024"/>
      <w:bookmarkEnd w:id="2824"/>
      <w:r>
        <w:rPr>
          <w:rFonts w:ascii="Times New Roman;Times;Serif" w:hAnsi="Times New Roman;Times;Serif"/>
          <w:b w:val="false"/>
          <w:i w:val="false"/>
          <w:caps w:val="false"/>
          <w:smallCaps w:val="false"/>
          <w:sz w:val="20"/>
        </w:rPr>
        <w:t>1,525 of the Company’s Class A common stock to Yorkville for proceeds of approximately $</w:t>
      </w:r>
      <w:bookmarkStart w:id="2825" w:name="xdx_90A_ecustom--GrossProceeds_c20241230"/>
      <w:bookmarkEnd w:id="2825"/>
      <w:r>
        <w:rPr>
          <w:rFonts w:ascii="Times New Roman;Times;Serif" w:hAnsi="Times New Roman;Times;Serif"/>
          <w:b w:val="false"/>
          <w:i w:val="false"/>
          <w:caps w:val="false"/>
          <w:smallCaps w:val="false"/>
          <w:sz w:val="20"/>
        </w:rPr>
        <w:t>48,000.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w:t>
      </w:r>
      <w:bookmarkStart w:id="2826" w:name="xdx_902_eus-gaap--CommonStockParOrStated"/>
      <w:bookmarkEnd w:id="2826"/>
      <w:r>
        <w:rPr>
          <w:rFonts w:ascii="Times New Roman;Times;Serif" w:hAnsi="Times New Roman;Times;Serif"/>
          <w:b w:val="false"/>
          <w:i w:val="false"/>
          <w:caps w:val="false"/>
          <w:smallCaps w:val="false"/>
          <w:sz w:val="20"/>
        </w:rPr>
        <w:t>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w:t>
      </w:r>
      <w:bookmarkStart w:id="2827" w:name="xdx_90D_eus-gaap--StockIssuedDuringPerio"/>
      <w:bookmarkEnd w:id="2827"/>
      <w:r>
        <w:rPr>
          <w:rFonts w:ascii="Times New Roman;Times;Serif" w:hAnsi="Times New Roman;Times;Serif"/>
          <w:b w:val="false"/>
          <w:i w:val="false"/>
          <w:caps w:val="false"/>
          <w:smallCaps w:val="false"/>
          <w:sz w:val="20"/>
        </w:rPr>
        <w:t>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ATM Agreement provides that the Company will pay the Manager commissions for its services for acting as agent in the sale of the ATM Shares. The Manager will be entitled to compensation at a fixed commission rate equal to up to </w:t>
      </w:r>
      <w:bookmarkStart w:id="2828" w:name="xdx_903_ecustom--MaximumCommissionRateAs"/>
      <w:bookmarkEnd w:id="2828"/>
      <w:r>
        <w:rPr>
          <w:rFonts w:ascii="Times New Roman;Times;Serif" w:hAnsi="Times New Roman;Times;Serif"/>
          <w:b w:val="false"/>
          <w:i w:val="false"/>
          <w:caps w:val="false"/>
          <w:smallCaps w:val="false"/>
          <w:sz w:val="20"/>
        </w:rPr>
        <w:t>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w:t>
      </w:r>
      <w:bookmarkStart w:id="2829" w:name="xdx_90B_eus-gaap--LegalFees_c20250827__2"/>
      <w:bookmarkEnd w:id="2829"/>
      <w:r>
        <w:rPr>
          <w:rFonts w:ascii="Times New Roman;Times;Serif" w:hAnsi="Times New Roman;Times;Serif"/>
          <w:b w:val="false"/>
          <w:i w:val="false"/>
          <w:caps w:val="false"/>
          <w:smallCaps w:val="false"/>
          <w:sz w:val="20"/>
        </w:rPr>
        <w:t>100,000 (excluding any periodic due diligence fees) incurred in connection with entering into the transactions contemplated by the ATM Agreement and has agreed to reimburse Wainwright up to a maximum of $</w:t>
      </w:r>
      <w:bookmarkStart w:id="2830" w:name="xdx_90D_ecustom--WainrightReimbursement_"/>
      <w:bookmarkEnd w:id="2830"/>
      <w:r>
        <w:rPr>
          <w:rFonts w:ascii="Times New Roman;Times;Serif" w:hAnsi="Times New Roman;Times;Serif"/>
          <w:b w:val="false"/>
          <w:i w:val="false"/>
          <w:caps w:val="false"/>
          <w:smallCaps w:val="false"/>
          <w:sz w:val="20"/>
        </w:rPr>
        <w:t>5,000 per Representation Date (as defined in the ATM Agreement) in connection with a new Registration Statement or the filing of the Company’s Annual Report on Form 10-K and $</w:t>
      </w:r>
      <w:bookmarkStart w:id="2831" w:name="xdx_908_ecustom--IncidentalExpense_c2025"/>
      <w:bookmarkEnd w:id="2831"/>
      <w:r>
        <w:rPr>
          <w:rFonts w:ascii="Times New Roman;Times;Serif" w:hAnsi="Times New Roman;Times;Serif"/>
          <w:b w:val="false"/>
          <w:i w:val="false"/>
          <w:caps w:val="false"/>
          <w:smallCaps w:val="false"/>
          <w:sz w:val="20"/>
        </w:rPr>
        <w:t>2,500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2832" w:name="xdx_909_eus-gaap--CommonStockSharesAutho"/>
      <w:bookmarkEnd w:id="2832"/>
      <w:r>
        <w:rPr>
          <w:rFonts w:ascii="Times New Roman;Times;Serif" w:hAnsi="Times New Roman;Times;Serif"/>
          <w:b w:val="false"/>
          <w:i w:val="false"/>
          <w:caps w:val="false"/>
          <w:smallCaps w:val="false"/>
          <w:sz w:val="20"/>
        </w:rPr>
        <w:t>1,595 shares of Class A common stock at $</w:t>
      </w:r>
      <w:bookmarkStart w:id="2833" w:name="xdx_908_eus-gaap--SaleOfStockPricePerSha"/>
      <w:bookmarkEnd w:id="2833"/>
      <w:r>
        <w:rPr>
          <w:rFonts w:ascii="Times New Roman;Times;Serif" w:hAnsi="Times New Roman;Times;Serif"/>
          <w:b w:val="false"/>
          <w:i w:val="false"/>
          <w:caps w:val="false"/>
          <w:smallCaps w:val="false"/>
          <w:sz w:val="20"/>
        </w:rPr>
        <w:t xml:space="preserve">138.00 per share and </w:t>
      </w:r>
      <w:bookmarkStart w:id="2834" w:name="xdx_90B_eus-gaap--ClassOfWarrantOrRightO"/>
      <w:bookmarkEnd w:id="2834"/>
      <w:r>
        <w:rPr>
          <w:rFonts w:ascii="Times New Roman;Times;Serif" w:hAnsi="Times New Roman;Times;Serif"/>
          <w:b w:val="false"/>
          <w:i w:val="false"/>
          <w:caps w:val="false"/>
          <w:smallCaps w:val="false"/>
          <w:sz w:val="20"/>
        </w:rPr>
        <w:t>1,618 prefunded warrants (the “May 2025 Prefunded Warrants”) at $</w:t>
      </w:r>
      <w:bookmarkStart w:id="2835" w:name="xdx_90F_eus-gaap--ClassOfWarrantOrRightE"/>
      <w:bookmarkEnd w:id="2835"/>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2836" w:name="xdx_902_eus-gaap--ClassOfWarrantOrRightN"/>
      <w:bookmarkEnd w:id="2836"/>
      <w:r>
        <w:rPr>
          <w:rFonts w:ascii="Times New Roman;Times;Serif" w:hAnsi="Times New Roman;Times;Serif"/>
          <w:b w:val="false"/>
          <w:i w:val="false"/>
          <w:caps w:val="false"/>
          <w:smallCaps w:val="false"/>
          <w:sz w:val="20"/>
        </w:rPr>
        <w:t>1,618 shares of Class A common stock. The Company collected in aggregate $</w:t>
      </w:r>
      <w:bookmarkStart w:id="2837" w:name="xdx_90D_eus-gaap--ProceedsFromIssuanceOf"/>
      <w:bookmarkEnd w:id="2837"/>
      <w:r>
        <w:rPr>
          <w:rFonts w:ascii="Times New Roman;Times;Serif" w:hAnsi="Times New Roman;Times;Serif"/>
          <w:b w:val="false"/>
          <w:i w:val="false"/>
          <w:caps w:val="false"/>
          <w:smallCaps w:val="false"/>
          <w:sz w:val="20"/>
        </w:rPr>
        <w:t>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w:t>
      </w:r>
      <w:bookmarkStart w:id="2838" w:name="xdx_902_eus-gaap--CommonStockSharesIssue"/>
      <w:bookmarkEnd w:id="2838"/>
      <w:r>
        <w:rPr>
          <w:rFonts w:ascii="Times New Roman;Times;Serif" w:hAnsi="Times New Roman;Times;Serif"/>
          <w:b w:val="false"/>
          <w:i w:val="false"/>
          <w:caps w:val="false"/>
          <w:smallCaps w:val="false"/>
          <w:sz w:val="20"/>
        </w:rPr>
        <w:t>90,820 shares under the ATM Agreement for net proceeds of approximately $</w:t>
      </w:r>
      <w:bookmarkStart w:id="2839" w:name="xdx_901_eus-gaap--ProceedsFromDebtNetOfI"/>
      <w:bookmarkEnd w:id="2839"/>
      <w:r>
        <w:rPr>
          <w:rFonts w:ascii="Times New Roman;Times;Serif" w:hAnsi="Times New Roman;Times;Serif"/>
          <w:b w:val="false"/>
          <w:i w:val="false"/>
          <w:caps w:val="false"/>
          <w:smallCaps w:val="false"/>
          <w:sz w:val="20"/>
        </w:rPr>
        <w:t>3,429,257.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 2025, the Company issued </w:t>
      </w:r>
      <w:bookmarkStart w:id="2840" w:name="xdx_907_eus-gaap--CommonStockSharesIssue"/>
      <w:bookmarkEnd w:id="2840"/>
      <w:r>
        <w:rPr>
          <w:rFonts w:ascii="Times New Roman;Times;Serif" w:hAnsi="Times New Roman;Times;Serif"/>
          <w:b w:val="false"/>
          <w:i w:val="false"/>
          <w:caps w:val="false"/>
          <w:smallCaps w:val="false"/>
          <w:sz w:val="20"/>
        </w:rPr>
        <w:t>750 restricted shares of its Common Stock, with a determined fair value of $</w:t>
      </w:r>
      <w:bookmarkStart w:id="2841" w:name="xdx_902_eus-gaap--StockIssuedDuringPerio"/>
      <w:bookmarkEnd w:id="2841"/>
      <w:r>
        <w:rPr>
          <w:rFonts w:ascii="Times New Roman;Times;Serif" w:hAnsi="Times New Roman;Times;Serif"/>
          <w:b w:val="false"/>
          <w:i w:val="false"/>
          <w:caps w:val="false"/>
          <w:smallCaps w:val="false"/>
          <w:sz w:val="20"/>
        </w:rPr>
        <w:t xml:space="preserve">232,500, partially in exchange for the business advisory services outlined in the consulting agreement with Hudson Global Ventures, LLC, a Nevada limited liability company (“Hudson”). On April 25, 2025, July 1, 2025 and September 3, 2025, the Company issued </w:t>
      </w:r>
      <w:bookmarkStart w:id="2842" w:name="xdx_900_eus-gaap--CommonStockSharesIssue"/>
      <w:bookmarkEnd w:id="2842"/>
      <w:r>
        <w:rPr>
          <w:rFonts w:ascii="Times New Roman;Times;Serif" w:hAnsi="Times New Roman;Times;Serif"/>
          <w:b w:val="false"/>
          <w:i w:val="false"/>
          <w:caps w:val="false"/>
          <w:smallCaps w:val="false"/>
          <w:sz w:val="20"/>
        </w:rPr>
        <w:t xml:space="preserve">2,000, </w:t>
      </w:r>
      <w:bookmarkStart w:id="2843" w:name="xdx_902_eus-gaap--CommonStockSharesIssue"/>
      <w:bookmarkEnd w:id="2843"/>
      <w:r>
        <w:rPr>
          <w:rFonts w:ascii="Times New Roman;Times;Serif" w:hAnsi="Times New Roman;Times;Serif"/>
          <w:b w:val="false"/>
          <w:i w:val="false"/>
          <w:caps w:val="false"/>
          <w:smallCaps w:val="false"/>
          <w:sz w:val="20"/>
        </w:rPr>
        <w:t xml:space="preserve">1,180, and </w:t>
      </w:r>
      <w:bookmarkStart w:id="2844" w:name="xdx_90D_eus-gaap--CommonStockSharesIssue"/>
      <w:bookmarkEnd w:id="2844"/>
      <w:r>
        <w:rPr>
          <w:rFonts w:ascii="Times New Roman;Times;Serif" w:hAnsi="Times New Roman;Times;Serif"/>
          <w:b w:val="false"/>
          <w:i w:val="false"/>
          <w:caps w:val="false"/>
          <w:smallCaps w:val="false"/>
          <w:sz w:val="20"/>
        </w:rPr>
        <w:t>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w:t>
      </w:r>
      <w:bookmarkStart w:id="2845" w:name="xdx_906_eus-gaap--CommonStockSharesIssue"/>
      <w:bookmarkEnd w:id="2845"/>
      <w:r>
        <w:rPr>
          <w:rFonts w:ascii="Times New Roman;Times;Serif" w:hAnsi="Times New Roman;Times;Serif"/>
          <w:b w:val="false"/>
          <w:i w:val="false"/>
          <w:caps w:val="false"/>
          <w:smallCaps w:val="false"/>
          <w:sz w:val="20"/>
        </w:rPr>
        <w:t>150 shares of its Common Stock, with a determined fair value of $</w:t>
      </w:r>
      <w:bookmarkStart w:id="2846" w:name="xdx_904_eus-gaap--StockIssuedDuringPerio"/>
      <w:bookmarkEnd w:id="2846"/>
      <w:r>
        <w:rPr>
          <w:rFonts w:ascii="Times New Roman;Times;Serif" w:hAnsi="Times New Roman;Times;Serif"/>
          <w:b w:val="false"/>
          <w:i w:val="false"/>
          <w:caps w:val="false"/>
          <w:smallCaps w:val="false"/>
          <w:sz w:val="20"/>
        </w:rPr>
        <w:t xml:space="preserve">49,800, in partial settlement of amounts owing to Verista. Refer to </w:t>
      </w:r>
      <w:r>
        <w:rPr>
          <w:rFonts w:ascii="Times New Roman;Times;Serif" w:hAnsi="Times New Roman;Times;Serif"/>
          <w:b w:val="false"/>
          <w:i/>
          <w:caps w:val="false"/>
          <w:smallCaps w:val="false"/>
          <w:sz w:val="20"/>
        </w:rPr>
        <w:t>Note 14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w:t>
      </w:r>
      <w:bookmarkStart w:id="2847" w:name="xdx_907_ecustom--ShareBasedCompensationA"/>
      <w:bookmarkEnd w:id="2847"/>
      <w:r>
        <w:rPr>
          <w:rFonts w:ascii="Times New Roman;Times;Serif" w:hAnsi="Times New Roman;Times;Serif"/>
          <w:b w:val="false"/>
          <w:i w:val="false"/>
          <w:caps w:val="false"/>
          <w:smallCaps w:val="false"/>
          <w:sz w:val="20"/>
        </w:rPr>
        <w:t>10,048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w:t>
      </w:r>
      <w:bookmarkStart w:id="2848" w:name="xdx_90A_eus-gaap--BusinessAcquisitionEqu"/>
      <w:bookmarkEnd w:id="2848"/>
      <w:r>
        <w:rPr>
          <w:rFonts w:ascii="Times New Roman;Times;Serif" w:hAnsi="Times New Roman;Times;Serif"/>
          <w:b w:val="false"/>
          <w:i w:val="false"/>
          <w:caps w:val="false"/>
          <w:smallCaps w:val="false"/>
          <w:sz w:val="20"/>
        </w:rPr>
        <w:t>4,491 shares of Class A Common Stock, with a determined fair value of $</w:t>
      </w:r>
      <w:bookmarkStart w:id="2849" w:name="xdx_909_eus-gaap--StockIssuedDuringPerio"/>
      <w:bookmarkEnd w:id="2849"/>
      <w:r>
        <w:rPr>
          <w:rFonts w:ascii="Times New Roman;Times;Serif" w:hAnsi="Times New Roman;Times;Serif"/>
          <w:b w:val="false"/>
          <w:i w:val="false"/>
          <w:caps w:val="false"/>
          <w:smallCaps w:val="false"/>
          <w:sz w:val="20"/>
        </w:rPr>
        <w:t xml:space="preserve">1,661,677.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w:t>
      </w:r>
      <w:bookmarkStart w:id="2850" w:name="xdx_901_eus-gaap--CommonStockSharesIssue"/>
      <w:bookmarkEnd w:id="2850"/>
      <w:r>
        <w:rPr>
          <w:rFonts w:ascii="Times New Roman;Times;Serif" w:hAnsi="Times New Roman;Times;Serif"/>
          <w:b w:val="false"/>
          <w:i w:val="false"/>
          <w:caps w:val="false"/>
          <w:smallCaps w:val="false"/>
          <w:sz w:val="20"/>
        </w:rPr>
        <w:t>1 share of Class A Common Stock to CP BF, resulting from the exercise by CP BF of exercise of one (</w:t>
      </w:r>
      <w:bookmarkStart w:id="2851" w:name="xdx_901_ecustom--PrefundedWarrantExercis"/>
      <w:bookmarkEnd w:id="2851"/>
      <w:r>
        <w:rPr>
          <w:rFonts w:ascii="Times New Roman;Times;Serif" w:hAnsi="Times New Roman;Times;Serif"/>
          <w:b w:val="false"/>
          <w:i w:val="false"/>
          <w:caps w:val="false"/>
          <w:smallCaps w:val="false"/>
          <w:sz w:val="20"/>
        </w:rPr>
        <w:t xml:space="preserve">1) pre-funded warrant under the CP BF Pre-Funded Warrant. See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21, 2025, the Company issued </w:t>
      </w:r>
      <w:bookmarkStart w:id="2852" w:name="xdx_908_eus-gaap--CommonStockSharesIssue"/>
      <w:bookmarkEnd w:id="2852"/>
      <w:r>
        <w:rPr>
          <w:rFonts w:ascii="Times New Roman;Times;Serif" w:hAnsi="Times New Roman;Times;Serif"/>
          <w:b w:val="false"/>
          <w:i w:val="false"/>
          <w:caps w:val="false"/>
          <w:smallCaps w:val="false"/>
          <w:sz w:val="20"/>
        </w:rPr>
        <w:t>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26, 2025, the Company issued </w:t>
      </w:r>
      <w:bookmarkStart w:id="2853" w:name="xdx_900_eus-gaap--CommonStockSharesIssue"/>
      <w:bookmarkEnd w:id="2853"/>
      <w:r>
        <w:rPr>
          <w:rFonts w:ascii="Times New Roman;Times;Serif" w:hAnsi="Times New Roman;Times;Serif"/>
          <w:b w:val="false"/>
          <w:i w:val="false"/>
          <w:caps w:val="false"/>
          <w:smallCaps w:val="false"/>
          <w:sz w:val="20"/>
        </w:rPr>
        <w:t>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entered into a private placement agreement with certain investors to sell </w:t>
      </w:r>
      <w:bookmarkStart w:id="2854" w:name="xdx_90B_eus-gaap--CommonStockSharesAutho"/>
      <w:bookmarkEnd w:id="2854"/>
      <w:r>
        <w:rPr>
          <w:rFonts w:ascii="Times New Roman;Times;Serif" w:hAnsi="Times New Roman;Times;Serif"/>
          <w:b w:val="false"/>
          <w:i w:val="false"/>
          <w:caps w:val="false"/>
          <w:smallCaps w:val="false"/>
          <w:sz w:val="20"/>
        </w:rPr>
        <w:t>1,594 shares of Class A common stock at $</w:t>
      </w:r>
      <w:bookmarkStart w:id="2855" w:name="xdx_900_eus-gaap--SaleOfStockPricePerSha"/>
      <w:bookmarkEnd w:id="2855"/>
      <w:r>
        <w:rPr>
          <w:rFonts w:ascii="Times New Roman;Times;Serif" w:hAnsi="Times New Roman;Times;Serif"/>
          <w:b w:val="false"/>
          <w:i w:val="false"/>
          <w:caps w:val="false"/>
          <w:smallCaps w:val="false"/>
          <w:sz w:val="20"/>
        </w:rPr>
        <w:t xml:space="preserve">138.00 per share and </w:t>
      </w:r>
      <w:bookmarkStart w:id="2856" w:name="xdx_904_eus-gaap--ClassOfWarrantOrRightO"/>
      <w:bookmarkEnd w:id="2856"/>
      <w:r>
        <w:rPr>
          <w:rFonts w:ascii="Times New Roman;Times;Serif" w:hAnsi="Times New Roman;Times;Serif"/>
          <w:b w:val="false"/>
          <w:i w:val="false"/>
          <w:caps w:val="false"/>
          <w:smallCaps w:val="false"/>
          <w:sz w:val="20"/>
        </w:rPr>
        <w:t>1,618 prefunded warrants (the “May 2025 Prefunded Warrants”) at $</w:t>
      </w:r>
      <w:bookmarkStart w:id="2857" w:name="xdx_900_eus-gaap--ClassOfWarrantOrRightE"/>
      <w:bookmarkEnd w:id="2857"/>
      <w:r>
        <w:rPr>
          <w:rFonts w:ascii="Times New Roman;Times;Serif" w:hAnsi="Times New Roman;Times;Serif"/>
          <w:b w:val="false"/>
          <w:i w:val="false"/>
          <w:caps w:val="false"/>
          <w:smallCaps w:val="false"/>
          <w:sz w:val="20"/>
        </w:rPr>
        <w:t xml:space="preserve">68.00 per warrant. The May 2025 Prefunded Warrants were immediately exercised, resulting in the issuance of </w:t>
      </w:r>
      <w:bookmarkStart w:id="2858" w:name="xdx_90A_eus-gaap--ClassOfWarrantOrRightN"/>
      <w:bookmarkEnd w:id="2858"/>
      <w:r>
        <w:rPr>
          <w:rFonts w:ascii="Times New Roman;Times;Serif" w:hAnsi="Times New Roman;Times;Serif"/>
          <w:b w:val="false"/>
          <w:i w:val="false"/>
          <w:caps w:val="false"/>
          <w:smallCaps w:val="false"/>
          <w:sz w:val="20"/>
        </w:rPr>
        <w:t>1,618 shares of Class A common stock. The Company collected in aggregate $</w:t>
      </w:r>
      <w:bookmarkStart w:id="2859" w:name="xdx_904_eus-gaap--ProceedsFromIssuanceOf"/>
      <w:bookmarkEnd w:id="2859"/>
      <w:r>
        <w:rPr>
          <w:rFonts w:ascii="Times New Roman;Times;Serif" w:hAnsi="Times New Roman;Times;Serif"/>
          <w:b w:val="false"/>
          <w:i w:val="false"/>
          <w:caps w:val="false"/>
          <w:smallCaps w:val="false"/>
          <w:sz w:val="20"/>
        </w:rPr>
        <w:t>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60" w:name="xdx_804_eus-gaap--DisclosureOfCompensati"/>
      <w:bookmarkEnd w:id="2860"/>
      <w:r>
        <w:rPr>
          <w:rFonts w:ascii="Times New Roman;Times;Serif" w:hAnsi="Times New Roman;Times;Serif"/>
          <w:b/>
          <w:i w:val="false"/>
          <w:caps w:val="false"/>
          <w:smallCaps w:val="false"/>
          <w:sz w:val="20"/>
        </w:rPr>
        <w:t xml:space="preserve">16. </w:t>
      </w:r>
      <w:bookmarkStart w:id="2861" w:name="xdx_82F_zSAqOkM40uC8"/>
      <w:bookmarkEnd w:id="286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adopted the 2023 Employee Stock Purchase Plan (the “ESPP”). The ESPP permits eligible employees of the Company and certain designated companies as determined by the Board, to purchase shares of the Company’s Common Stock. </w:t>
      </w:r>
      <w:bookmarkStart w:id="2862" w:name="xdx_902_eus-gaap--ShareBasedCompensation"/>
      <w:bookmarkEnd w:id="2862"/>
      <w:r>
        <w:rPr>
          <w:rFonts w:ascii="Times New Roman;Times;Serif" w:hAnsi="Times New Roman;Times;Serif"/>
          <w:b w:val="false"/>
          <w:i w:val="false"/>
          <w:caps w:val="false"/>
          <w:smallCaps w:val="false"/>
          <w:sz w:val="20"/>
        </w:rPr>
        <w:t xml:space="preserve">The aggregate number of shares of common stock that may be purchased pursuant to the Purchase Plan automatically increases on January 1 of each year ending on </w:t>
      </w:r>
      <w:bookmarkStart w:id="2863" w:name="xdx_901_eus-gaap--ShareBasedCompensation"/>
      <w:bookmarkEnd w:id="2863"/>
      <w:r>
        <w:rPr>
          <w:rFonts w:ascii="Times New Roman;Times;Serif" w:hAnsi="Times New Roman;Times;Serif"/>
          <w:b w:val="false"/>
          <w:i w:val="false"/>
          <w:caps w:val="false"/>
          <w:smallCaps w:val="false"/>
          <w:sz w:val="20"/>
        </w:rPr>
        <w:t>January 1, 2033, in an amount equal to the lesser of one percent (</w:t>
      </w:r>
      <w:bookmarkStart w:id="2864" w:name="xdx_906_ecustom--PercentageOfNumberOfSha"/>
      <w:bookmarkEnd w:id="2864"/>
      <w:r>
        <w:rPr>
          <w:rFonts w:ascii="Times New Roman;Times;Serif" w:hAnsi="Times New Roman;Times;Serif"/>
          <w:b w:val="false"/>
          <w:i w:val="false"/>
          <w:caps w:val="false"/>
          <w:smallCaps w:val="false"/>
          <w:sz w:val="20"/>
        </w:rPr>
        <w:t>1%) of the total number of shares of the fully diluted common stock (as defined in the ESPP) determined as of December 31 of the preceding year, or a number of shares of common stock equal to two hundred percent (</w:t>
      </w:r>
      <w:bookmarkStart w:id="2865" w:name="xdx_906_ecustom--ShareBasedCompensationA"/>
      <w:bookmarkEnd w:id="2865"/>
      <w:r>
        <w:rPr>
          <w:rFonts w:ascii="Times New Roman;Times;Serif" w:hAnsi="Times New Roman;Times;Serif"/>
          <w:b w:val="false"/>
          <w:i w:val="false"/>
          <w:caps w:val="false"/>
          <w:smallCaps w:val="false"/>
          <w:sz w:val="20"/>
        </w:rPr>
        <w:t xml:space="preserve">200%) of the initial share reserve of </w:t>
      </w:r>
      <w:bookmarkStart w:id="2866" w:name="xdx_900_ecustom--InitialShareReserve_iI_"/>
      <w:bookmarkEnd w:id="2866"/>
      <w:r>
        <w:rPr>
          <w:rFonts w:ascii="Times New Roman;Times;Serif" w:hAnsi="Times New Roman;Times;Serif"/>
          <w:b w:val="false"/>
          <w:i w:val="false"/>
          <w:caps w:val="false"/>
          <w:smallCaps w:val="false"/>
          <w:sz w:val="20"/>
        </w:rPr>
        <w:t>1,144.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adopted the 2023 Equity Incentive Plan (the “EIP”). The EIP permits the granting of incentive stock options, nonstatutory stock options, SARs, restricted stock awards, RSU awards, performance awards, and other awards. to employees, directors, and consultants. </w:t>
      </w:r>
      <w:bookmarkStart w:id="2867" w:name="xdx_905_eus-gaap--ShareBasedCompensation"/>
      <w:bookmarkEnd w:id="2867"/>
      <w:r>
        <w:rPr>
          <w:rFonts w:ascii="Times New Roman;Times;Serif" w:hAnsi="Times New Roman;Times;Serif"/>
          <w:b w:val="false"/>
          <w:i w:val="false"/>
          <w:caps w:val="false"/>
          <w:smallCaps w:val="false"/>
          <w:sz w:val="20"/>
        </w:rPr>
        <w:t xml:space="preserve">The aggregate number of shares of common stock that may be issued under the EIP automatically increases on January 1 of each year ending on </w:t>
      </w:r>
      <w:bookmarkStart w:id="2868" w:name="xdx_90A_eus-gaap--ShareBasedCompensation"/>
      <w:bookmarkEnd w:id="2868"/>
      <w:r>
        <w:rPr>
          <w:rFonts w:ascii="Times New Roman;Times;Serif" w:hAnsi="Times New Roman;Times;Serif"/>
          <w:b w:val="false"/>
          <w:i w:val="false"/>
          <w:caps w:val="false"/>
          <w:smallCaps w:val="false"/>
          <w:sz w:val="20"/>
        </w:rPr>
        <w:t xml:space="preserve">January 1, 2033, in an amount equal to </w:t>
      </w:r>
      <w:bookmarkStart w:id="2869" w:name="xdx_902_ecustom--PercentageOfNumberOfSha"/>
      <w:bookmarkEnd w:id="2869"/>
      <w:r>
        <w:rPr>
          <w:rFonts w:ascii="Times New Roman;Times;Serif" w:hAnsi="Times New Roman;Times;Serif"/>
          <w:b w:val="false"/>
          <w:i w:val="false"/>
          <w:caps w:val="false"/>
          <w:smallCaps w:val="false"/>
          <w:sz w:val="20"/>
        </w:rPr>
        <w:t>5% of the total number of shares of the fully diluted common stock determined as of December 31 of the preceding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70" w:name="xdx_89E_eus-gaap--ScheduleOfShareBasedPa"/>
      <w:bookmarkEnd w:id="2870"/>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bookmarkStart w:id="2871" w:name="xdx_8BA_zKqUUgGVb7Ag"/>
      <w:bookmarkEnd w:id="2871"/>
      <w:r>
        <w:rPr>
          <w:rFonts w:ascii="Times New Roman;Times;Serif" w:hAnsi="Times New Roman;Times;Serif"/>
          <w:b w:val="false"/>
          <w:i w:val="false"/>
          <w:caps w:val="false"/>
          <w:smallCaps w:val="false"/>
          <w:sz w:val="20"/>
        </w:rPr>
        <w:t>Summary of Assumptions Used to Compute Fair Value</w:t>
      </w:r>
    </w:p>
    <w:tbl>
      <w:tblPr>
        <w:tblW w:w="5335" w:type="dxa"/>
        <w:jc w:val="left"/>
        <w:tblInd w:w="0" w:type="dxa"/>
        <w:tblLayout w:type="fixed"/>
        <w:tblCellMar>
          <w:top w:w="0" w:type="dxa"/>
          <w:left w:w="0" w:type="dxa"/>
          <w:bottom w:w="0" w:type="dxa"/>
          <w:right w:w="0" w:type="dxa"/>
        </w:tblCellMar>
      </w:tblPr>
      <w:tblGrid>
        <w:gridCol w:w="2345"/>
        <w:gridCol w:w="60"/>
        <w:gridCol w:w="60"/>
        <w:gridCol w:w="500"/>
        <w:gridCol w:w="60"/>
        <w:gridCol w:w="60"/>
        <w:gridCol w:w="125"/>
        <w:gridCol w:w="1895"/>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4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CCEEFF" w:val="clear"/>
            <w:vAlign w:val="center"/>
          </w:tcPr>
          <w:p>
            <w:pPr>
              <w:pStyle w:val="TableContents"/>
              <w:bidi w:val="0"/>
              <w:spacing w:before="0" w:after="283"/>
              <w:jc w:val="right"/>
              <w:rPr>
                <w:rFonts w:ascii="Times New Roman;Times;Serif" w:hAnsi="Times New Roman;Times;Serif"/>
              </w:rPr>
            </w:pPr>
            <w:bookmarkStart w:id="2872" w:name="xdx_90C_eus-gaap--SharePrice_iI_pid_c202"/>
            <w:bookmarkEnd w:id="2872"/>
            <w:r>
              <w:rPr>
                <w:rFonts w:ascii="Times New Roman;Times;Serif" w:hAnsi="Times New Roman;Times;Serif"/>
              </w:rPr>
              <w:t xml:space="preserve">2,920.00 - </w:t>
            </w:r>
            <w:bookmarkStart w:id="2873" w:name="xdx_907_eus-gaap--SharePrice_iI_pid_c202"/>
            <w:bookmarkEnd w:id="2873"/>
            <w:r>
              <w:rPr>
                <w:rFonts w:ascii="Times New Roman;Times;Serif" w:hAnsi="Times New Roman;Times;Serif"/>
              </w:rPr>
              <w:t>6,100.00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FFFFFF" w:val="clear"/>
            <w:vAlign w:val="center"/>
          </w:tcPr>
          <w:p>
            <w:pPr>
              <w:pStyle w:val="TableContents"/>
              <w:bidi w:val="0"/>
              <w:spacing w:before="0" w:after="283"/>
              <w:jc w:val="right"/>
              <w:rPr>
                <w:rFonts w:ascii="Times New Roman;Times;Serif" w:hAnsi="Times New Roman;Times;Serif"/>
              </w:rPr>
            </w:pPr>
            <w:bookmarkStart w:id="2874" w:name="xdx_90B_eus-gaap--ShareBasedCompensation"/>
            <w:bookmarkEnd w:id="2874"/>
            <w:r>
              <w:rPr>
                <w:rFonts w:ascii="Times New Roman;Times;Serif" w:hAnsi="Times New Roman;Times;Serif"/>
                <w:sz w:val="20"/>
              </w:rPr>
              <w:t>2,920.00</w:t>
            </w:r>
            <w:r>
              <w:rPr>
                <w:rFonts w:ascii="Times New Roman;Times;Serif" w:hAnsi="Times New Roman;Times;Serif"/>
              </w:rPr>
              <w:t xml:space="preserve"> </w:t>
            </w:r>
            <w:r>
              <w:rPr>
                <w:rFonts w:ascii="Times New Roman;Times;Serif" w:hAnsi="Times New Roman;Times;Serif"/>
                <w:sz w:val="20"/>
              </w:rPr>
              <w:t xml:space="preserve">- </w:t>
            </w:r>
            <w:bookmarkStart w:id="2875" w:name="xdx_901_eus-gaap--ShareBasedCompensation"/>
            <w:bookmarkEnd w:id="2875"/>
            <w:r>
              <w:rPr>
                <w:rFonts w:ascii="Times New Roman;Times;Serif" w:hAnsi="Times New Roman;Times;Serif"/>
                <w:sz w:val="20"/>
              </w:rPr>
              <w:t>50,000.00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bookmarkStart w:id="2876" w:name="xdx_901_eus-gaap--ShareBasedCompensation"/>
            <w:bookmarkEnd w:id="2876"/>
            <w:r>
              <w:rPr>
                <w:rFonts w:ascii="Times New Roman;Times;Serif" w:hAnsi="Times New Roman;Times;Serif"/>
                <w:sz w:val="20"/>
              </w:rPr>
              <w:t xml:space="preserve">61.00 - </w:t>
            </w:r>
            <w:bookmarkStart w:id="2877" w:name="xdx_90B_eus-gaap--ShareBasedCompensation"/>
            <w:bookmarkEnd w:id="2877"/>
            <w:r>
              <w:rPr>
                <w:rFonts w:ascii="Times New Roman;Times;Serif" w:hAnsi="Times New Roman;Times;Serif"/>
                <w:sz w:val="20"/>
              </w:rPr>
              <w:t>62.12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sz w:val="20"/>
              </w:rPr>
            </w:pPr>
            <w:bookmarkStart w:id="2878" w:name="xdx_907_eus-gaap--SharebasedCompensation"/>
            <w:bookmarkEnd w:id="2878"/>
            <w:r>
              <w:rPr>
                <w:rFonts w:ascii="Times New Roman;Times;Serif" w:hAnsi="Times New Roman;Times;Serif"/>
                <w:sz w:val="20"/>
              </w:rPr>
              <w:t xml:space="preserve">5.61 - </w:t>
            </w:r>
            <w:bookmarkStart w:id="2879" w:name="xdx_90D_eus-gaap--SharebasedCompensation"/>
            <w:bookmarkEnd w:id="2879"/>
            <w:r>
              <w:rPr>
                <w:rFonts w:ascii="Times New Roman;Times;Serif" w:hAnsi="Times New Roman;Times;Serif"/>
                <w:sz w:val="20"/>
              </w:rPr>
              <w:t>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bookmarkStart w:id="2880" w:name="xdx_908_eus-gaap--ShareBasedCompensation"/>
            <w:bookmarkEnd w:id="2880"/>
            <w:r>
              <w:rPr>
                <w:rFonts w:ascii="Times New Roman;Times;Serif" w:hAnsi="Times New Roman;Times;Serif"/>
                <w:sz w:val="20"/>
              </w:rPr>
              <w:t xml:space="preserve">4.20 - </w:t>
            </w:r>
            <w:bookmarkStart w:id="2881" w:name="xdx_90E_eus-gaap--ShareBasedCompensation"/>
            <w:bookmarkEnd w:id="2881"/>
            <w:r>
              <w:rPr>
                <w:rFonts w:ascii="Times New Roman;Times;Serif" w:hAnsi="Times New Roman;Times;Serif"/>
                <w:sz w:val="20"/>
              </w:rPr>
              <w:t>4.45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2882" w:name="xdx_8A5_zoYmellzMfRk"/>
      <w:bookmarkEnd w:id="288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83" w:name="xdx_899_eus-gaap--ScheduleOfShareBasedCo"/>
      <w:bookmarkEnd w:id="2883"/>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bookmarkStart w:id="2884" w:name="xdx_8BC_zOXf1gsdZkZd"/>
      <w:bookmarkEnd w:id="2884"/>
      <w:r>
        <w:rPr>
          <w:rFonts w:ascii="Times New Roman;Times;Serif" w:hAnsi="Times New Roman;Times;Serif"/>
          <w:b w:val="false"/>
          <w:i w:val="false"/>
          <w:caps w:val="false"/>
          <w:smallCaps w:val="false"/>
          <w:sz w:val="20"/>
        </w:rPr>
        <w:t>Summary of Stock Option Activity</w:t>
      </w:r>
    </w:p>
    <w:tbl>
      <w:tblPr>
        <w:tblW w:w="8488" w:type="dxa"/>
        <w:jc w:val="left"/>
        <w:tblInd w:w="0" w:type="dxa"/>
        <w:tblLayout w:type="fixed"/>
        <w:tblCellMar>
          <w:top w:w="0" w:type="dxa"/>
          <w:left w:w="0" w:type="dxa"/>
          <w:bottom w:w="0" w:type="dxa"/>
          <w:right w:w="0" w:type="dxa"/>
        </w:tblCellMar>
      </w:tblPr>
      <w:tblGrid>
        <w:gridCol w:w="2855"/>
        <w:gridCol w:w="60"/>
        <w:gridCol w:w="160"/>
        <w:gridCol w:w="1015"/>
        <w:gridCol w:w="95"/>
        <w:gridCol w:w="60"/>
        <w:gridCol w:w="182"/>
        <w:gridCol w:w="1277"/>
        <w:gridCol w:w="60"/>
        <w:gridCol w:w="60"/>
        <w:gridCol w:w="191"/>
        <w:gridCol w:w="1403"/>
        <w:gridCol w:w="60"/>
        <w:gridCol w:w="60"/>
        <w:gridCol w:w="306"/>
        <w:gridCol w:w="569"/>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85" w:name="xdx_988_ecustom--ShareBasedCompensationA"/>
            <w:bookmarkEnd w:id="2885"/>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886" w:name="xdx_986_ecustom--ShareBasedCompensationA"/>
            <w:bookmarkEnd w:id="2886"/>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887" w:name="xdx_906_eus-gaap--SharebasedCompensation"/>
            <w:bookmarkEnd w:id="2887"/>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888" w:name="xdx_986_eus-gaap--ShareBasedCompensation"/>
            <w:bookmarkEnd w:id="2888"/>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2889" w:name="xdx_986_eus-gaap--ShareBasedCompensation"/>
            <w:bookmarkEnd w:id="2889"/>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bookmarkStart w:id="2890" w:name="xdx_984_eus-gaap--ShareBasedCompensation"/>
            <w:bookmarkEnd w:id="2890"/>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2891" w:name="xdx_98F_eus-gaap--ShareBasedCompensation"/>
            <w:bookmarkEnd w:id="2891"/>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bookmarkStart w:id="2892" w:name="xdx_985_eus-gaap--ShareBasedCompensation"/>
            <w:bookmarkEnd w:id="2892"/>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49,593.20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93" w:name="xdx_98B_eus-gaap--ShareBasedCompensation"/>
            <w:bookmarkEnd w:id="2893"/>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94" w:name="xdx_98C_eus-gaap--ShareBasedCompensation"/>
            <w:bookmarkEnd w:id="2894"/>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95" w:name="xdx_983_ecustom--ShareBasedCompensationA"/>
            <w:bookmarkEnd w:id="2895"/>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896" w:name="xdx_98F_ecustom--ShareBasedCompensationA"/>
            <w:bookmarkEnd w:id="2896"/>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2897" w:name="xdx_901_eus-gaap--SharebasedCompensation"/>
            <w:bookmarkEnd w:id="2897"/>
            <w:r>
              <w:rPr>
                <w:rFonts w:ascii="Times New Roman;Times;Serif" w:hAnsi="Times New Roman;Times;Serif"/>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898" w:name="xdx_98A_eus-gaap--ShareBasedCompensation"/>
            <w:bookmarkEnd w:id="2898"/>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99" w:name="xdx_98D_eus-gaap--ShareBasedCompensation"/>
            <w:bookmarkEnd w:id="2899"/>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00" w:name="xdx_985_eus-gaap--ShareBasedCompensation"/>
            <w:bookmarkEnd w:id="2900"/>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901" w:name="xdx_98E_eus-gaap--SharebasedCompensation"/>
            <w:bookmarkEnd w:id="2901"/>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02" w:name="xdx_98A_eus-gaap--SharebasedCompensation"/>
            <w:bookmarkEnd w:id="2902"/>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03" w:name="xdx_8AA_zADSEnqQypE1"/>
      <w:bookmarkEnd w:id="29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related to stock options of $</w:t>
      </w:r>
      <w:bookmarkStart w:id="2904" w:name="xdx_909_eus-gaap--AllocatedShareBasedCom"/>
      <w:bookmarkEnd w:id="2904"/>
      <w:r>
        <w:rPr>
          <w:rFonts w:ascii="Times New Roman;Times;Serif" w:hAnsi="Times New Roman;Times;Serif"/>
          <w:b w:val="false"/>
          <w:i w:val="false"/>
          <w:caps w:val="false"/>
          <w:smallCaps w:val="false"/>
          <w:sz w:val="20"/>
        </w:rPr>
        <w:t>107,683 and $</w:t>
      </w:r>
      <w:bookmarkStart w:id="2905" w:name="xdx_90C_eus-gaap--AllocatedShareBasedCom"/>
      <w:bookmarkEnd w:id="2905"/>
      <w:r>
        <w:rPr>
          <w:rFonts w:ascii="Times New Roman;Times;Serif" w:hAnsi="Times New Roman;Times;Serif"/>
          <w:b w:val="false"/>
          <w:i w:val="false"/>
          <w:caps w:val="false"/>
          <w:smallCaps w:val="false"/>
          <w:sz w:val="20"/>
        </w:rPr>
        <w:t>130,997, which is included in general and administrative expense for the years ended December 31, 2025 and 2024, respectively. The weighted-average grant-date fair value per option granted during the years ended December 31, 2025 and 2024 was $</w:t>
      </w:r>
      <w:bookmarkStart w:id="2906" w:name="xdx_900_eus-gaap--ShareBasedCompensation"/>
      <w:bookmarkEnd w:id="2906"/>
      <w:r>
        <w:rPr>
          <w:rFonts w:ascii="Times New Roman;Times;Serif" w:hAnsi="Times New Roman;Times;Serif"/>
          <w:b w:val="false"/>
          <w:i w:val="false"/>
          <w:caps w:val="false"/>
          <w:smallCaps w:val="false"/>
          <w:sz w:val="20"/>
        </w:rPr>
        <w:t>12 and $</w:t>
      </w:r>
      <w:bookmarkStart w:id="2907" w:name="xdx_904_eus-gaap--ShareBasedCompensation"/>
      <w:bookmarkEnd w:id="2907"/>
      <w:r>
        <w:rPr>
          <w:rFonts w:ascii="Times New Roman;Times;Serif" w:hAnsi="Times New Roman;Times;Serif"/>
          <w:b w:val="false"/>
          <w:i w:val="false"/>
          <w:caps w:val="false"/>
          <w:smallCaps w:val="false"/>
          <w:sz w:val="20"/>
        </w:rPr>
        <w:t>85, respectively. As of December 31, 2025 and 2024, $</w:t>
      </w:r>
      <w:bookmarkStart w:id="2908" w:name="xdx_908_eus-gaap--EmployeeServiceShareBa"/>
      <w:bookmarkEnd w:id="2908"/>
      <w:r>
        <w:rPr>
          <w:rFonts w:ascii="Times New Roman;Times;Serif" w:hAnsi="Times New Roman;Times;Serif"/>
          <w:b w:val="false"/>
          <w:i w:val="false"/>
          <w:caps w:val="false"/>
          <w:smallCaps w:val="false"/>
          <w:sz w:val="20"/>
        </w:rPr>
        <w:t>261,467 and $</w:t>
      </w:r>
      <w:bookmarkStart w:id="2909" w:name="xdx_90A_eus-gaap--EmployeeServiceShareBa"/>
      <w:bookmarkEnd w:id="2909"/>
      <w:r>
        <w:rPr>
          <w:rFonts w:ascii="Times New Roman;Times;Serif" w:hAnsi="Times New Roman;Times;Serif"/>
          <w:b w:val="false"/>
          <w:i w:val="false"/>
          <w:caps w:val="false"/>
          <w:smallCaps w:val="false"/>
          <w:sz w:val="20"/>
        </w:rPr>
        <w:t xml:space="preserve">212,936 of unrecognized compensation expense related to non-vested awards is expected to be recognized over the weighted average period of </w:t>
      </w:r>
      <w:bookmarkStart w:id="2910" w:name="xdx_904_eus-gaap--EmployeeServiceShareBa"/>
      <w:bookmarkEnd w:id="2910"/>
      <w:r>
        <w:rPr>
          <w:rFonts w:ascii="Times New Roman;Times;Serif" w:hAnsi="Times New Roman;Times;Serif"/>
          <w:b w:val="false"/>
          <w:i w:val="false"/>
          <w:caps w:val="false"/>
          <w:smallCaps w:val="false"/>
          <w:sz w:val="20"/>
        </w:rPr>
        <w:t xml:space="preserve">8.87 and </w:t>
      </w:r>
      <w:bookmarkStart w:id="2911" w:name="xdx_90B_eus-gaap--EmployeeServiceShareBa"/>
      <w:bookmarkEnd w:id="2911"/>
      <w:r>
        <w:rPr>
          <w:rFonts w:ascii="Times New Roman;Times;Serif" w:hAnsi="Times New Roman;Times;Serif"/>
          <w:b w:val="false"/>
          <w:i w:val="false"/>
          <w:caps w:val="false"/>
          <w:smallCaps w:val="false"/>
          <w:sz w:val="20"/>
        </w:rPr>
        <w:t>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w:t>
      </w:r>
      <w:bookmarkStart w:id="2912" w:name="xdx_90A_eus-gaap--ShareBasedCompensation"/>
      <w:bookmarkEnd w:id="2912"/>
      <w:r>
        <w:rPr>
          <w:rFonts w:ascii="Times New Roman;Times;Serif" w:hAnsi="Times New Roman;Times;Serif"/>
          <w:b w:val="false"/>
          <w:i w:val="false"/>
          <w:caps w:val="false"/>
          <w:smallCaps w:val="false"/>
          <w:sz w:val="20"/>
        </w:rPr>
        <w:t xml:space="preserve">four years - </w:t>
      </w:r>
      <w:bookmarkStart w:id="2913" w:name="xdx_905_eus-gaap--SharebasedCompensation"/>
      <w:bookmarkEnd w:id="2913"/>
      <w:r>
        <w:rPr>
          <w:rFonts w:ascii="Times New Roman;Times;Serif" w:hAnsi="Times New Roman;Times;Serif"/>
          <w:b w:val="false"/>
          <w:i w:val="false"/>
          <w:caps w:val="false"/>
          <w:smallCaps w:val="false"/>
          <w:sz w:val="20"/>
        </w:rPr>
        <w:t xml:space="preserve">25% of the RSUs will vest on each anniversary, or (b) </w:t>
      </w:r>
      <w:bookmarkStart w:id="2914" w:name="xdx_907_eus-gaap--ShareBasedCompensation"/>
      <w:bookmarkEnd w:id="2914"/>
      <w:r>
        <w:rPr>
          <w:rFonts w:ascii="Times New Roman;Times;Serif" w:hAnsi="Times New Roman;Times;Serif"/>
          <w:b w:val="false"/>
          <w:i w:val="false"/>
          <w:caps w:val="false"/>
          <w:smallCaps w:val="false"/>
          <w:sz w:val="20"/>
        </w:rPr>
        <w:t xml:space="preserve">one year - </w:t>
      </w:r>
      <w:bookmarkStart w:id="2915" w:name="xdx_906_eus-gaap--SharebasedCompensation"/>
      <w:bookmarkEnd w:id="2915"/>
      <w:r>
        <w:rPr>
          <w:rFonts w:ascii="Times New Roman;Times;Serif" w:hAnsi="Times New Roman;Times;Serif"/>
          <w:b w:val="false"/>
          <w:i w:val="false"/>
          <w:caps w:val="false"/>
          <w:smallCaps w:val="false"/>
          <w:sz w:val="20"/>
        </w:rPr>
        <w:t xml:space="preserve">25% will vest quarterly, or (c) </w:t>
      </w:r>
      <w:bookmarkStart w:id="2916" w:name="xdx_903_eus-gaap--ShareBasedCompensation"/>
      <w:bookmarkEnd w:id="2916"/>
      <w:r>
        <w:rPr>
          <w:rFonts w:ascii="Times New Roman;Times;Serif" w:hAnsi="Times New Roman;Times;Serif"/>
          <w:b w:val="false"/>
          <w:i w:val="false"/>
          <w:caps w:val="false"/>
          <w:smallCaps w:val="false"/>
          <w:sz w:val="20"/>
        </w:rPr>
        <w:t xml:space="preserve">one year – </w:t>
      </w:r>
      <w:bookmarkStart w:id="2917" w:name="xdx_904_eus-gaap--SharebasedCompensation"/>
      <w:bookmarkEnd w:id="2917"/>
      <w:r>
        <w:rPr>
          <w:rFonts w:ascii="Times New Roman;Times;Serif" w:hAnsi="Times New Roman;Times;Serif"/>
          <w:b w:val="false"/>
          <w:i w:val="false"/>
          <w:caps w:val="false"/>
          <w:smallCaps w:val="false"/>
          <w:sz w:val="20"/>
        </w:rPr>
        <w:t>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18" w:name="xdx_893_eus-gaap--ScheduleOfShareBasedCo"/>
      <w:bookmarkEnd w:id="2918"/>
      <w:r>
        <w:rPr>
          <w:rFonts w:ascii="Times New Roman;Times;Serif" w:hAnsi="Times New Roman;Times;Serif"/>
          <w:b w:val="false"/>
          <w:i w:val="false"/>
          <w:caps w:val="false"/>
          <w:smallCaps w:val="false"/>
          <w:sz w:val="20"/>
        </w:rPr>
        <w:t>A summary of the activity with respect to, and status of, RSUs during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bookmarkStart w:id="2919" w:name="xdx_8B9_zSyWEq5vlAZj"/>
      <w:bookmarkEnd w:id="2919"/>
      <w:r>
        <w:rPr>
          <w:rFonts w:ascii="Times New Roman;Times;Serif" w:hAnsi="Times New Roman;Times;Serif"/>
          <w:b w:val="false"/>
          <w:i w:val="false"/>
          <w:caps w:val="false"/>
          <w:smallCaps w:val="false"/>
          <w:sz w:val="20"/>
        </w:rPr>
        <w:t>Summary of Activity with Respect Status of, RSUs</w:t>
      </w:r>
    </w:p>
    <w:tbl>
      <w:tblPr>
        <w:tblW w:w="5869" w:type="dxa"/>
        <w:jc w:val="left"/>
        <w:tblInd w:w="0" w:type="dxa"/>
        <w:tblLayout w:type="fixed"/>
        <w:tblCellMar>
          <w:top w:w="0" w:type="dxa"/>
          <w:left w:w="0" w:type="dxa"/>
          <w:bottom w:w="0" w:type="dxa"/>
          <w:right w:w="0" w:type="dxa"/>
        </w:tblCellMar>
      </w:tblPr>
      <w:tblGrid>
        <w:gridCol w:w="2855"/>
        <w:gridCol w:w="60"/>
        <w:gridCol w:w="60"/>
        <w:gridCol w:w="755"/>
        <w:gridCol w:w="95"/>
        <w:gridCol w:w="60"/>
        <w:gridCol w:w="324"/>
        <w:gridCol w:w="1585"/>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 Fair</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20" w:name="xdx_98F_eus-gaap--ShareBasedCompensation"/>
            <w:bookmarkEnd w:id="2920"/>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21" w:name="xdx_98F_eus-gaap--ShareBasedCompensation"/>
            <w:bookmarkEnd w:id="2921"/>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348.00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22" w:name="xdx_980_eus-gaap--ShareBasedCompensation"/>
            <w:bookmarkEnd w:id="2922"/>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bookmarkStart w:id="2923" w:name="xdx_985_eus-gaap--ShareBasedCompensation"/>
            <w:bookmarkEnd w:id="2923"/>
          </w:p>
        </w:tc>
        <w:tc>
          <w:tcPr>
            <w:tcW w:w="15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24" w:name="xdx_980_eus-gaap--ShareBasedCompensation"/>
            <w:bookmarkEnd w:id="2924"/>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bookmarkStart w:id="2925" w:name="xdx_983_eus-gaap--ShareBasedCompensation"/>
            <w:bookmarkEnd w:id="2925"/>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6" w:name="xdx_989_eus-gaap--ShareBasedCompensation"/>
            <w:bookmarkEnd w:id="2926"/>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7" w:name="xdx_98A_eus-gaap--ShareBasedCompensation"/>
            <w:bookmarkEnd w:id="2927"/>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928" w:name="xdx_983_eus-gaap--ShareBasedCompensation"/>
            <w:bookmarkEnd w:id="2928"/>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29" w:name="xdx_988_eus-gaap--ShareBasedCompensation"/>
            <w:bookmarkEnd w:id="2929"/>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30" w:name="xdx_8A5_zw5QnymN3fif"/>
      <w:bookmarkEnd w:id="293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December 31, 2024, the Company recorded total stock-based compensation expense related to RSUs of $</w:t>
      </w:r>
      <w:bookmarkStart w:id="2931" w:name="xdx_909_eus-gaap--AllocatedShareBasedCom"/>
      <w:bookmarkEnd w:id="2931"/>
      <w:r>
        <w:rPr>
          <w:rFonts w:ascii="Times New Roman;Times;Serif" w:hAnsi="Times New Roman;Times;Serif"/>
          <w:b w:val="false"/>
          <w:i w:val="false"/>
          <w:caps w:val="false"/>
          <w:smallCaps w:val="false"/>
          <w:sz w:val="20"/>
        </w:rPr>
        <w:t>2,466,707 and $</w:t>
      </w:r>
      <w:bookmarkStart w:id="2932" w:name="xdx_902_eus-gaap--AllocatedShareBasedCom"/>
      <w:bookmarkEnd w:id="2932"/>
      <w:r>
        <w:rPr>
          <w:rFonts w:ascii="Times New Roman;Times;Serif" w:hAnsi="Times New Roman;Times;Serif"/>
          <w:b w:val="false"/>
          <w:i w:val="false"/>
          <w:caps w:val="false"/>
          <w:smallCaps w:val="false"/>
          <w:sz w:val="20"/>
        </w:rPr>
        <w:t>1,034,683, respectively, which is included in general and administrative expense. As of December 31, 2025 and 2024, unrecognized compensation cost related to the grant of RSUs was $</w:t>
      </w:r>
      <w:bookmarkStart w:id="2933" w:name="xdx_907_eus-gaap--EmployeeServiceShareBa"/>
      <w:bookmarkEnd w:id="2933"/>
      <w:r>
        <w:rPr>
          <w:rFonts w:ascii="Times New Roman;Times;Serif" w:hAnsi="Times New Roman;Times;Serif"/>
          <w:b w:val="false"/>
          <w:i w:val="false"/>
          <w:caps w:val="false"/>
          <w:smallCaps w:val="false"/>
          <w:sz w:val="20"/>
        </w:rPr>
        <w:t>2,342,212 and $</w:t>
      </w:r>
      <w:bookmarkStart w:id="2934" w:name="xdx_90A_eus-gaap--EmployeeServiceShareBa"/>
      <w:bookmarkEnd w:id="2934"/>
      <w:r>
        <w:rPr>
          <w:rFonts w:ascii="Times New Roman;Times;Serif" w:hAnsi="Times New Roman;Times;Serif"/>
          <w:b w:val="false"/>
          <w:i w:val="false"/>
          <w:caps w:val="false"/>
          <w:smallCaps w:val="false"/>
          <w:sz w:val="20"/>
        </w:rPr>
        <w:t xml:space="preserve">158,032, respectively. Unvested outstanding RSUs as of December 31, 2025 and 2024 had a weighted average remaining vesting period of </w:t>
      </w:r>
      <w:bookmarkStart w:id="2935" w:name="xdx_900_eus-gaap--EmployeeServiceShareBa"/>
      <w:bookmarkEnd w:id="2935"/>
      <w:r>
        <w:rPr>
          <w:rFonts w:ascii="Times New Roman;Times;Serif" w:hAnsi="Times New Roman;Times;Serif"/>
          <w:b w:val="false"/>
          <w:i w:val="false"/>
          <w:caps w:val="false"/>
          <w:smallCaps w:val="false"/>
          <w:sz w:val="20"/>
        </w:rPr>
        <w:t xml:space="preserve">2.25 and </w:t>
      </w:r>
      <w:bookmarkStart w:id="2936" w:name="xdx_903_eus-gaap--EmployeeServiceShareBa"/>
      <w:bookmarkEnd w:id="2936"/>
      <w:r>
        <w:rPr>
          <w:rFonts w:ascii="Times New Roman;Times;Serif" w:hAnsi="Times New Roman;Times;Serif"/>
          <w:b w:val="false"/>
          <w:i w:val="false"/>
          <w:caps w:val="false"/>
          <w:smallCaps w:val="false"/>
          <w:sz w:val="20"/>
        </w:rPr>
        <w:t>1.2 years,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w:t>
      </w:r>
      <w:bookmarkStart w:id="2937" w:name="xdx_903_eus-gaap--ShareBasedCompensation"/>
      <w:bookmarkEnd w:id="2937"/>
      <w:r>
        <w:rPr>
          <w:rFonts w:ascii="Times New Roman;Times;Serif" w:hAnsi="Times New Roman;Times;Serif"/>
          <w:b w:val="false"/>
          <w:i w:val="false"/>
          <w:caps w:val="false"/>
          <w:smallCaps w:val="false"/>
          <w:sz w:val="20"/>
        </w:rPr>
        <w:t>15.0 million to $</w:t>
      </w:r>
      <w:bookmarkStart w:id="2938" w:name="xdx_906_eus-gaap--ShareBasedCompensation"/>
      <w:bookmarkEnd w:id="2938"/>
      <w:r>
        <w:rPr>
          <w:rFonts w:ascii="Times New Roman;Times;Serif" w:hAnsi="Times New Roman;Times;Serif"/>
          <w:b w:val="false"/>
          <w:i w:val="false"/>
          <w:caps w:val="false"/>
          <w:smallCaps w:val="false"/>
          <w:sz w:val="20"/>
        </w:rPr>
        <w:t>30.0 million, which result in stock grants ranging from $</w:t>
      </w:r>
      <w:bookmarkStart w:id="2939" w:name="xdx_908_eus-gaap--ShareBasedCompensation"/>
      <w:bookmarkEnd w:id="2939"/>
      <w:r>
        <w:rPr>
          <w:rFonts w:ascii="Times New Roman;Times;Serif" w:hAnsi="Times New Roman;Times;Serif"/>
          <w:b w:val="false"/>
          <w:i w:val="false"/>
          <w:caps w:val="false"/>
          <w:smallCaps w:val="false"/>
          <w:sz w:val="20"/>
        </w:rPr>
        <w:t>250 thousand to $</w:t>
      </w:r>
      <w:bookmarkStart w:id="2940" w:name="xdx_900_eus-gaap--ShareBasedCompensation"/>
      <w:bookmarkEnd w:id="2940"/>
      <w:r>
        <w:rPr>
          <w:rFonts w:ascii="Times New Roman;Times;Serif" w:hAnsi="Times New Roman;Times;Serif"/>
          <w:b w:val="false"/>
          <w:i w:val="false"/>
          <w:caps w:val="false"/>
          <w:smallCaps w:val="false"/>
          <w:sz w:val="20"/>
        </w:rPr>
        <w:t>750 thousand, up to $</w:t>
      </w:r>
      <w:bookmarkStart w:id="2941" w:name="xdx_903_eus-gaap--ShareBasedCompensation"/>
      <w:bookmarkEnd w:id="2941"/>
      <w:r>
        <w:rPr>
          <w:rFonts w:ascii="Times New Roman;Times;Serif" w:hAnsi="Times New Roman;Times;Serif"/>
          <w:b w:val="false"/>
          <w:i w:val="false"/>
          <w:caps w:val="false"/>
          <w:smallCaps w:val="false"/>
          <w:sz w:val="20"/>
        </w:rPr>
        <w:t>2.0 million in the aggregate. The CEO Award is equity-classified and the grant-date fair value was estimated using a Monte Carlo simulation model, using historical volatility as a key input. The Company recognized $</w:t>
      </w:r>
      <w:bookmarkStart w:id="2942" w:name="xdx_901_eus-gaap--AllocatedShareBasedCom"/>
      <w:bookmarkEnd w:id="2942"/>
      <w:r>
        <w:rPr>
          <w:rFonts w:ascii="Times New Roman;Times;Serif" w:hAnsi="Times New Roman;Times;Serif"/>
          <w:b w:val="false"/>
          <w:i w:val="false"/>
          <w:caps w:val="false"/>
          <w:smallCaps w:val="false"/>
          <w:sz w:val="20"/>
        </w:rPr>
        <w:t>104,841 of stock-based compensation expense related to this award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43" w:name="xdx_806_eus-gaap--IncomeTaxDisclosureTex"/>
      <w:bookmarkEnd w:id="2943"/>
      <w:r>
        <w:rPr>
          <w:rFonts w:ascii="Times New Roman;Times;Serif" w:hAnsi="Times New Roman;Times;Serif"/>
          <w:b/>
          <w:i w:val="false"/>
          <w:caps w:val="false"/>
          <w:smallCaps w:val="false"/>
          <w:sz w:val="20"/>
        </w:rPr>
        <w:t xml:space="preserve">17. </w:t>
      </w:r>
      <w:bookmarkStart w:id="2944" w:name="xdx_829_z6jnDRrxOQX2"/>
      <w:bookmarkEnd w:id="2944"/>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net loss before income taxes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45" w:name="xdx_8BD_zjD3FUCsYkk"/>
      <w:bookmarkStart w:id="2946" w:name="xdx_899_eus-gaap--ScheduleOfIncomeBefore"/>
      <w:bookmarkEnd w:id="2945"/>
      <w:bookmarkEnd w:id="2946"/>
      <w:r>
        <w:rPr>
          <w:rFonts w:ascii="Times New Roman;Times;Serif" w:hAnsi="Times New Roman;Times;Serif"/>
          <w:b w:val="false"/>
          <w:i w:val="false"/>
          <w:caps w:val="false"/>
          <w:smallCaps w:val="false"/>
          <w:sz w:val="20"/>
        </w:rPr>
        <w:t>Schedule of Components of Net Loss Before Income Taxes </w:t>
      </w:r>
    </w:p>
    <w:tbl>
      <w:tblPr>
        <w:tblW w:w="7220" w:type="dxa"/>
        <w:jc w:val="left"/>
        <w:tblInd w:w="0" w:type="dxa"/>
        <w:tblLayout w:type="fixed"/>
        <w:tblCellMar>
          <w:top w:w="0" w:type="dxa"/>
          <w:left w:w="0" w:type="dxa"/>
          <w:bottom w:w="28" w:type="dxa"/>
          <w:right w:w="0" w:type="dxa"/>
        </w:tblCellMar>
      </w:tblPr>
      <w:tblGrid>
        <w:gridCol w:w="4265"/>
        <w:gridCol w:w="60"/>
        <w:gridCol w:w="140"/>
        <w:gridCol w:w="1175"/>
        <w:gridCol w:w="95"/>
        <w:gridCol w:w="60"/>
        <w:gridCol w:w="140"/>
        <w:gridCol w:w="1175"/>
        <w:gridCol w:w="110"/>
      </w:tblGrid>
      <w:tr>
        <w:trPr/>
        <w:tc>
          <w:tcPr>
            <w:tcW w:w="4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47" w:name="xdx_49B_20250101__20251231_zHYOtUaaEZ55"/>
            <w:bookmarkEnd w:id="2947"/>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948" w:name="xdx_493_20240101__20241231_zo1TLF3w8ph8"/>
            <w:bookmarkEnd w:id="2948"/>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Components of net loss before income taxes: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bookmarkStart w:id="2949" w:name="xdx_402_eus-gaap--IncomeLossFromContinui"/>
            <w:bookmarkEnd w:id="2949"/>
          </w:p>
        </w:tc>
      </w:tr>
      <w:tr>
        <w:trPr/>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(22,673,927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50" w:name="xdx_40C_eus-gaap--IncomeLossFromContinui"/>
            <w:bookmarkEnd w:id="2950"/>
          </w:p>
        </w:tc>
      </w:tr>
      <w:tr>
        <w:trPr/>
        <w:tc>
          <w:tcPr>
            <w:tcW w:w="42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51" w:name="xdx_8A5_zv8r6D3GPQ0g"/>
      <w:bookmarkEnd w:id="295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52" w:name="xdx_899_eus-gaap--ScheduleOfEffectiveInc"/>
      <w:bookmarkEnd w:id="2952"/>
      <w:r>
        <w:rPr>
          <w:rFonts w:ascii="Times New Roman;Times;Serif" w:hAnsi="Times New Roman;Times;Serif"/>
          <w:b w:val="false"/>
          <w:i w:val="false"/>
          <w:caps w:val="false"/>
          <w:smallCaps w:val="false"/>
          <w:sz w:val="20"/>
        </w:rPr>
        <w:t>A reconciliation of the provision for income taxes to the amount computed by applying the 21% statutory U.S. federal income tax rate to income before income taxes after the adoption of ASU 2023-09 for the year ended December 31,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53" w:name="xdx_8BC_zqfnJNoF4tbc"/>
      <w:bookmarkEnd w:id="2953"/>
      <w:r>
        <w:rPr>
          <w:rFonts w:ascii="Times New Roman;Times;Serif" w:hAnsi="Times New Roman;Times;Serif"/>
          <w:b w:val="false"/>
          <w:i w:val="false"/>
          <w:caps w:val="false"/>
          <w:smallCaps w:val="false"/>
          <w:sz w:val="20"/>
        </w:rPr>
        <w:t>Schedule of US Federal Income Tax Rate to the Company's Effective Tax Rate </w:t>
      </w:r>
    </w:p>
    <w:tbl>
      <w:tblPr>
        <w:tblW w:w="10205" w:type="dxa"/>
        <w:jc w:val="left"/>
        <w:tblInd w:w="0" w:type="dxa"/>
        <w:tblLayout w:type="fixed"/>
        <w:tblCellMar>
          <w:top w:w="0" w:type="dxa"/>
          <w:left w:w="0" w:type="dxa"/>
          <w:bottom w:w="0" w:type="dxa"/>
          <w:right w:w="0" w:type="dxa"/>
        </w:tblCellMar>
      </w:tblPr>
      <w:tblGrid>
        <w:gridCol w:w="6580"/>
        <w:gridCol w:w="60"/>
        <w:gridCol w:w="140"/>
        <w:gridCol w:w="1055"/>
        <w:gridCol w:w="95"/>
        <w:gridCol w:w="60"/>
        <w:gridCol w:w="169"/>
        <w:gridCol w:w="1815"/>
        <w:gridCol w:w="231"/>
      </w:tblGrid>
      <w:tr>
        <w:trPr/>
        <w:tc>
          <w:tcPr>
            <w:tcW w:w="6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Pretax Income</w:t>
            </w:r>
          </w:p>
        </w:tc>
        <w:tc>
          <w:tcPr>
            <w:tcW w:w="231" w:type="dxa"/>
            <w:tcBorders/>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54" w:name="xdx_982_eus-gaap--IncomeTaxReconciliatio"/>
            <w:bookmarkEnd w:id="2954"/>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55" w:name="xdx_986_eus-gaap--EffectiveIncomeTaxRate"/>
            <w:bookmarkEnd w:id="2955"/>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56" w:name="xdx_98C_eus-gaap--IncomeTaxReconciliatio"/>
            <w:bookmarkEnd w:id="2956"/>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57" w:name="xdx_984_eus-gaap--EffectiveIncomeTaxRate"/>
            <w:bookmarkEnd w:id="2957"/>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United Kingdom and 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58" w:name="xdx_985_eus-gaap--IncomeTaxReconciliatio"/>
            <w:bookmarkEnd w:id="2958"/>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59" w:name="xdx_985_eus-gaap--EffectiveIncomeTaxRate"/>
            <w:bookmarkEnd w:id="2959"/>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Tax Laws or Rate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60" w:name="xdx_98E_eus-gaap--EffectiveIncomeTaxRate"/>
            <w:bookmarkEnd w:id="2960"/>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61" w:name="xdx_985_eus-gaap--EffectiveIncomeTaxRate"/>
            <w:bookmarkEnd w:id="2961"/>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62" w:name="xdx_98D_eus-gaap--IncomeTaxReconciliatio"/>
            <w:bookmarkEnd w:id="2962"/>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63" w:name="xdx_98C_eus-gaap--EffectiveIncomeTaxRate"/>
            <w:bookmarkEnd w:id="2963"/>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64" w:name="xdx_989_eus-gaap--IncomeTaxReconciliatio"/>
            <w:bookmarkEnd w:id="2964"/>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65" w:name="xdx_98D_ecustom--ChangeInValuationAllowa"/>
            <w:bookmarkEnd w:id="2965"/>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66" w:name="xdx_400_eus-gaap--IncomeTaxReconciliatio"/>
            <w:bookmarkEnd w:id="296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67" w:name="xdx_409_eus-gaap--EffectiveIncomeTaxRate"/>
            <w:bookmarkStart w:id="2968" w:name="xdx_409_eus-gaap--EffectiveIncomeTaxRate"/>
            <w:bookmarkEnd w:id="296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69" w:name="xdx_402_ecustom--IncomeTaxReconciliation"/>
            <w:bookmarkStart w:id="2970" w:name="xdx_402_ecustom--IncomeTaxReconciliation"/>
            <w:bookmarkEnd w:id="297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71" w:name="xdx_40F_ecustom--IncomeTaxReconciliation"/>
            <w:bookmarkStart w:id="2972" w:name="xdx_40F_ecustom--IncomeTaxReconciliation"/>
            <w:bookmarkEnd w:id="297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73" w:name="xdx_40E_eus-gaap--IncomeTaxReconciliatio"/>
            <w:bookmarkStart w:id="2974" w:name="xdx_40E_eus-gaap--IncomeTaxReconciliatio"/>
            <w:bookmarkEnd w:id="297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75" w:name="xdx_40E_eus-gaap--EffectiveIncomeTaxRate"/>
            <w:bookmarkStart w:id="2976" w:name="xdx_40E_eus-gaap--EffectiveIncomeTaxRate"/>
            <w:bookmarkEnd w:id="297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77" w:name="xdx_407_ecustom--IncomeTaxReconciliation"/>
            <w:bookmarkStart w:id="2978" w:name="xdx_407_ecustom--IncomeTaxReconciliation"/>
            <w:bookmarkEnd w:id="297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79" w:name="xdx_402_ecustom--IncomeTaxReconciliation"/>
            <w:bookmarkStart w:id="2980" w:name="xdx_402_ecustom--IncomeTaxReconciliation"/>
            <w:bookmarkEnd w:id="2980"/>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81" w:name="xdx_40E_eus-gaap--IncomeTaxReconciliatio"/>
            <w:bookmarkStart w:id="2982" w:name="xdx_40E_eus-gaap--IncomeTaxReconciliatio"/>
            <w:bookmarkEnd w:id="2982"/>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83" w:name="xdx_40B_eus-gaap--EffectiveIncomeTaxRate"/>
            <w:bookmarkStart w:id="2984" w:name="xdx_40B_eus-gaap--EffectiveIncomeTaxRate"/>
            <w:bookmarkEnd w:id="2984"/>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85" w:name="xdx_405_eus-gaap--IncomeTaxReconciliatio"/>
            <w:bookmarkStart w:id="2986" w:name="xdx_405_eus-gaap--IncomeTaxReconciliatio"/>
            <w:bookmarkEnd w:id="2986"/>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bookmarkStart w:id="2987" w:name="xdx_40A_eus-gaap--EffectiveIncomeTaxRate"/>
            <w:bookmarkStart w:id="2988" w:name="xdx_40A_eus-gaap--EffectiveIncomeTaxRate"/>
            <w:bookmarkEnd w:id="2988"/>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89" w:name="xdx_98A_ecustom--EffectiveIncomeTaxRateR"/>
            <w:bookmarkEnd w:id="2989"/>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90" w:name="xdx_985_ecustom--EffectiveIncomeTaxRateR"/>
            <w:bookmarkEnd w:id="2990"/>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 163(l)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2991" w:name="xdx_98D_ecustom--IncomeTaxRateReconcilia"/>
            <w:bookmarkEnd w:id="2991"/>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2992" w:name="xdx_986_ecustom--EffectiveIncomeTaxRateR"/>
            <w:bookmarkEnd w:id="2992"/>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993" w:name="xdx_984_eus-gaap--IncomeTaxReconciliatio"/>
            <w:bookmarkEnd w:id="2993"/>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2994" w:name="xdx_985_eus-gaap--EffectiveIncomeTaxRate"/>
            <w:bookmarkEnd w:id="2994"/>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95" w:name="xdx_988_eus-gaap--IncomeTaxReconciliatio"/>
            <w:bookmarkEnd w:id="299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996" w:name="xdx_98F_eus-gaap--EffectiveIncomeTaxRate"/>
            <w:bookmarkEnd w:id="2996"/>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97" w:name="xdx_985_eus-gaap--IncomeTaxExpenseBenefi"/>
            <w:bookmarkEnd w:id="2997"/>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998" w:name="xdx_986_eus-gaap--EffectiveIncomeTaxRate"/>
            <w:bookmarkEnd w:id="2998"/>
          </w:p>
        </w:tc>
        <w:tc>
          <w:tcPr>
            <w:tcW w:w="1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for the period ended December 31, 2024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4355"/>
        <w:gridCol w:w="60"/>
        <w:gridCol w:w="140"/>
        <w:gridCol w:w="1055"/>
        <w:gridCol w:w="95"/>
        <w:gridCol w:w="60"/>
        <w:gridCol w:w="60"/>
        <w:gridCol w:w="440"/>
        <w:gridCol w:w="230"/>
      </w:tblGrid>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99" w:name="xdx_987_eus-gaap--IncomeTaxReconciliatio"/>
            <w:bookmarkEnd w:id="2999"/>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(6,617,812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00" w:name="xdx_989_eus-gaap--EffectiveIncomeTaxRate"/>
            <w:bookmarkEnd w:id="3000"/>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01" w:name="xdx_988_eus-gaap--IncomeTaxReconciliatio"/>
            <w:bookmarkEnd w:id="3001"/>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02" w:name="xdx_980_eus-gaap--EffectiveIncomeTaxRate"/>
            <w:bookmarkEnd w:id="3002"/>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03" w:name="xdx_98B_eus-gaap--IncomeTaxReconciliatio"/>
            <w:bookmarkEnd w:id="3003"/>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04" w:name="xdx_98C_ecustom--ChangeInValuationAllowa"/>
            <w:bookmarkEnd w:id="3004"/>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05" w:name="xdx_98B_eus-gaap--IncomeTaxReconciliatio"/>
            <w:bookmarkEnd w:id="3005"/>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06" w:name="xdx_98E_eus-gaap--EffectiveIncomeTaxRate"/>
            <w:bookmarkEnd w:id="3006"/>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07" w:name="xdx_98B_ecustom--EffectiveIncomeTaxRateR"/>
            <w:bookmarkEnd w:id="3007"/>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08" w:name="xdx_98C_ecustom--EffectiveIncomeTaxRateR"/>
            <w:bookmarkEnd w:id="3008"/>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09" w:name="xdx_98B_ecustom--IncomeTaxReconciliation"/>
            <w:bookmarkEnd w:id="3009"/>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10" w:name="xdx_98F_ecustom--IncomeTaxReconciliation"/>
            <w:bookmarkEnd w:id="3010"/>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11" w:name="xdx_98F_eus-gaap--IncomeTaxReconciliatio"/>
            <w:bookmarkEnd w:id="3011"/>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12" w:name="xdx_98A_eus-gaap--EffectiveIncomeTaxRate"/>
            <w:bookmarkEnd w:id="3012"/>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conversion and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13" w:name="xdx_98E_ecustom--IncomeTaxRateReconcilia"/>
            <w:bookmarkEnd w:id="3013"/>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14" w:name="xdx_989_ecustom--EffectiveIncomeTaxRateR"/>
            <w:bookmarkEnd w:id="3014"/>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15" w:name="xdx_989_ecustom--IncomeTaxReconciliation"/>
            <w:bookmarkEnd w:id="3015"/>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16" w:name="xdx_984_ecustom--IncomeTaxReconciliation"/>
            <w:bookmarkEnd w:id="3016"/>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017" w:name="xdx_988_eus-gaap--IncomeTaxReconciliatio"/>
            <w:bookmarkEnd w:id="3017"/>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18" w:name="xdx_98F_eus-gaap--EffectiveIncomeTaxRate"/>
            <w:bookmarkEnd w:id="3018"/>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19" w:name="xdx_980_eus-gaap--IncomeTaxReconciliatio"/>
            <w:bookmarkEnd w:id="301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020" w:name="xdx_986_eus-gaap--EffectiveIncomeTaxRate"/>
            <w:bookmarkEnd w:id="3020"/>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21" w:name="xdx_984_eus-gaap--IncomeTaxExpenseBenefi"/>
            <w:bookmarkEnd w:id="302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22" w:name="xdx_981_eus-gaap--EffectiveIncomeTaxRate"/>
            <w:bookmarkEnd w:id="3022"/>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023" w:name="xdx_8A3_zhgF1280PZK5"/>
      <w:bookmarkEnd w:id="302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24" w:name="xdx_890_eus-gaap--ScheduleOfComponentsOf"/>
      <w:bookmarkEnd w:id="3024"/>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25" w:name="xdx_8B2_z32megwcM8n8"/>
      <w:bookmarkEnd w:id="3025"/>
      <w:r>
        <w:rPr>
          <w:rFonts w:ascii="Times New Roman;Times;Serif" w:hAnsi="Times New Roman;Times;Serif"/>
          <w:b w:val="false"/>
          <w:i w:val="false"/>
          <w:caps w:val="false"/>
          <w:smallCaps w:val="false"/>
          <w:sz w:val="20"/>
        </w:rPr>
        <w:t>Schedule of Components of Income Tax Provision (Benefit) </w:t>
      </w:r>
    </w:p>
    <w:tbl>
      <w:tblPr>
        <w:tblW w:w="4223" w:type="dxa"/>
        <w:jc w:val="left"/>
        <w:tblInd w:w="0" w:type="dxa"/>
        <w:tblLayout w:type="fixed"/>
        <w:tblCellMar>
          <w:top w:w="0" w:type="dxa"/>
          <w:left w:w="0" w:type="dxa"/>
          <w:bottom w:w="0" w:type="dxa"/>
          <w:right w:w="0" w:type="dxa"/>
        </w:tblCellMar>
      </w:tblPr>
      <w:tblGrid>
        <w:gridCol w:w="1370"/>
        <w:gridCol w:w="60"/>
        <w:gridCol w:w="228"/>
        <w:gridCol w:w="1425"/>
        <w:gridCol w:w="154"/>
        <w:gridCol w:w="97"/>
        <w:gridCol w:w="285"/>
        <w:gridCol w:w="529"/>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26" w:name="xdx_493_20250101__20251231_z9YDDp7SrpS2"/>
            <w:bookmarkEnd w:id="3026"/>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3027" w:name="xdx_49C_20240101__20241231_zaOWsW1a2a04"/>
            <w:bookmarkEnd w:id="3027"/>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bookmarkStart w:id="3028" w:name="xdx_40F_eus-gaap--CurrentFederalStateAnd"/>
            <w:bookmarkEnd w:id="3028"/>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29" w:name="xdx_401_eus-gaap--CurrentFederalTaxExpen"/>
            <w:bookmarkEnd w:id="3029"/>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30" w:name="xdx_405_eus-gaap--CurrentStateAndLocalTa"/>
            <w:bookmarkEnd w:id="3030"/>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31" w:name="xdx_40C_eus-gaap--CurrentForeignTaxExpen"/>
            <w:bookmarkEnd w:id="3031"/>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32" w:name="xdx_40A_eus-gaap--CurrentIncomeTaxExpens"/>
            <w:bookmarkEnd w:id="3032"/>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33" w:name="xdx_409_eus-gaap--DeferredFederalStateAn"/>
            <w:bookmarkEnd w:id="3033"/>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034" w:name="xdx_40F_eus-gaap--DeferredFederalIncomeT"/>
            <w:bookmarkEnd w:id="3034"/>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35" w:name="xdx_403_eus-gaap--DeferredStateAndLocalI"/>
            <w:bookmarkEnd w:id="3035"/>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36" w:name="xdx_403_eus-gaap--DeferredForeignIncomeT"/>
            <w:bookmarkEnd w:id="3036"/>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37" w:name="xdx_403_eus-gaap--DeferredIncomeTaxExpen"/>
            <w:bookmarkEnd w:id="3037"/>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38" w:name="xdx_409_eus-gaap--IncomeTaxExpenseBenefi"/>
            <w:bookmarkEnd w:id="3038"/>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39" w:name="xdx_8A7_zKOyH8qEJml"/>
      <w:bookmarkEnd w:id="30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cash income taxes paid (received) by the Company for the year ended December 31,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40" w:name="xdx_8B8_z5usQTcOh0rg"/>
      <w:bookmarkStart w:id="3041" w:name="xdx_89B_ecustom--SummaryOfAmountsOfCashI"/>
      <w:bookmarkEnd w:id="3040"/>
      <w:bookmarkEnd w:id="3041"/>
      <w:r>
        <w:rPr>
          <w:rFonts w:ascii="Times New Roman;Times;Serif" w:hAnsi="Times New Roman;Times;Serif"/>
          <w:b w:val="false"/>
          <w:i w:val="false"/>
          <w:caps w:val="false"/>
          <w:smallCaps w:val="false"/>
          <w:sz w:val="20"/>
        </w:rPr>
        <w:t>Summary of Amounts of Cash Income Taxes Paid (Received) </w:t>
      </w:r>
    </w:p>
    <w:tbl>
      <w:tblPr>
        <w:tblW w:w="4230" w:type="dxa"/>
        <w:jc w:val="left"/>
        <w:tblInd w:w="0" w:type="dxa"/>
        <w:tblLayout w:type="fixed"/>
        <w:tblCellMar>
          <w:top w:w="0" w:type="dxa"/>
          <w:left w:w="0" w:type="dxa"/>
          <w:bottom w:w="0" w:type="dxa"/>
          <w:right w:w="0" w:type="dxa"/>
        </w:tblCellMar>
      </w:tblPr>
      <w:tblGrid>
        <w:gridCol w:w="3695"/>
        <w:gridCol w:w="60"/>
        <w:gridCol w:w="140"/>
        <w:gridCol w:w="260"/>
        <w:gridCol w:w="75"/>
      </w:tblGrid>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042" w:name="xdx_491_20250101__20251231_z4dEIS9mXqN"/>
            <w:bookmarkEnd w:id="3042"/>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043" w:name="xdx_40C_eus-gaap--IncomeTaxPaidFederalAf"/>
            <w:bookmarkEnd w:id="3043"/>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44" w:name="xdx_40B_eus-gaap--IncomeTaxPaidStateAndL"/>
            <w:bookmarkEnd w:id="3044"/>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045" w:name="xdx_407_eus-gaap--IncomeTaxPaidForeignAf"/>
            <w:bookmarkEnd w:id="3045"/>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046" w:name="xdx_403_eus-gaap--IncomeTaxesPaid_iT_mtI"/>
            <w:bookmarkEnd w:id="3046"/>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47" w:name="xdx_8A9_z0L0odBJgzK6"/>
      <w:bookmarkEnd w:id="30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48" w:name="xdx_8BA_z12PHLvpzVGg"/>
      <w:bookmarkStart w:id="3049" w:name="xdx_890_eus-gaap--ScheduleOfDeferredTaxA"/>
      <w:bookmarkEnd w:id="3048"/>
      <w:bookmarkEnd w:id="3049"/>
      <w:r>
        <w:rPr>
          <w:rFonts w:ascii="Times New Roman;Times;Serif" w:hAnsi="Times New Roman;Times;Serif"/>
          <w:b w:val="false"/>
          <w:i w:val="false"/>
          <w:caps w:val="false"/>
          <w:smallCaps w:val="false"/>
          <w:sz w:val="20"/>
        </w:rPr>
        <w:t>Schedule of Temporary Differences that Give Rise to Deferred Tax Assets and Liabilities </w:t>
      </w:r>
    </w:p>
    <w:tbl>
      <w:tblPr>
        <w:tblW w:w="7505" w:type="dxa"/>
        <w:jc w:val="left"/>
        <w:tblInd w:w="0" w:type="dxa"/>
        <w:tblLayout w:type="fixed"/>
        <w:tblCellMar>
          <w:top w:w="0" w:type="dxa"/>
          <w:left w:w="0" w:type="dxa"/>
          <w:bottom w:w="0" w:type="dxa"/>
          <w:right w:w="0" w:type="dxa"/>
        </w:tblCellMar>
      </w:tblPr>
      <w:tblGrid>
        <w:gridCol w:w="4550"/>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50" w:name="xdx_490_20251231_zrAquMgDj5o5"/>
            <w:bookmarkEnd w:id="3050"/>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51" w:name="xdx_492_20241231_zmrMkUZzFhZ9"/>
            <w:bookmarkEnd w:id="3051"/>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52" w:name="xdx_400_eus-gaap--DeferredTaxAssetsOpera"/>
            <w:bookmarkEnd w:id="3052"/>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12,347,734</w:t>
            </w:r>
          </w:p>
        </w:tc>
        <w:tc>
          <w:tcPr>
            <w:tcW w:w="110" w:type="dxa"/>
            <w:tcBorders/>
            <w:shd w:fill="FFFFFF" w:val="clear"/>
            <w:vAlign w:val="center"/>
          </w:tcPr>
          <w:p>
            <w:pPr>
              <w:pStyle w:val="TableContents"/>
              <w:bidi w:val="0"/>
              <w:spacing w:before="0" w:after="283"/>
              <w:jc w:val="left"/>
              <w:rPr/>
            </w:pPr>
            <w:r>
              <w:rPr/>
              <w:t> </w:t>
            </w:r>
            <w:bookmarkStart w:id="3053" w:name="xdx_400_eus-gaap--DeferredTaxAssetsChari"/>
            <w:bookmarkEnd w:id="3053"/>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23,718</w:t>
            </w:r>
          </w:p>
        </w:tc>
        <w:tc>
          <w:tcPr>
            <w:tcW w:w="110" w:type="dxa"/>
            <w:tcBorders/>
            <w:shd w:fill="CCEEFF" w:val="clear"/>
            <w:vAlign w:val="center"/>
          </w:tcPr>
          <w:p>
            <w:pPr>
              <w:pStyle w:val="TableContents"/>
              <w:bidi w:val="0"/>
              <w:spacing w:before="0" w:after="283"/>
              <w:jc w:val="left"/>
              <w:rPr/>
            </w:pPr>
            <w:r>
              <w:rPr/>
              <w:t> </w:t>
            </w:r>
            <w:bookmarkStart w:id="3054" w:name="xdx_402_eus-gaap--DeferredTaxAssetsTaxCr"/>
            <w:bookmarkEnd w:id="3054"/>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91,889</w:t>
            </w:r>
          </w:p>
        </w:tc>
        <w:tc>
          <w:tcPr>
            <w:tcW w:w="110" w:type="dxa"/>
            <w:tcBorders/>
            <w:shd w:fill="FFFFFF" w:val="clear"/>
            <w:vAlign w:val="center"/>
          </w:tcPr>
          <w:p>
            <w:pPr>
              <w:pStyle w:val="TableContents"/>
              <w:bidi w:val="0"/>
              <w:spacing w:before="0" w:after="283"/>
              <w:jc w:val="left"/>
              <w:rPr/>
            </w:pPr>
            <w:r>
              <w:rPr/>
              <w:t> </w:t>
            </w:r>
            <w:bookmarkStart w:id="3055" w:name="xdx_404_eus-gaap--DeferredTaxAssetsTaxDe"/>
            <w:bookmarkEnd w:id="3055"/>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157,165</w:t>
            </w:r>
          </w:p>
        </w:tc>
        <w:tc>
          <w:tcPr>
            <w:tcW w:w="110" w:type="dxa"/>
            <w:tcBorders/>
            <w:shd w:fill="CCEEFF" w:val="clear"/>
            <w:vAlign w:val="center"/>
          </w:tcPr>
          <w:p>
            <w:pPr>
              <w:pStyle w:val="TableContents"/>
              <w:bidi w:val="0"/>
              <w:spacing w:before="0" w:after="283"/>
              <w:jc w:val="left"/>
              <w:rPr/>
            </w:pPr>
            <w:r>
              <w:rPr/>
              <w:t> </w:t>
            </w:r>
            <w:bookmarkStart w:id="3056" w:name="xdx_404_ecustom--DeferredTaxAssetsAccrua"/>
            <w:bookmarkEnd w:id="3056"/>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57" w:name="xdx_405_ecustom--DeferredTaxAssetsTaxSta"/>
            <w:bookmarkEnd w:id="3057"/>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Startup costs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1,700,257</w:t>
            </w:r>
          </w:p>
        </w:tc>
        <w:tc>
          <w:tcPr>
            <w:tcW w:w="110" w:type="dxa"/>
            <w:tcBorders/>
            <w:shd w:fill="CCEEFF" w:val="clear"/>
            <w:vAlign w:val="center"/>
          </w:tcPr>
          <w:p>
            <w:pPr>
              <w:pStyle w:val="TableContents"/>
              <w:bidi w:val="0"/>
              <w:spacing w:before="0" w:after="283"/>
              <w:jc w:val="left"/>
              <w:rPr/>
            </w:pPr>
            <w:r>
              <w:rPr/>
              <w:t> </w:t>
            </w:r>
            <w:bookmarkStart w:id="3058" w:name="xdx_40D_ecustom--DeferredTaxLiabilitiesA"/>
            <w:bookmarkEnd w:id="3058"/>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(1,953,499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(870,569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59" w:name="xdx_407_ecustom--DeferredTaxAssetsLeaseL"/>
            <w:bookmarkEnd w:id="3059"/>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110" w:type="dxa"/>
            <w:tcBorders/>
            <w:shd w:fill="CCEEFF" w:val="clear"/>
            <w:vAlign w:val="center"/>
          </w:tcPr>
          <w:p>
            <w:pPr>
              <w:pStyle w:val="TableContents"/>
              <w:bidi w:val="0"/>
              <w:spacing w:before="0" w:after="283"/>
              <w:jc w:val="left"/>
              <w:rPr/>
            </w:pPr>
            <w:r>
              <w:rPr/>
              <w:t> </w:t>
            </w:r>
            <w:bookmarkStart w:id="3060" w:name="xdx_409_ecustom--DeferredTaxLiabilitiesR"/>
            <w:bookmarkEnd w:id="3060"/>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61" w:name="xdx_406_eus-gaap--DeferredTaxAssetsTaxDe"/>
            <w:bookmarkEnd w:id="3061"/>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651,519</w:t>
            </w:r>
          </w:p>
        </w:tc>
        <w:tc>
          <w:tcPr>
            <w:tcW w:w="110" w:type="dxa"/>
            <w:tcBorders/>
            <w:shd w:fill="CCEEFF" w:val="clear"/>
            <w:vAlign w:val="center"/>
          </w:tcPr>
          <w:p>
            <w:pPr>
              <w:pStyle w:val="TableContents"/>
              <w:bidi w:val="0"/>
              <w:spacing w:before="0" w:after="283"/>
              <w:jc w:val="left"/>
              <w:rPr/>
            </w:pPr>
            <w:r>
              <w:rPr/>
              <w:t> </w:t>
            </w:r>
            <w:bookmarkStart w:id="3062" w:name="xdx_40D_ecustom--DeferredTaxAssetsCapita"/>
            <w:bookmarkEnd w:id="3062"/>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costs (Sec. 174)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1,930,337</w:t>
            </w:r>
          </w:p>
        </w:tc>
        <w:tc>
          <w:tcPr>
            <w:tcW w:w="110" w:type="dxa"/>
            <w:tcBorders/>
            <w:shd w:fill="FFFFFF" w:val="clear"/>
            <w:vAlign w:val="center"/>
          </w:tcPr>
          <w:p>
            <w:pPr>
              <w:pStyle w:val="TableContents"/>
              <w:bidi w:val="0"/>
              <w:spacing w:before="0" w:after="283"/>
              <w:jc w:val="left"/>
              <w:rPr/>
            </w:pPr>
            <w:r>
              <w:rPr/>
              <w:t> </w:t>
            </w:r>
            <w:bookmarkStart w:id="3063" w:name="xdx_407_eus-gaap--DeferredTaxAssetsOther"/>
            <w:bookmarkEnd w:id="3063"/>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8,182</w:t>
            </w:r>
          </w:p>
        </w:tc>
        <w:tc>
          <w:tcPr>
            <w:tcW w:w="110" w:type="dxa"/>
            <w:tcBorders/>
            <w:shd w:fill="CCEEFF" w:val="clear"/>
            <w:vAlign w:val="center"/>
          </w:tcPr>
          <w:p>
            <w:pPr>
              <w:pStyle w:val="TableContents"/>
              <w:bidi w:val="0"/>
              <w:spacing w:before="0" w:after="283"/>
              <w:jc w:val="left"/>
              <w:rPr/>
            </w:pPr>
            <w:r>
              <w:rPr/>
              <w:t> </w:t>
            </w:r>
            <w:bookmarkStart w:id="3064" w:name="xdx_40C_eus-gaap--DeferredTaxAssetsGross"/>
            <w:bookmarkEnd w:id="3064"/>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Deferred tax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FFFFFF" w:val="clear"/>
            <w:vAlign w:val="center"/>
          </w:tcPr>
          <w:p>
            <w:pPr>
              <w:pStyle w:val="TableContents"/>
              <w:bidi w:val="0"/>
              <w:spacing w:before="0" w:after="283"/>
              <w:jc w:val="left"/>
              <w:rPr/>
            </w:pPr>
            <w:r>
              <w:rPr/>
              <w:t> </w:t>
            </w:r>
            <w:bookmarkStart w:id="3065" w:name="xdx_40A_eus-gaap--DeferredTaxAssetsValua"/>
            <w:bookmarkEnd w:id="3065"/>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(19,679,073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066" w:name="xdx_40A_eus-gaap--DeferredTaxAssetsNet_i"/>
            <w:bookmarkEnd w:id="3066"/>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 net of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67" w:name="xdx_8AD_zRwqBhXqRxs3"/>
      <w:bookmarkEnd w:id="30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and state net operating loss carryforwards of approximately $</w:t>
      </w:r>
      <w:bookmarkStart w:id="3068" w:name="xdx_906_eus-gaap--DeferredTaxAssetsOpera"/>
      <w:bookmarkEnd w:id="3068"/>
      <w:r>
        <w:rPr>
          <w:rFonts w:ascii="Times New Roman;Times;Serif" w:hAnsi="Times New Roman;Times;Serif"/>
          <w:b w:val="false"/>
          <w:i w:val="false"/>
          <w:caps w:val="false"/>
          <w:smallCaps w:val="false"/>
          <w:sz w:val="20"/>
        </w:rPr>
        <w:t>65,375,600 and $</w:t>
      </w:r>
      <w:bookmarkStart w:id="3069" w:name="xdx_907_eus-gaap--DeferredTaxAssetsOpera"/>
      <w:bookmarkEnd w:id="3069"/>
      <w:r>
        <w:rPr>
          <w:rFonts w:ascii="Times New Roman;Times;Serif" w:hAnsi="Times New Roman;Times;Serif"/>
          <w:b w:val="false"/>
          <w:i w:val="false"/>
          <w:caps w:val="false"/>
          <w:smallCaps w:val="false"/>
          <w:sz w:val="20"/>
        </w:rPr>
        <w:t>35,660,700, respectively. As of December 31, 2025 the company has no foreign net operating loss carryforwards. As of December 31, 2024, the Company had federal and state net operating loss carryforwards of approximately $</w:t>
      </w:r>
      <w:bookmarkStart w:id="3070" w:name="xdx_90C_eus-gaap--DeferredTaxAssetsOpera"/>
      <w:bookmarkEnd w:id="3070"/>
      <w:r>
        <w:rPr>
          <w:rFonts w:ascii="Times New Roman;Times;Serif" w:hAnsi="Times New Roman;Times;Serif"/>
          <w:b w:val="false"/>
          <w:i w:val="false"/>
          <w:caps w:val="false"/>
          <w:smallCaps w:val="false"/>
          <w:sz w:val="20"/>
        </w:rPr>
        <w:t>50,966,400 and $</w:t>
      </w:r>
      <w:bookmarkStart w:id="3071" w:name="xdx_900_eus-gaap--DeferredTaxAssetsOpera"/>
      <w:bookmarkEnd w:id="3071"/>
      <w:r>
        <w:rPr>
          <w:rFonts w:ascii="Times New Roman;Times;Serif" w:hAnsi="Times New Roman;Times;Serif"/>
          <w:b w:val="false"/>
          <w:i w:val="false"/>
          <w:caps w:val="false"/>
          <w:smallCaps w:val="false"/>
          <w:sz w:val="20"/>
        </w:rPr>
        <w:t>28,244,800, respectively. Federal losses of $</w:t>
      </w:r>
      <w:bookmarkStart w:id="3072" w:name="xdx_903_eus-gaap--DeferredTaxAssetsOpera"/>
      <w:bookmarkEnd w:id="3072"/>
      <w:r>
        <w:rPr>
          <w:rFonts w:ascii="Times New Roman;Times;Serif" w:hAnsi="Times New Roman;Times;Serif"/>
          <w:b w:val="false"/>
          <w:i w:val="false"/>
          <w:caps w:val="false"/>
          <w:smallCaps w:val="false"/>
          <w:sz w:val="20"/>
        </w:rPr>
        <w:t>180,000 begin to expire in 2036 and $</w:t>
      </w:r>
      <w:bookmarkStart w:id="3073" w:name="xdx_905_eus-gaap--DeferredTaxAssetsOpera"/>
      <w:bookmarkEnd w:id="3073"/>
      <w:r>
        <w:rPr>
          <w:rFonts w:ascii="Times New Roman;Times;Serif" w:hAnsi="Times New Roman;Times;Serif"/>
          <w:b w:val="false"/>
          <w:i w:val="false"/>
          <w:caps w:val="false"/>
          <w:smallCaps w:val="false"/>
          <w:sz w:val="20"/>
        </w:rPr>
        <w:t>65,195,600 of the federal losses carryforward indefinitely. State losses of $</w:t>
      </w:r>
      <w:bookmarkStart w:id="3074" w:name="xdx_907_eus-gaap--DeferredTaxAssetsOpera"/>
      <w:bookmarkEnd w:id="3074"/>
      <w:r>
        <w:rPr>
          <w:rFonts w:ascii="Times New Roman;Times;Serif" w:hAnsi="Times New Roman;Times;Serif"/>
          <w:b w:val="false"/>
          <w:i w:val="false"/>
          <w:caps w:val="false"/>
          <w:smallCaps w:val="false"/>
          <w:sz w:val="20"/>
        </w:rPr>
        <w:t>22,175,100 begin to expire in 2031 and $</w:t>
      </w:r>
      <w:bookmarkStart w:id="3075" w:name="xdx_90B_eus-gaap--DeferredTaxAssetsOpera"/>
      <w:bookmarkEnd w:id="3075"/>
      <w:r>
        <w:rPr>
          <w:rFonts w:ascii="Times New Roman;Times;Serif" w:hAnsi="Times New Roman;Times;Serif"/>
          <w:b w:val="false"/>
          <w:i w:val="false"/>
          <w:caps w:val="false"/>
          <w:smallCaps w:val="false"/>
          <w:sz w:val="20"/>
        </w:rPr>
        <w:t>13,485,600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w:t>
      </w:r>
      <w:bookmarkStart w:id="3076" w:name="xdx_901_ecustom--PercentageOfProvisionsF"/>
      <w:bookmarkEnd w:id="3076"/>
      <w:r>
        <w:rPr>
          <w:rFonts w:ascii="Times New Roman;Times;Serif" w:hAnsi="Times New Roman;Times;Serif"/>
          <w:b w:val="false"/>
          <w:i w:val="false"/>
          <w:caps w:val="false"/>
          <w:smallCaps w:val="false"/>
          <w:sz w:val="20"/>
        </w:rPr>
        <w:t>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determined that it had </w:t>
      </w:r>
      <w:bookmarkStart w:id="3077" w:name="xdx_90C_eus-gaap--UnrecognizedTaxBenefit"/>
      <w:bookmarkStart w:id="3078" w:name="xdx_907_eus-gaap--UnrecognizedTaxBenefit"/>
      <w:bookmarkEnd w:id="3077"/>
      <w:bookmarkEnd w:id="3078"/>
      <w:r>
        <w:rPr>
          <w:rFonts w:ascii="Times New Roman;Times;Serif" w:hAnsi="Times New Roman;Times;Serif"/>
          <w:b w:val="false"/>
          <w:i w:val="false"/>
          <w:caps w:val="false"/>
          <w:smallCaps w:val="false"/>
          <w:sz w:val="20"/>
        </w:rPr>
        <w:t xml:space="preserve">no material uncertain tax benefits for the year ended December 31, 2025, and 2024. The Company recognizes interest accrued related to unrecognized tax benefits and penalties in interest expense and penalties in operating expense. </w:t>
      </w:r>
      <w:bookmarkStart w:id="3079" w:name="xdx_90F_eus-gaap--IncomeTaxExaminationPe"/>
      <w:bookmarkStart w:id="3080" w:name="xdx_907_eus-gaap--IncomeTaxExaminationPe"/>
      <w:bookmarkEnd w:id="3079"/>
      <w:bookmarkEnd w:id="3080"/>
      <w:r>
        <w:rPr>
          <w:rFonts w:ascii="Times New Roman;Times;Serif" w:hAnsi="Times New Roman;Times;Serif"/>
          <w:b w:val="false"/>
          <w:i w:val="false"/>
          <w:caps w:val="false"/>
          <w:smallCaps w:val="false"/>
          <w:sz w:val="20"/>
        </w:rPr>
        <w:t>No amounts were accrued for the payment of interest and penalties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w:t>
      </w:r>
      <w:bookmarkStart w:id="3081" w:name="xdx_905_eus-gaap--OpenTaxYear_c20250101_"/>
      <w:bookmarkEnd w:id="3081"/>
      <w:r>
        <w:rPr>
          <w:rFonts w:ascii="Times New Roman;Times;Serif" w:hAnsi="Times New Roman;Times;Serif"/>
          <w:b w:val="false"/>
          <w:i w:val="false"/>
          <w:caps w:val="false"/>
          <w:smallCaps w:val="false"/>
          <w:sz w:val="20"/>
        </w:rPr>
        <w:t>2018 and subsequent tax years related to all US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2" w:name="xdx_905_eus-gaap--IncomeTaxExaminationDe"/>
      <w:bookmarkEnd w:id="3082"/>
      <w:r>
        <w:rPr>
          <w:rFonts w:ascii="Times New Roman;Times;Serif" w:hAnsi="Times New Roman;Times;Serif"/>
          <w:b w:val="false"/>
          <w:i w:val="false"/>
          <w:caps w:val="false"/>
          <w:smallCaps w:val="false"/>
          <w:sz w:val="20"/>
        </w:rPr>
        <w:t>The Company has no open tax audits with any taxing authority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83" w:name="xdx_803_eus-gaap--SegmentReportingDisclo"/>
      <w:bookmarkEnd w:id="3083"/>
      <w:r>
        <w:rPr>
          <w:rFonts w:ascii="Times New Roman;Times;Serif" w:hAnsi="Times New Roman;Times;Serif"/>
          <w:b/>
          <w:i w:val="false"/>
          <w:caps w:val="false"/>
          <w:smallCaps w:val="false"/>
          <w:sz w:val="20"/>
        </w:rPr>
        <w:t xml:space="preserve">18. </w:t>
      </w:r>
      <w:bookmarkStart w:id="3084" w:name="xdx_827_zAEI1tQ0wa82"/>
      <w:bookmarkEnd w:id="3084"/>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3085" w:name="xdx_905_eus-gaap--NumberOfOperatingSegme"/>
      <w:bookmarkStart w:id="3086" w:name="xdx_907_eus-gaap--NumberOfReportableSegm"/>
      <w:bookmarkEnd w:id="3085"/>
      <w:bookmarkEnd w:id="3086"/>
      <w:r>
        <w:rPr>
          <w:rFonts w:ascii="Times New Roman;Times;Serif" w:hAnsi="Times New Roman;Times;Serif"/>
          <w:b w:val="false"/>
          <w:i w:val="false"/>
          <w:caps w:val="false"/>
          <w:smallCaps w:val="false"/>
          <w:sz w:val="20"/>
        </w:rPr>
        <w:t>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who serves as the Company’s chief operating decision maker (“CODM”), primarily uses segment revenue, gross profit, and adjusted EBITDA to allocate resources and assess performance. </w:t>
      </w:r>
      <w:bookmarkStart w:id="3087" w:name="xdx_904_eus-gaap--SegmentReportingCodmPr"/>
      <w:bookmarkEnd w:id="3087"/>
      <w:r>
        <w:rPr>
          <w:rFonts w:ascii="Times New Roman;Times;Serif" w:hAnsi="Times New Roman;Times;Serif"/>
          <w:b w:val="false"/>
          <w:i w:val="false"/>
          <w:caps w:val="false"/>
          <w:smallCaps w:val="false"/>
          <w:sz w:val="20"/>
        </w:rPr>
        <w:t>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8" w:name="xdx_892_eus-gaap--ScheduleOfSegmentRepor"/>
      <w:bookmarkEnd w:id="3088"/>
      <w:r>
        <w:rPr>
          <w:rFonts w:ascii="Times New Roman;Times;Serif" w:hAnsi="Times New Roman;Times;Serif"/>
          <w:b w:val="false"/>
          <w:i w:val="false"/>
          <w:caps w:val="false"/>
          <w:smallCaps w:val="false"/>
          <w:sz w:val="20"/>
        </w:rPr>
        <w:t>The table below presents information about segments for the year ended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9" w:name="xdx_8BE_zftxOh6Gv8ha"/>
      <w:bookmarkEnd w:id="3089"/>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695"/>
        <w:gridCol w:w="60"/>
        <w:gridCol w:w="140"/>
        <w:gridCol w:w="1175"/>
        <w:gridCol w:w="95"/>
        <w:gridCol w:w="60"/>
        <w:gridCol w:w="140"/>
        <w:gridCol w:w="980"/>
        <w:gridCol w:w="95"/>
        <w:gridCol w:w="60"/>
        <w:gridCol w:w="140"/>
        <w:gridCol w:w="980"/>
        <w:gridCol w:w="60"/>
        <w:gridCol w:w="60"/>
        <w:gridCol w:w="144"/>
        <w:gridCol w:w="1211"/>
        <w:gridCol w:w="110"/>
      </w:tblGrid>
      <w:tr>
        <w:trPr/>
        <w:tc>
          <w:tcPr>
            <w:tcW w:w="4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2025</w:t>
            </w:r>
          </w:p>
        </w:tc>
        <w:tc>
          <w:tcPr>
            <w:tcW w:w="60" w:type="dxa"/>
            <w:tcBorders/>
            <w:vAlign w:val="center"/>
          </w:tcPr>
          <w:p>
            <w:pPr>
              <w:pStyle w:val="TableContents"/>
              <w:bidi w:val="0"/>
              <w:spacing w:before="0" w:after="283"/>
              <w:jc w:val="left"/>
              <w:rPr/>
            </w:pPr>
            <w:r>
              <w:rPr/>
              <w:t> </w:t>
            </w:r>
            <w:bookmarkStart w:id="3090" w:name="xdx_491_20250101__20251231__srt--Consoli"/>
            <w:bookmarkEnd w:id="3090"/>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1" w:name="xdx_493_20250101__20251231__srt--Consoli"/>
            <w:bookmarkEnd w:id="3091"/>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2" w:name="xdx_491_20250101__20251231__srt--Consoli"/>
            <w:bookmarkEnd w:id="3092"/>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3" w:name="xdx_499_20250101__20251231__srt--Consoli"/>
            <w:bookmarkEnd w:id="3093"/>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bookmarkStart w:id="3094" w:name="xdx_409_eus-gaap--RevenueFromContractWit"/>
            <w:bookmarkEnd w:id="3094"/>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0" w:type="dxa"/>
            <w:tcBorders/>
            <w:shd w:fill="CCEEFF" w:val="clear"/>
            <w:vAlign w:val="center"/>
          </w:tcPr>
          <w:p>
            <w:pPr>
              <w:pStyle w:val="TableContents"/>
              <w:bidi w:val="0"/>
              <w:spacing w:before="0" w:after="283"/>
              <w:jc w:val="left"/>
              <w:rPr/>
            </w:pPr>
            <w:r>
              <w:rPr/>
              <w:t> </w:t>
            </w:r>
            <w:bookmarkStart w:id="3095" w:name="xdx_40C_eus-gaap--CostOfRevenue_ztHMiIFd"/>
            <w:bookmarkEnd w:id="3095"/>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0" w:type="dxa"/>
            <w:tcBorders/>
            <w:shd w:fill="FFFFFF" w:val="clear"/>
            <w:vAlign w:val="center"/>
          </w:tcPr>
          <w:p>
            <w:pPr>
              <w:pStyle w:val="TableContents"/>
              <w:bidi w:val="0"/>
              <w:spacing w:before="0" w:after="283"/>
              <w:jc w:val="left"/>
              <w:rPr/>
            </w:pPr>
            <w:r>
              <w:rPr/>
              <w:t> </w:t>
            </w:r>
            <w:bookmarkStart w:id="3096" w:name="xdx_40E_eus-gaap--GrossProfit_zSygwCSmFq"/>
            <w:bookmarkEnd w:id="3096"/>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97" w:name="xdx_40A_eus-gaap--LaborAndRelatedExpense"/>
            <w:bookmarkEnd w:id="3097"/>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11,193,365</w:t>
            </w:r>
          </w:p>
        </w:tc>
        <w:tc>
          <w:tcPr>
            <w:tcW w:w="110" w:type="dxa"/>
            <w:tcBorders/>
            <w:shd w:fill="FFFFFF" w:val="clear"/>
            <w:vAlign w:val="center"/>
          </w:tcPr>
          <w:p>
            <w:pPr>
              <w:pStyle w:val="TableContents"/>
              <w:bidi w:val="0"/>
              <w:spacing w:before="0" w:after="283"/>
              <w:jc w:val="left"/>
              <w:rPr/>
            </w:pPr>
            <w:r>
              <w:rPr/>
              <w:t> </w:t>
            </w:r>
            <w:bookmarkStart w:id="3098" w:name="xdx_402_eus-gaap--MarketingAndAdvertisin"/>
            <w:bookmarkEnd w:id="3098"/>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2,873,464</w:t>
            </w:r>
          </w:p>
        </w:tc>
        <w:tc>
          <w:tcPr>
            <w:tcW w:w="110" w:type="dxa"/>
            <w:tcBorders/>
            <w:shd w:fill="CCEEFF" w:val="clear"/>
            <w:vAlign w:val="center"/>
          </w:tcPr>
          <w:p>
            <w:pPr>
              <w:pStyle w:val="TableContents"/>
              <w:bidi w:val="0"/>
              <w:spacing w:before="0" w:after="283"/>
              <w:jc w:val="left"/>
              <w:rPr/>
            </w:pPr>
            <w:r>
              <w:rPr/>
              <w:t> </w:t>
            </w:r>
            <w:bookmarkStart w:id="3099" w:name="xdx_40D_eus-gaap--CommunicationsAndInfor"/>
            <w:bookmarkEnd w:id="3099"/>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1,283,099</w:t>
            </w:r>
          </w:p>
        </w:tc>
        <w:tc>
          <w:tcPr>
            <w:tcW w:w="110" w:type="dxa"/>
            <w:tcBorders/>
            <w:shd w:fill="FFFFFF" w:val="clear"/>
            <w:vAlign w:val="center"/>
          </w:tcPr>
          <w:p>
            <w:pPr>
              <w:pStyle w:val="TableContents"/>
              <w:bidi w:val="0"/>
              <w:spacing w:before="0" w:after="283"/>
              <w:jc w:val="left"/>
              <w:rPr/>
            </w:pPr>
            <w:r>
              <w:rPr/>
              <w:t> </w:t>
            </w:r>
            <w:bookmarkStart w:id="3100" w:name="xdx_406_ecustom--OtherSegmentExpenses_z9"/>
            <w:bookmarkEnd w:id="3100"/>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3101" w:name="xdx_F4B_zhpDEDmTqFi5"/>
            <w:bookmarkEnd w:id="3101"/>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2,957,915</w:t>
            </w:r>
          </w:p>
        </w:tc>
        <w:tc>
          <w:tcPr>
            <w:tcW w:w="110" w:type="dxa"/>
            <w:tcBorders/>
            <w:shd w:fill="CCEEFF" w:val="clear"/>
            <w:vAlign w:val="center"/>
          </w:tcPr>
          <w:p>
            <w:pPr>
              <w:pStyle w:val="TableContents"/>
              <w:bidi w:val="0"/>
              <w:spacing w:before="0" w:after="283"/>
              <w:jc w:val="left"/>
              <w:rPr/>
            </w:pPr>
            <w:r>
              <w:rPr/>
              <w:t> </w:t>
            </w:r>
            <w:bookmarkStart w:id="3102" w:name="xdx_408_eus-gaap--OperatingExpenses_zcth"/>
            <w:bookmarkEnd w:id="3102"/>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18,307,843</w:t>
            </w:r>
          </w:p>
        </w:tc>
        <w:tc>
          <w:tcPr>
            <w:tcW w:w="110" w:type="dxa"/>
            <w:tcBorders/>
            <w:shd w:fill="FFFFFF" w:val="clear"/>
            <w:vAlign w:val="center"/>
          </w:tcPr>
          <w:p>
            <w:pPr>
              <w:pStyle w:val="TableContents"/>
              <w:bidi w:val="0"/>
              <w:spacing w:before="0" w:after="283"/>
              <w:jc w:val="left"/>
              <w:rPr/>
            </w:pPr>
            <w:r>
              <w:rPr/>
              <w:t> </w:t>
            </w:r>
            <w:bookmarkStart w:id="3103" w:name="xdx_401_ecustom--AdjustedEBITDAFromConti"/>
            <w:bookmarkEnd w:id="3103"/>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(8,614,548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(8,335,007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04" w:name="xdx_403_ecustom--OperatingCostsExpensesA"/>
            <w:bookmarkEnd w:id="3104"/>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8,819,671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8,979,501</w:t>
            </w:r>
          </w:p>
        </w:tc>
        <w:tc>
          <w:tcPr>
            <w:tcW w:w="110" w:type="dxa"/>
            <w:tcBorders/>
            <w:shd w:fill="FFFFFF" w:val="clear"/>
            <w:vAlign w:val="center"/>
          </w:tcPr>
          <w:p>
            <w:pPr>
              <w:pStyle w:val="TableContents"/>
              <w:bidi w:val="0"/>
              <w:spacing w:before="0" w:after="283"/>
              <w:jc w:val="left"/>
              <w:rPr/>
            </w:pPr>
            <w:r>
              <w:rPr/>
              <w:t> </w:t>
            </w:r>
            <w:bookmarkStart w:id="3105" w:name="xdx_40C_ecustom--EarningsBeforeInterestT"/>
            <w:bookmarkEnd w:id="3105"/>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06" w:name="xdx_F0C_z594rQVb0tp"/>
            <w:bookmarkEnd w:id="3106"/>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07" w:name="xdx_F14_z5TF9WRZPMab"/>
            <w:bookmarkEnd w:id="3107"/>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5"/>
        <w:gridCol w:w="60"/>
        <w:gridCol w:w="140"/>
        <w:gridCol w:w="1175"/>
        <w:gridCol w:w="95"/>
        <w:gridCol w:w="60"/>
        <w:gridCol w:w="152"/>
        <w:gridCol w:w="873"/>
        <w:gridCol w:w="60"/>
        <w:gridCol w:w="60"/>
        <w:gridCol w:w="259"/>
        <w:gridCol w:w="481"/>
        <w:gridCol w:w="60"/>
        <w:gridCol w:w="60"/>
        <w:gridCol w:w="144"/>
        <w:gridCol w:w="1211"/>
        <w:gridCol w:w="110"/>
      </w:tblGrid>
      <w:tr>
        <w:trPr/>
        <w:tc>
          <w:tcPr>
            <w:tcW w:w="5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08" w:name="xdx_495_20240101__20241231__srt--Consoli"/>
            <w:bookmarkEnd w:id="3108"/>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09" w:name="xdx_49F_20240101__20241231__srt--Consoli"/>
            <w:bookmarkEnd w:id="3109"/>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10" w:name="xdx_494_20240101__20241231__srt--Consoli"/>
            <w:bookmarkEnd w:id="3110"/>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bookmarkStart w:id="3111" w:name="xdx_F58_zwUtFemPSne4"/>
            <w:bookmarkEnd w:id="3111"/>
            <w:r>
              <w:rPr>
                <w:rFonts w:ascii="Times New Roman;Times;Serif" w:hAnsi="Times New Roman;Times;Serif"/>
                <w:b/>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12" w:name="xdx_490_20240101__20241231__srt--Consoli"/>
            <w:bookmarkEnd w:id="3112"/>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2024</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bookmarkStart w:id="3113" w:name="xdx_409_eus-gaap--RevenueFromContractWit"/>
            <w:bookmarkEnd w:id="3113"/>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0" w:type="dxa"/>
            <w:tcBorders/>
            <w:shd w:fill="CCEEFF" w:val="clear"/>
            <w:vAlign w:val="center"/>
          </w:tcPr>
          <w:p>
            <w:pPr>
              <w:pStyle w:val="TableContents"/>
              <w:bidi w:val="0"/>
              <w:spacing w:before="0" w:after="283"/>
              <w:jc w:val="left"/>
              <w:rPr/>
            </w:pPr>
            <w:r>
              <w:rPr/>
              <w:t> </w:t>
            </w:r>
            <w:bookmarkStart w:id="3114" w:name="xdx_40C_eus-gaap--CostOfRevenue_z9hrdVT2"/>
            <w:bookmarkEnd w:id="3114"/>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0" w:type="dxa"/>
            <w:tcBorders/>
            <w:shd w:fill="FFFFFF" w:val="clear"/>
            <w:vAlign w:val="center"/>
          </w:tcPr>
          <w:p>
            <w:pPr>
              <w:pStyle w:val="TableContents"/>
              <w:bidi w:val="0"/>
              <w:spacing w:before="0" w:after="283"/>
              <w:jc w:val="left"/>
              <w:rPr/>
            </w:pPr>
            <w:r>
              <w:rPr/>
              <w:t> </w:t>
            </w:r>
            <w:bookmarkStart w:id="3115" w:name="xdx_40E_eus-gaap--GrossProfit_z3YExVKqbQ"/>
            <w:bookmarkEnd w:id="3115"/>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0" w:type="dxa"/>
            <w:tcBorders/>
            <w:shd w:fill="CCEEFF" w:val="clear"/>
            <w:vAlign w:val="center"/>
          </w:tcPr>
          <w:p>
            <w:pPr>
              <w:pStyle w:val="TableContents"/>
              <w:bidi w:val="0"/>
              <w:spacing w:before="0" w:after="283"/>
              <w:jc w:val="left"/>
              <w:rPr/>
            </w:pPr>
            <w:r>
              <w:rPr/>
              <w:t> </w:t>
            </w:r>
          </w:p>
        </w:tc>
      </w:tr>
      <w:tr>
        <w:trPr/>
        <w:tc>
          <w:tcPr>
            <w:tcW w:w="5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16" w:name="xdx_40A_eus-gaap--LaborAndRelatedExpense"/>
            <w:bookmarkEnd w:id="3116"/>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6,209,488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6,227,130</w:t>
            </w:r>
          </w:p>
        </w:tc>
        <w:tc>
          <w:tcPr>
            <w:tcW w:w="110" w:type="dxa"/>
            <w:tcBorders/>
            <w:shd w:fill="FFFFFF" w:val="clear"/>
            <w:vAlign w:val="center"/>
          </w:tcPr>
          <w:p>
            <w:pPr>
              <w:pStyle w:val="TableContents"/>
              <w:bidi w:val="0"/>
              <w:spacing w:before="0" w:after="283"/>
              <w:jc w:val="left"/>
              <w:rPr/>
            </w:pPr>
            <w:r>
              <w:rPr/>
              <w:t> </w:t>
            </w:r>
            <w:bookmarkStart w:id="3117" w:name="xdx_402_eus-gaap--MarketingAndAdvertisin"/>
            <w:bookmarkEnd w:id="3117"/>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1,592,105</w:t>
            </w:r>
          </w:p>
        </w:tc>
        <w:tc>
          <w:tcPr>
            <w:tcW w:w="110" w:type="dxa"/>
            <w:tcBorders/>
            <w:shd w:fill="CCEEFF" w:val="clear"/>
            <w:vAlign w:val="center"/>
          </w:tcPr>
          <w:p>
            <w:pPr>
              <w:pStyle w:val="TableContents"/>
              <w:bidi w:val="0"/>
              <w:spacing w:before="0" w:after="283"/>
              <w:jc w:val="left"/>
              <w:rPr/>
            </w:pPr>
            <w:r>
              <w:rPr/>
              <w:t> </w:t>
            </w:r>
            <w:bookmarkStart w:id="3118" w:name="xdx_40D_eus-gaap--CommunicationsAndInfor"/>
            <w:bookmarkEnd w:id="3118"/>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974,204</w:t>
            </w:r>
          </w:p>
        </w:tc>
        <w:tc>
          <w:tcPr>
            <w:tcW w:w="110" w:type="dxa"/>
            <w:tcBorders/>
            <w:shd w:fill="FFFFFF" w:val="clear"/>
            <w:vAlign w:val="center"/>
          </w:tcPr>
          <w:p>
            <w:pPr>
              <w:pStyle w:val="TableContents"/>
              <w:bidi w:val="0"/>
              <w:spacing w:before="0" w:after="283"/>
              <w:jc w:val="left"/>
              <w:rPr/>
            </w:pPr>
            <w:r>
              <w:rPr/>
              <w:t> </w:t>
            </w:r>
            <w:bookmarkStart w:id="3119" w:name="xdx_406_ecustom--OtherSegmentExpenses_zf"/>
            <w:bookmarkEnd w:id="3119"/>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bookmarkStart w:id="3120" w:name="xdx_F45_zVobSCxGksBj"/>
            <w:bookmarkEnd w:id="3120"/>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818,375</w:t>
            </w:r>
          </w:p>
        </w:tc>
        <w:tc>
          <w:tcPr>
            <w:tcW w:w="110" w:type="dxa"/>
            <w:tcBorders/>
            <w:shd w:fill="CCEEFF" w:val="clear"/>
            <w:vAlign w:val="center"/>
          </w:tcPr>
          <w:p>
            <w:pPr>
              <w:pStyle w:val="TableContents"/>
              <w:bidi w:val="0"/>
              <w:spacing w:before="0" w:after="283"/>
              <w:jc w:val="left"/>
              <w:rPr/>
            </w:pPr>
            <w:r>
              <w:rPr/>
              <w:t> </w:t>
            </w:r>
            <w:bookmarkStart w:id="3121" w:name="xdx_408_eus-gaap--OperatingExpenses_zjN3"/>
            <w:bookmarkEnd w:id="3121"/>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9,611,814</w:t>
            </w:r>
          </w:p>
        </w:tc>
        <w:tc>
          <w:tcPr>
            <w:tcW w:w="110" w:type="dxa"/>
            <w:tcBorders/>
            <w:shd w:fill="FFFFFF" w:val="clear"/>
            <w:vAlign w:val="center"/>
          </w:tcPr>
          <w:p>
            <w:pPr>
              <w:pStyle w:val="TableContents"/>
              <w:bidi w:val="0"/>
              <w:spacing w:before="0" w:after="283"/>
              <w:jc w:val="left"/>
              <w:rPr/>
            </w:pPr>
            <w:r>
              <w:rPr/>
              <w:t> </w:t>
            </w:r>
            <w:bookmarkStart w:id="3122" w:name="xdx_401_ecustom--AdjustedEBITDAFromConti"/>
            <w:bookmarkEnd w:id="3122"/>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(6,572,002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(6,506,477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23" w:name="xdx_403_ecustom--OperatingCostsExpensesA"/>
            <w:bookmarkEnd w:id="3123"/>
          </w:p>
        </w:tc>
      </w:tr>
      <w:tr>
        <w:trPr/>
        <w:tc>
          <w:tcPr>
            <w:tcW w:w="5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110" w:type="dxa"/>
            <w:tcBorders/>
            <w:shd w:fill="FFFFFF" w:val="clear"/>
            <w:vAlign w:val="center"/>
          </w:tcPr>
          <w:p>
            <w:pPr>
              <w:pStyle w:val="TableContents"/>
              <w:bidi w:val="0"/>
              <w:spacing w:before="0" w:after="283"/>
              <w:jc w:val="left"/>
              <w:rPr/>
            </w:pPr>
            <w:r>
              <w:rPr/>
              <w:t> </w:t>
            </w:r>
            <w:bookmarkStart w:id="3124" w:name="xdx_40C_ecustom--EarningsBeforeInterestT"/>
            <w:bookmarkEnd w:id="3124"/>
          </w:p>
        </w:tc>
      </w:tr>
      <w:tr>
        <w:trPr/>
        <w:tc>
          <w:tcPr>
            <w:tcW w:w="5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25" w:name="xdx_F0C_zeIG8fHb3B68"/>
            <w:bookmarkEnd w:id="3125"/>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26" w:name="xdx_F12_zScqZiKzgzK1"/>
            <w:bookmarkEnd w:id="3126"/>
            <w:r>
              <w:rPr>
                <w:rFonts w:ascii="Times New Roman;Times;Serif" w:hAnsi="Times New Roman;Times;Serif"/>
                <w:sz w:val="20"/>
              </w:rPr>
              <w:t xml:space="preserve">The Vidello acquisition occurred on </w:t>
            </w:r>
            <w:bookmarkStart w:id="3127" w:name="xdx_907_eus-gaap--BusinessAcquisitionEff"/>
            <w:bookmarkEnd w:id="3127"/>
            <w:r>
              <w:rPr>
                <w:rFonts w:ascii="Times New Roman;Times;Serif" w:hAnsi="Times New Roman;Times;Serif"/>
                <w:sz w:val="20"/>
              </w:rPr>
              <w:t xml:space="preserve">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is presented at $</w:t>
            </w:r>
            <w:bookmarkStart w:id="3128" w:name="xdx_901_eus-gaap--OperatingIncomeLoss_c2"/>
            <w:bookmarkEnd w:id="3128"/>
            <w:r>
              <w:rPr>
                <w:rFonts w:ascii="Times New Roman;Times;Serif" w:hAnsi="Times New Roman;Times;Serif"/>
                <w:sz w:val="20"/>
              </w:rPr>
              <w:t>0 for comparative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129" w:name="xdx_F0C_zvcwnDEw4d3d"/>
            <w:bookmarkEnd w:id="3129"/>
            <w:r>
              <w:rPr>
                <w:rFonts w:ascii="Times New Roman;Times;Serif" w:hAnsi="Times New Roman;Times;Serif"/>
                <w:sz w:val="20"/>
              </w:rPr>
              <w:t>2</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3130" w:name="xdx_F15_zUcWaxDqksKa"/>
            <w:bookmarkEnd w:id="3130"/>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bookmarkStart w:id="3131" w:name="xdx_8A7_zbeuQngUyJG"/>
      <w:bookmarkEnd w:id="31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32" w:name="xdx_896_eus-gaap--ReconciliationOfOperat"/>
      <w:bookmarkEnd w:id="3132"/>
      <w:r>
        <w:rPr>
          <w:rFonts w:ascii="Times New Roman;Times;Serif" w:hAnsi="Times New Roman;Times;Serif"/>
          <w:b w:val="false"/>
          <w:i w:val="false"/>
          <w:caps w:val="false"/>
          <w:smallCaps w:val="false"/>
          <w:sz w:val="20"/>
        </w:rPr>
        <w:t>A reconciliation between EBITDA by reportable segment to consolidated net loss before income taxes for the years ended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33" w:name="xdx_8B8_zRVGbayeEFd9"/>
      <w:bookmarkEnd w:id="3133"/>
      <w:r>
        <w:rPr>
          <w:rFonts w:ascii="Times New Roman;Times;Serif" w:hAnsi="Times New Roman;Times;Serif"/>
          <w:b w:val="false"/>
          <w:i w:val="false"/>
          <w:caps w:val="false"/>
          <w:smallCaps w:val="false"/>
          <w:sz w:val="20"/>
        </w:rPr>
        <w:t>Summary of Reconciliation Between Reportable Segment Adjusted EBITDA to Consolidated Net Loss Before Income Taxes </w:t>
      </w:r>
    </w:p>
    <w:tbl>
      <w:tblPr>
        <w:tblW w:w="8543" w:type="dxa"/>
        <w:jc w:val="left"/>
        <w:tblInd w:w="0" w:type="dxa"/>
        <w:tblLayout w:type="fixed"/>
        <w:tblCellMar>
          <w:top w:w="0" w:type="dxa"/>
          <w:left w:w="0" w:type="dxa"/>
          <w:bottom w:w="0" w:type="dxa"/>
          <w:right w:w="0" w:type="dxa"/>
        </w:tblCellMar>
      </w:tblPr>
      <w:tblGrid>
        <w:gridCol w:w="4310"/>
        <w:gridCol w:w="60"/>
        <w:gridCol w:w="208"/>
        <w:gridCol w:w="1746"/>
        <w:gridCol w:w="95"/>
        <w:gridCol w:w="60"/>
        <w:gridCol w:w="208"/>
        <w:gridCol w:w="1746"/>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34" w:name="xdx_499_20250101__20251231__srt--Consoli"/>
            <w:bookmarkEnd w:id="3134"/>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35" w:name="xdx_494_20240101__20241231__srt--Consoli"/>
            <w:bookmarkEnd w:id="3135"/>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by segment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6" w:name="xdx_401_eus-gaap--OperatingIncomeLoss_hu"/>
            <w:bookmarkEnd w:id="3136"/>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Banzai Operating Co.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37" w:name="xdx_405_eus-gaap--OperatingIncomeLoss_hu"/>
            <w:bookmarkEnd w:id="3137"/>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OpenReel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110" w:type="dxa"/>
            <w:tcBorders/>
            <w:shd w:fill="CCEEFF" w:val="clear"/>
            <w:vAlign w:val="center"/>
          </w:tcPr>
          <w:p>
            <w:pPr>
              <w:pStyle w:val="TableContents"/>
              <w:bidi w:val="0"/>
              <w:spacing w:before="0" w:after="283"/>
              <w:jc w:val="left"/>
              <w:rPr/>
            </w:pPr>
            <w:r>
              <w:rPr/>
              <w:t> </w:t>
            </w:r>
            <w:bookmarkStart w:id="3138" w:name="xdx_400_eus-gaap--OperatingIncomeLoss_hu"/>
            <w:bookmarkEnd w:id="3138"/>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139" w:name="xdx_40E_eus-gaap--OperatingIncomeLoss_zm"/>
            <w:bookmarkEnd w:id="3139"/>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40" w:name="xdx_40F_eus-gaap--InvestmentIncomeIntere"/>
            <w:bookmarkEnd w:id="3140"/>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41" w:name="xdx_405_eus-gaap--InterestExpenseNonoper"/>
            <w:bookmarkEnd w:id="3141"/>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42" w:name="xdx_40E_eus-gaap--InterestExpenseNonoper"/>
            <w:bookmarkEnd w:id="3142"/>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bookmarkStart w:id="3143" w:name="xdx_408_eus-gaap--InterestExpenseNonoper"/>
            <w:bookmarkEnd w:id="3143"/>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bookmarkStart w:id="3144" w:name="xdx_40A_eus-gaap--DepreciationDepletionA"/>
            <w:bookmarkEnd w:id="3144"/>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0" w:type="dxa"/>
            <w:tcBorders/>
            <w:shd w:fill="CCEEFF" w:val="clear"/>
            <w:vAlign w:val="center"/>
          </w:tcPr>
          <w:p>
            <w:pPr>
              <w:pStyle w:val="TableContents"/>
              <w:bidi w:val="0"/>
              <w:spacing w:before="0" w:after="283"/>
              <w:jc w:val="left"/>
              <w:rPr/>
            </w:pPr>
            <w:r>
              <w:rPr/>
              <w:t> </w:t>
            </w:r>
            <w:bookmarkStart w:id="3145" w:name="xdx_40C_ecustom--GainLossOnConversionOfL"/>
            <w:bookmarkEnd w:id="3145"/>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of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11,338,284</w:t>
            </w:r>
          </w:p>
        </w:tc>
        <w:tc>
          <w:tcPr>
            <w:tcW w:w="110" w:type="dxa"/>
            <w:tcBorders/>
            <w:shd w:fill="FFFFFF" w:val="clear"/>
            <w:vAlign w:val="center"/>
          </w:tcPr>
          <w:p>
            <w:pPr>
              <w:pStyle w:val="TableContents"/>
              <w:bidi w:val="0"/>
              <w:spacing w:before="0" w:after="283"/>
              <w:jc w:val="left"/>
              <w:rPr/>
            </w:pPr>
            <w:r>
              <w:rPr/>
              <w:t> </w:t>
            </w:r>
            <w:bookmarkStart w:id="3146" w:name="xdx_402_ecustom--GainLossOnExtinguishmen"/>
            <w:bookmarkEnd w:id="3146"/>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(2,085,895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390,801</w:t>
            </w:r>
          </w:p>
        </w:tc>
        <w:tc>
          <w:tcPr>
            <w:tcW w:w="110" w:type="dxa"/>
            <w:tcBorders/>
            <w:shd w:fill="CCEEFF" w:val="clear"/>
            <w:vAlign w:val="center"/>
          </w:tcPr>
          <w:p>
            <w:pPr>
              <w:pStyle w:val="TableContents"/>
              <w:bidi w:val="0"/>
              <w:spacing w:before="0" w:after="283"/>
              <w:jc w:val="left"/>
              <w:rPr/>
            </w:pPr>
            <w:r>
              <w:rPr/>
              <w:t> </w:t>
            </w:r>
            <w:bookmarkStart w:id="3147" w:name="xdx_401_ecustom--GainLossOnReleaseOfReve"/>
            <w:bookmarkEnd w:id="3147"/>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3148" w:name="xdx_407_ecustom--VidelloEarnoutExpense_i"/>
            <w:bookmarkEnd w:id="3148"/>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49" w:name="xdx_404_ecustom--FailedAcquisitionCosts_"/>
            <w:bookmarkEnd w:id="3149"/>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3150" w:name="xdx_40D_ecustom--LossOnYorkvilleSepaAdva"/>
            <w:bookmarkEnd w:id="3150"/>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3151" w:name="xdx_407_ecustom--GemSettlementFeeExpense"/>
            <w:bookmarkEnd w:id="3151"/>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0" w:type="dxa"/>
            <w:tcBorders/>
            <w:shd w:fill="FFFFFF" w:val="clear"/>
            <w:vAlign w:val="center"/>
          </w:tcPr>
          <w:p>
            <w:pPr>
              <w:pStyle w:val="TableContents"/>
              <w:bidi w:val="0"/>
              <w:spacing w:before="0" w:after="283"/>
              <w:jc w:val="left"/>
              <w:rPr/>
            </w:pPr>
            <w:r>
              <w:rPr/>
              <w:t> </w:t>
            </w:r>
            <w:bookmarkStart w:id="3152" w:name="xdx_403_ecustom--YorkvillePrepaymentPrem"/>
            <w:bookmarkEnd w:id="3152"/>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0" w:type="dxa"/>
            <w:tcBorders/>
            <w:shd w:fill="CCEEFF" w:val="clear"/>
            <w:vAlign w:val="center"/>
          </w:tcPr>
          <w:p>
            <w:pPr>
              <w:pStyle w:val="TableContents"/>
              <w:bidi w:val="0"/>
              <w:spacing w:before="0" w:after="283"/>
              <w:jc w:val="left"/>
              <w:rPr/>
            </w:pPr>
            <w:r>
              <w:rPr/>
              <w:t> </w:t>
            </w:r>
            <w:bookmarkStart w:id="3153" w:name="xdx_40F_ecustom--GainsLossesOnDebtIssuan"/>
            <w:bookmarkEnd w:id="3153"/>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0" w:type="dxa"/>
            <w:tcBorders/>
            <w:shd w:fill="FFFFFF" w:val="clear"/>
            <w:vAlign w:val="center"/>
          </w:tcPr>
          <w:p>
            <w:pPr>
              <w:pStyle w:val="TableContents"/>
              <w:bidi w:val="0"/>
              <w:spacing w:before="0" w:after="283"/>
              <w:jc w:val="left"/>
              <w:rPr/>
            </w:pPr>
            <w:r>
              <w:rPr/>
              <w:t> </w:t>
            </w:r>
            <w:bookmarkStart w:id="3154" w:name="xdx_405_ecustom--ChangesInFairValueOfFin"/>
            <w:bookmarkEnd w:id="3154"/>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(3,052,229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55" w:name="xdx_40F_eus-gaap--GoodwillImpairmentLoss"/>
            <w:bookmarkEnd w:id="3155"/>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0" w:type="dxa"/>
            <w:tcBorders/>
            <w:shd w:fill="FFFFFF" w:val="clear"/>
            <w:vAlign w:val="center"/>
          </w:tcPr>
          <w:p>
            <w:pPr>
              <w:pStyle w:val="TableContents"/>
              <w:bidi w:val="0"/>
              <w:spacing w:before="0" w:after="283"/>
              <w:jc w:val="left"/>
              <w:rPr/>
            </w:pPr>
            <w:r>
              <w:rPr/>
              <w:t> </w:t>
            </w:r>
            <w:bookmarkStart w:id="3156" w:name="xdx_400_eus-gaap--SegmentReportingOtherI"/>
            <w:bookmarkEnd w:id="3156"/>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113,108</w:t>
            </w:r>
          </w:p>
        </w:tc>
        <w:tc>
          <w:tcPr>
            <w:tcW w:w="110" w:type="dxa"/>
            <w:tcBorders/>
            <w:shd w:fill="CCEEFF" w:val="clear"/>
            <w:vAlign w:val="center"/>
          </w:tcPr>
          <w:p>
            <w:pPr>
              <w:pStyle w:val="TableContents"/>
              <w:bidi w:val="0"/>
              <w:spacing w:before="0" w:after="283"/>
              <w:jc w:val="left"/>
              <w:rPr/>
            </w:pPr>
            <w:r>
              <w:rPr/>
              <w:t> </w:t>
            </w:r>
            <w:bookmarkStart w:id="3157" w:name="xdx_40D_eus-gaap--IncomeLossFromContinui"/>
            <w:bookmarkEnd w:id="3157"/>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(21,203,950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158" w:name="xdx_8A9_zJkfG0E3dLA6"/>
      <w:bookmarkEnd w:id="315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59" w:name="xdx_89A_eus-gaap--ScheduleOfEntityWideIn"/>
      <w:bookmarkEnd w:id="3159"/>
      <w:r>
        <w:rPr>
          <w:rFonts w:ascii="Times New Roman;Times;Serif" w:hAnsi="Times New Roman;Times;Serif"/>
          <w:b w:val="false"/>
          <w:i w:val="false"/>
          <w:caps w:val="false"/>
          <w:smallCaps w:val="false"/>
          <w:sz w:val="20"/>
        </w:rPr>
        <w:t>The following table presents the Company’s percentage of revenue generated by SaaS product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160" w:name="xdx_8BD_zVDShalPTcli"/>
      <w:bookmarkEnd w:id="3160"/>
      <w:r>
        <w:rPr>
          <w:rFonts w:ascii="Times New Roman;Times;Serif" w:hAnsi="Times New Roman;Times;Serif"/>
          <w:b w:val="false"/>
          <w:i w:val="false"/>
          <w:caps w:val="false"/>
          <w:smallCaps w:val="false"/>
          <w:sz w:val="20"/>
        </w:rPr>
        <w:t>Summary of Company's Revenue Generated by Saas Product </w:t>
      </w:r>
    </w:p>
    <w:tbl>
      <w:tblPr>
        <w:tblW w:w="3986" w:type="dxa"/>
        <w:jc w:val="left"/>
        <w:tblInd w:w="0" w:type="dxa"/>
        <w:tblLayout w:type="fixed"/>
        <w:tblCellMar>
          <w:top w:w="0" w:type="dxa"/>
          <w:left w:w="0" w:type="dxa"/>
          <w:bottom w:w="28" w:type="dxa"/>
          <w:right w:w="0" w:type="dxa"/>
        </w:tblCellMar>
      </w:tblPr>
      <w:tblGrid>
        <w:gridCol w:w="1100"/>
        <w:gridCol w:w="60"/>
        <w:gridCol w:w="102"/>
        <w:gridCol w:w="961"/>
        <w:gridCol w:w="368"/>
        <w:gridCol w:w="102"/>
        <w:gridCol w:w="102"/>
        <w:gridCol w:w="961"/>
        <w:gridCol w:w="230"/>
      </w:tblGrid>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bookmarkStart w:id="3161" w:name="xdx_49D_20250101__20251231__us-gaap--Con"/>
            <w:bookmarkEnd w:id="3161"/>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bookmarkStart w:id="3162" w:name="xdx_498_20240101__20241231__us-gaap--Con"/>
            <w:bookmarkEnd w:id="3162"/>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9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Year Ended December 31,</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bookmarkStart w:id="3163" w:name="xdx_407_eus-gaap--ConcentrationRiskPerce"/>
            <w:bookmarkEnd w:id="3163"/>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64" w:name="xdx_407_eus-gaap--ConcentrationRiskPerce"/>
            <w:bookmarkEnd w:id="3164"/>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65" w:name="xdx_408_eus-gaap--ConcentrationRiskPerce"/>
            <w:bookmarkEnd w:id="3165"/>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66" w:name="xdx_40D_eus-gaap--ConcentrationRiskPerce"/>
            <w:bookmarkEnd w:id="3166"/>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67" w:name="xdx_403_eus-gaap--ConcentrationRiskPerce"/>
            <w:bookmarkEnd w:id="3167"/>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168" w:name="xdx_406_eus-gaap--ConcentrationRiskPerce"/>
            <w:bookmarkEnd w:id="3168"/>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169" w:name="xdx_8AE_zRBC2totzxw2"/>
      <w:bookmarkEnd w:id="31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70" w:name="xdx_807_eus-gaap--SubsequentEventsTextBl"/>
      <w:bookmarkEnd w:id="3170"/>
      <w:r>
        <w:rPr>
          <w:rFonts w:ascii="Times New Roman;Times;Serif" w:hAnsi="Times New Roman;Times;Serif"/>
          <w:b/>
          <w:i w:val="false"/>
          <w:caps w:val="false"/>
          <w:smallCaps w:val="false"/>
          <w:sz w:val="20"/>
        </w:rPr>
        <w:t xml:space="preserve">19. </w:t>
      </w:r>
      <w:bookmarkStart w:id="3171" w:name="xdx_82D_zLm24gFrEC61"/>
      <w:bookmarkEnd w:id="317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on January 27, 2026, February 9, 2026, February 25, 2026, and March 30, 2026, the Company entered into exchange agreements with Agile pursuant to which the Company issued an aggregate of approximately </w:t>
      </w:r>
      <w:bookmarkStart w:id="3172" w:name="xdx_90C_ecustom--SharesIssuedUnderPromis"/>
      <w:bookmarkEnd w:id="3172"/>
      <w:r>
        <w:rPr>
          <w:rFonts w:ascii="Times New Roman;Times;Serif" w:hAnsi="Times New Roman;Times;Serif"/>
          <w:b w:val="false"/>
          <w:i w:val="false"/>
          <w:caps w:val="false"/>
          <w:smallCaps w:val="false"/>
          <w:sz w:val="20"/>
        </w:rPr>
        <w:t>29,306 shares of its Class A Common Stock in exchange for aggregate reductions of approximately $</w:t>
      </w:r>
      <w:bookmarkStart w:id="3173" w:name="xdx_90B_ecustom--AggregateReductionsOfIn"/>
      <w:bookmarkEnd w:id="3173"/>
      <w:r>
        <w:rPr>
          <w:rFonts w:ascii="Times New Roman;Times;Serif" w:hAnsi="Times New Roman;Times;Serif"/>
          <w:b w:val="false"/>
          <w:i w:val="false"/>
          <w:caps w:val="false"/>
          <w:smallCaps w:val="false"/>
          <w:sz w:val="20"/>
        </w:rPr>
        <w:t>660,000 in the outstanding balance of the March Agile Note. Following these exchanges, the outstanding balance of the March Agile Note was reduced to approximately $</w:t>
      </w:r>
      <w:bookmarkStart w:id="3174" w:name="xdx_905_eus-gaap--LongTermNotesPayable_i"/>
      <w:bookmarkEnd w:id="3174"/>
      <w:r>
        <w:rPr>
          <w:rFonts w:ascii="Times New Roman;Times;Serif" w:hAnsi="Times New Roman;Times;Serif"/>
          <w:b w:val="false"/>
          <w:i w:val="false"/>
          <w:caps w:val="false"/>
          <w:smallCaps w:val="false"/>
          <w:sz w:val="20"/>
        </w:rPr>
        <w:t>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w:t>
      </w:r>
      <w:bookmarkStart w:id="3175" w:name="xdx_905_eus-gaap--ShareBasedCompensation"/>
      <w:bookmarkEnd w:id="3175"/>
      <w:r>
        <w:rPr>
          <w:rFonts w:ascii="Times New Roman;Times;Serif" w:hAnsi="Times New Roman;Times;Serif"/>
          <w:b w:val="false"/>
          <w:i w:val="false"/>
          <w:caps w:val="false"/>
          <w:smallCaps w:val="false"/>
          <w:sz w:val="20"/>
        </w:rPr>
        <w:t xml:space="preserve">34,200 RSUs granted to employees vested into shares of Class A Common Stock. In addition, the Company will issue </w:t>
      </w:r>
      <w:bookmarkStart w:id="3176" w:name="xdx_900_eus-gaap--ShareBasedCompensation"/>
      <w:bookmarkEnd w:id="3176"/>
      <w:r>
        <w:rPr>
          <w:rFonts w:ascii="Times New Roman;Times;Serif" w:hAnsi="Times New Roman;Times;Serif"/>
          <w:b w:val="false"/>
          <w:i w:val="false"/>
          <w:caps w:val="false"/>
          <w:smallCaps w:val="false"/>
          <w:sz w:val="20"/>
        </w:rPr>
        <w:t xml:space="preserve">18,845 shares of Class B Common Stock to the Company’s CEO, of which, approximately </w:t>
      </w:r>
      <w:bookmarkStart w:id="3177" w:name="xdx_909_eus-gaap--ShareBasedCompensation"/>
      <w:bookmarkEnd w:id="3177"/>
      <w:r>
        <w:rPr>
          <w:rFonts w:ascii="Times New Roman;Times;Serif" w:hAnsi="Times New Roman;Times;Serif"/>
          <w:b w:val="false"/>
          <w:i w:val="false"/>
          <w:caps w:val="false"/>
          <w:smallCaps w:val="false"/>
          <w:sz w:val="20"/>
        </w:rPr>
        <w:t xml:space="preserve">12,563 shares relate to a tranche of the CEO Award vesting upon achieving a market capitalization threshold, and the remaining </w:t>
      </w:r>
      <w:bookmarkStart w:id="3178" w:name="xdx_902_eus-gaap--ShareBasedCompensation"/>
      <w:bookmarkEnd w:id="3178"/>
      <w:r>
        <w:rPr>
          <w:rFonts w:ascii="Times New Roman;Times;Serif" w:hAnsi="Times New Roman;Times;Serif"/>
          <w:b w:val="false"/>
          <w:i w:val="false"/>
          <w:caps w:val="false"/>
          <w:smallCaps w:val="false"/>
          <w:sz w:val="20"/>
        </w:rPr>
        <w:t xml:space="preserve">6,282 shares relate to the CEO’s 2025 bonus payment. See </w:t>
      </w:r>
      <w:r>
        <w:rPr>
          <w:rFonts w:ascii="Times New Roman;Times;Serif" w:hAnsi="Times New Roman;Times;Serif"/>
          <w:b w:val="false"/>
          <w:i/>
          <w:caps w:val="false"/>
          <w:smallCaps w:val="false"/>
          <w:sz w:val="20"/>
        </w:rPr>
        <w:t>Note 16,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Company issued Advance Notices to Yorkville pursuant to the SEPA in which the Company requested the purchase of approximately </w:t>
      </w:r>
      <w:bookmarkStart w:id="3179" w:name="xdx_909_eus-gaap--StockIssuedDuringPerio"/>
      <w:bookmarkEnd w:id="3179"/>
      <w:r>
        <w:rPr>
          <w:rFonts w:ascii="Times New Roman;Times;Serif" w:hAnsi="Times New Roman;Times;Serif"/>
          <w:b w:val="false"/>
          <w:i w:val="false"/>
          <w:caps w:val="false"/>
          <w:smallCaps w:val="false"/>
          <w:sz w:val="20"/>
        </w:rPr>
        <w:t>31,750 shares of the Company’s Class A Common Stock at an aggregate gross value of approximately $</w:t>
      </w:r>
      <w:bookmarkStart w:id="3180" w:name="xdx_900_eus-gaap--SaleOfStockConsiderati"/>
      <w:bookmarkEnd w:id="3180"/>
      <w:r>
        <w:rPr>
          <w:rFonts w:ascii="Times New Roman;Times;Serif" w:hAnsi="Times New Roman;Times;Serif"/>
          <w:b w:val="false"/>
          <w:i w:val="false"/>
          <w:caps w:val="false"/>
          <w:smallCaps w:val="false"/>
          <w:sz w:val="20"/>
        </w:rPr>
        <w:t>700 thousand, and net proceeds of approximately $</w:t>
      </w:r>
      <w:bookmarkStart w:id="3181" w:name="xdx_901_eus-gaap--ProceedsFromIssuanceOr"/>
      <w:bookmarkEnd w:id="3181"/>
      <w:r>
        <w:rPr>
          <w:rFonts w:ascii="Times New Roman;Times;Serif" w:hAnsi="Times New Roman;Times;Serif"/>
          <w:b w:val="false"/>
          <w:i w:val="false"/>
          <w:caps w:val="false"/>
          <w:smallCaps w:val="false"/>
          <w:sz w:val="20"/>
        </w:rPr>
        <w:t>670 thousand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Offering (3i,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w:t>
      </w:r>
      <w:bookmarkStart w:id="3182" w:name="xdx_908_eus-gaap--DebtInstrumentFaceAmou"/>
      <w:bookmarkEnd w:id="3182"/>
      <w:r>
        <w:rPr>
          <w:rFonts w:ascii="Times New Roman;Times;Serif" w:hAnsi="Times New Roman;Times;Serif"/>
          <w:b w:val="false"/>
          <w:i w:val="false"/>
          <w:caps w:val="false"/>
          <w:smallCaps w:val="false"/>
          <w:sz w:val="20"/>
        </w:rPr>
        <w:t>2,333,333, with an initial conversion price equal to $</w:t>
      </w:r>
      <w:bookmarkStart w:id="3183" w:name="xdx_90C_eus-gaap--DebtInstrumentConverti"/>
      <w:bookmarkEnd w:id="3183"/>
      <w:r>
        <w:rPr>
          <w:rFonts w:ascii="Times New Roman;Times;Serif" w:hAnsi="Times New Roman;Times;Serif"/>
          <w:b w:val="false"/>
          <w:i w:val="false"/>
          <w:caps w:val="false"/>
          <w:smallCaps w:val="false"/>
          <w:sz w:val="20"/>
        </w:rPr>
        <w:t xml:space="preserve">22.20 per share and issuance date of February 13, 2026 (the “February 3i Note,” together with the August Note, the October Note, and the Initial Note, are collectively referred to herein as the “Notes”), and additional warrants to purchase up to </w:t>
      </w:r>
      <w:bookmarkStart w:id="3184" w:name="xdx_90F_ecustom--WarrantsIssued_pid_c202"/>
      <w:bookmarkEnd w:id="3184"/>
      <w:r>
        <w:rPr>
          <w:rFonts w:ascii="Times New Roman;Times;Serif" w:hAnsi="Times New Roman;Times;Serif"/>
          <w:b w:val="false"/>
          <w:i w:val="false"/>
          <w:caps w:val="false"/>
          <w:smallCaps w:val="false"/>
          <w:sz w:val="20"/>
        </w:rPr>
        <w:t>21,021 shares of Common Stock, at an initial exercise price equal to $</w:t>
      </w:r>
      <w:bookmarkStart w:id="3185" w:name="xdx_908_ecustom--ClassOfWarrantOrRightIn"/>
      <w:bookmarkEnd w:id="3185"/>
      <w:r>
        <w:rPr>
          <w:rFonts w:ascii="Times New Roman;Times;Serif" w:hAnsi="Times New Roman;Times;Serif"/>
          <w:b w:val="false"/>
          <w:i w:val="false"/>
          <w:caps w:val="false"/>
          <w:smallCaps w:val="false"/>
          <w:sz w:val="20"/>
        </w:rPr>
        <w:t xml:space="preserve">50.00 per share (the “February Warrants,” together with the August Warrant, the October Warrants, August Warrants and the Initial Buyer Warrants, are collectively referred to herein as the “Buyer Warrants”), in the February Closing. The February Note matures on </w:t>
      </w:r>
      <w:bookmarkStart w:id="3186" w:name="xdx_909_eus-gaap--DebtInstrumentMaturity"/>
      <w:bookmarkEnd w:id="3186"/>
      <w:r>
        <w:rPr>
          <w:rFonts w:ascii="Times New Roman;Times;Serif" w:hAnsi="Times New Roman;Times;Serif"/>
          <w:b w:val="false"/>
          <w:i w:val="false"/>
          <w:caps w:val="false"/>
          <w:smallCaps w:val="false"/>
          <w:sz w:val="20"/>
        </w:rPr>
        <w:t>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w:t>
      </w:r>
      <w:bookmarkStart w:id="3187" w:name="xdx_90A_eus-gaap--ProceedsFromIssuanceOf"/>
      <w:bookmarkEnd w:id="3187"/>
      <w:r>
        <w:rPr>
          <w:rFonts w:ascii="Times New Roman;Times;Serif" w:hAnsi="Times New Roman;Times;Serif"/>
          <w:b w:val="false"/>
          <w:i w:val="false"/>
          <w:caps w:val="false"/>
          <w:smallCaps w:val="false"/>
          <w:sz w:val="20"/>
        </w:rPr>
        <w:t>1.6 million, net of original issue discount and issuance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Note was issued with an original issue discount of </w:t>
      </w:r>
      <w:bookmarkStart w:id="3188" w:name="xdx_90F_ecustom--DebtInstrumentInterestR"/>
      <w:bookmarkEnd w:id="3188"/>
      <w:r>
        <w:rPr>
          <w:rFonts w:ascii="Times New Roman;Times;Serif" w:hAnsi="Times New Roman;Times;Serif"/>
          <w:b w:val="false"/>
          <w:i w:val="false"/>
          <w:caps w:val="false"/>
          <w:smallCaps w:val="false"/>
          <w:sz w:val="20"/>
        </w:rPr>
        <w:t xml:space="preserve">10.0% (the “OID”), as were the other Notes issued on the August Closing, the October Closing and the Initial Closing Date and accrue interest at a rate of </w:t>
      </w:r>
      <w:bookmarkStart w:id="3189" w:name="xdx_90C_eus-gaap--DebtInstrumentInterest"/>
      <w:bookmarkEnd w:id="3189"/>
      <w:r>
        <w:rPr>
          <w:rFonts w:ascii="Times New Roman;Times;Serif" w:hAnsi="Times New Roman;Times;Serif"/>
          <w:b w:val="false"/>
          <w:i w:val="false"/>
          <w:caps w:val="false"/>
          <w:smallCaps w:val="false"/>
          <w:sz w:val="20"/>
        </w:rPr>
        <w:t xml:space="preserve">10.0% per annum. The Notes mature </w:t>
      </w:r>
      <w:bookmarkStart w:id="3190" w:name="xdx_903_ecustom--DebtInstrumentMaturityF"/>
      <w:bookmarkEnd w:id="3190"/>
      <w:r>
        <w:rPr>
          <w:rFonts w:ascii="Times New Roman;Times;Serif" w:hAnsi="Times New Roman;Times;Serif"/>
          <w:b w:val="false"/>
          <w:i w:val="false"/>
          <w:caps w:val="false"/>
          <w:smallCaps w:val="false"/>
          <w:sz w:val="20"/>
        </w:rPr>
        <w:t xml:space="preserve">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w:t>
      </w:r>
      <w:bookmarkStart w:id="3191" w:name="xdx_902_ecustom--MinimumPercentageOfOuts"/>
      <w:bookmarkEnd w:id="3191"/>
      <w:r>
        <w:rPr>
          <w:rFonts w:ascii="Times New Roman;Times;Serif" w:hAnsi="Times New Roman;Times;Serif"/>
          <w:b w:val="false"/>
          <w:i w:val="false"/>
          <w:caps w:val="false"/>
          <w:smallCaps w:val="false"/>
          <w:sz w:val="20"/>
        </w:rPr>
        <w:t xml:space="preserve">4.99% (or up to </w:t>
      </w:r>
      <w:bookmarkStart w:id="3192" w:name="xdx_90B_ecustom--MaximumPercentageOfOuts"/>
      <w:bookmarkEnd w:id="3192"/>
      <w:r>
        <w:rPr>
          <w:rFonts w:ascii="Times New Roman;Times;Serif" w:hAnsi="Times New Roman;Times;Serif"/>
          <w:b w:val="false"/>
          <w:i w:val="false"/>
          <w:caps w:val="false"/>
          <w:smallCaps w:val="false"/>
          <w:sz w:val="20"/>
        </w:rPr>
        <w:t>9.99% at the election of the Buyers pursuant to the Notes) of the outstanding Common Stock. The conversion price of the October Note is subject to a floor price of $</w:t>
      </w:r>
      <w:bookmarkStart w:id="3193" w:name="xdx_906_ecustom--FloorPrice_iI_pid_c2026"/>
      <w:bookmarkEnd w:id="3193"/>
      <w:r>
        <w:rPr>
          <w:rFonts w:ascii="Times New Roman;Times;Serif" w:hAnsi="Times New Roman;Times;Serif"/>
          <w:b w:val="false"/>
          <w:i w:val="false"/>
          <w:caps w:val="false"/>
          <w:smallCaps w:val="false"/>
          <w:sz w:val="20"/>
        </w:rPr>
        <w:t>5.08.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w:t>
      </w:r>
      <w:bookmarkStart w:id="3194" w:name="xdx_90F_eus-gaap--DebtInstrumentFaceAmou"/>
      <w:bookmarkEnd w:id="3194"/>
      <w:r>
        <w:rPr>
          <w:rFonts w:ascii="Times New Roman;Times;Serif" w:hAnsi="Times New Roman;Times;Serif"/>
          <w:b w:val="false"/>
          <w:i w:val="false"/>
          <w:caps w:val="false"/>
          <w:smallCaps w:val="false"/>
          <w:sz w:val="20"/>
        </w:rPr>
        <w:t>296 thousand and $</w:t>
      </w:r>
      <w:bookmarkStart w:id="3195" w:name="xdx_90D_eus-gaap--DebtInstrumentFaceAmou"/>
      <w:bookmarkEnd w:id="3195"/>
      <w:r>
        <w:rPr>
          <w:rFonts w:ascii="Times New Roman;Times;Serif" w:hAnsi="Times New Roman;Times;Serif"/>
          <w:b w:val="false"/>
          <w:i w:val="false"/>
          <w:caps w:val="false"/>
          <w:smallCaps w:val="false"/>
          <w:sz w:val="20"/>
        </w:rPr>
        <w:t>180 thousand, respectively, and received net proceeds of approximately $</w:t>
      </w:r>
      <w:bookmarkStart w:id="3196" w:name="xdx_904_eus-gaap--ProceedsFromIssuanceOf"/>
      <w:bookmarkEnd w:id="3196"/>
      <w:r>
        <w:rPr>
          <w:rFonts w:ascii="Times New Roman;Times;Serif" w:hAnsi="Times New Roman;Times;Serif"/>
          <w:b w:val="false"/>
          <w:i w:val="false"/>
          <w:caps w:val="false"/>
          <w:smallCaps w:val="false"/>
          <w:sz w:val="20"/>
        </w:rPr>
        <w:t>250 thousand and $</w:t>
      </w:r>
      <w:bookmarkStart w:id="3197" w:name="xdx_90B_eus-gaap--ProceedsFromIssuanceOf"/>
      <w:bookmarkEnd w:id="3197"/>
      <w:r>
        <w:rPr>
          <w:rFonts w:ascii="Times New Roman;Times;Serif" w:hAnsi="Times New Roman;Times;Serif"/>
          <w:b w:val="false"/>
          <w:i w:val="false"/>
          <w:caps w:val="false"/>
          <w:smallCaps w:val="false"/>
          <w:sz w:val="20"/>
        </w:rPr>
        <w:t xml:space="preserve">157 thousand, respectively, after discount and transaction fees. The notes have maturity dates of </w:t>
      </w:r>
      <w:bookmarkStart w:id="3198" w:name="xdx_905_eus-gaap--DebtInstrumentMaturity"/>
      <w:bookmarkEnd w:id="3198"/>
      <w:r>
        <w:rPr>
          <w:rFonts w:ascii="Times New Roman;Times;Serif" w:hAnsi="Times New Roman;Times;Serif"/>
          <w:b w:val="false"/>
          <w:i w:val="false"/>
          <w:caps w:val="false"/>
          <w:smallCaps w:val="false"/>
          <w:sz w:val="20"/>
        </w:rPr>
        <w:t xml:space="preserve">October 15, 2026 and </w:t>
      </w:r>
      <w:bookmarkStart w:id="3199" w:name="xdx_900_eus-gaap--DebtInstrumentMaturity"/>
      <w:bookmarkEnd w:id="3199"/>
      <w:r>
        <w:rPr>
          <w:rFonts w:ascii="Times New Roman;Times;Serif" w:hAnsi="Times New Roman;Times;Serif"/>
          <w:b w:val="false"/>
          <w:i w:val="false"/>
          <w:caps w:val="false"/>
          <w:smallCaps w:val="false"/>
          <w:sz w:val="20"/>
        </w:rPr>
        <w:t xml:space="preserve">December 15, 2026, respectively and bear interest at </w:t>
      </w:r>
      <w:bookmarkStart w:id="3200" w:name="xdx_90B_eus-gaap--DebtInstrumentInterest"/>
      <w:bookmarkStart w:id="3201" w:name="xdx_903_eus-gaap--DebtInstrumentInterest"/>
      <w:bookmarkEnd w:id="3200"/>
      <w:bookmarkEnd w:id="3201"/>
      <w:r>
        <w:rPr>
          <w:rFonts w:ascii="Times New Roman;Times;Serif" w:hAnsi="Times New Roman;Times;Serif"/>
          <w:b w:val="false"/>
          <w:i w:val="false"/>
          <w:caps w:val="false"/>
          <w:smallCaps w:val="false"/>
          <w:sz w:val="20"/>
        </w:rPr>
        <w:t>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Buyer exercised its contractual conversion option multiple times under the August 3i Note, the October 3i Note, and the February 3i Note and received an aggregate of approximately </w:t>
      </w:r>
      <w:bookmarkStart w:id="3202" w:name="xdx_90D_eus-gaap--DebtConversionConverte"/>
      <w:bookmarkEnd w:id="3202"/>
      <w:r>
        <w:rPr>
          <w:rFonts w:ascii="Times New Roman;Times;Serif" w:hAnsi="Times New Roman;Times;Serif"/>
          <w:b w:val="false"/>
          <w:i w:val="false"/>
          <w:caps w:val="false"/>
          <w:smallCaps w:val="false"/>
          <w:sz w:val="20"/>
        </w:rPr>
        <w:t>144 thousand shares of Class A Common Stock at conversion prices per share ranging from $</w:t>
      </w:r>
      <w:bookmarkStart w:id="3203" w:name="xdx_901_eus-gaap--DebtInstrumentConverti"/>
      <w:bookmarkEnd w:id="3203"/>
      <w:r>
        <w:rPr>
          <w:rFonts w:ascii="Times New Roman;Times;Serif" w:hAnsi="Times New Roman;Times;Serif"/>
          <w:b w:val="false"/>
          <w:i w:val="false"/>
          <w:caps w:val="false"/>
          <w:smallCaps w:val="false"/>
          <w:sz w:val="20"/>
        </w:rPr>
        <w:t>16.60 to $</w:t>
      </w:r>
      <w:bookmarkStart w:id="3204" w:name="xdx_908_eus-gaap--DebtInstrumentConverti"/>
      <w:bookmarkEnd w:id="3204"/>
      <w:r>
        <w:rPr>
          <w:rFonts w:ascii="Times New Roman;Times;Serif" w:hAnsi="Times New Roman;Times;Serif"/>
          <w:b w:val="false"/>
          <w:i w:val="false"/>
          <w:caps w:val="false"/>
          <w:smallCaps w:val="false"/>
          <w:sz w:val="20"/>
        </w:rPr>
        <w:t>22.00 in satisfaction of approximately $</w:t>
      </w:r>
      <w:bookmarkStart w:id="3205" w:name="xdx_90F_eus-gaap--DebtInstrumentCarrying"/>
      <w:bookmarkEnd w:id="3205"/>
      <w:r>
        <w:rPr>
          <w:rFonts w:ascii="Times New Roman;Times;Serif" w:hAnsi="Times New Roman;Times;Serif"/>
          <w:b w:val="false"/>
          <w:i w:val="false"/>
          <w:caps w:val="false"/>
          <w:smallCaps w:val="false"/>
          <w:sz w:val="20"/>
        </w:rPr>
        <w:t>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1, 2026 and March 31, 2026, the Lender exercised its contractual conversion option multiple times under the July 1800 Diagonal Note and September 1800 Diagonal Note and received an aggregate of approximately </w:t>
      </w:r>
      <w:bookmarkStart w:id="3206" w:name="xdx_902_eus-gaap--DebtConversionConverte"/>
      <w:bookmarkEnd w:id="3206"/>
      <w:r>
        <w:rPr>
          <w:rFonts w:ascii="Times New Roman;Times;Serif" w:hAnsi="Times New Roman;Times;Serif"/>
          <w:b w:val="false"/>
          <w:i w:val="false"/>
          <w:caps w:val="false"/>
          <w:smallCaps w:val="false"/>
          <w:sz w:val="20"/>
        </w:rPr>
        <w:t>24 thousand shares of Class A Common Stock at conversion prices ranging from $</w:t>
      </w:r>
      <w:bookmarkStart w:id="3207" w:name="xdx_90E_eus-gaap--DebtInstrumentConverti"/>
      <w:bookmarkEnd w:id="3207"/>
      <w:r>
        <w:rPr>
          <w:rFonts w:ascii="Times New Roman;Times;Serif" w:hAnsi="Times New Roman;Times;Serif"/>
          <w:b w:val="false"/>
          <w:i w:val="false"/>
          <w:caps w:val="false"/>
          <w:smallCaps w:val="false"/>
          <w:sz w:val="20"/>
        </w:rPr>
        <w:t>16.50 to $</w:t>
      </w:r>
      <w:bookmarkStart w:id="3208" w:name="xdx_909_eus-gaap--DebtInstrumentConverti"/>
      <w:bookmarkEnd w:id="3208"/>
      <w:r>
        <w:rPr>
          <w:rFonts w:ascii="Times New Roman;Times;Serif" w:hAnsi="Times New Roman;Times;Serif"/>
          <w:b w:val="false"/>
          <w:i w:val="false"/>
          <w:caps w:val="false"/>
          <w:smallCaps w:val="false"/>
          <w:sz w:val="20"/>
        </w:rPr>
        <w:t>18.60 in satisfaction of approximately $</w:t>
      </w:r>
      <w:bookmarkStart w:id="3209" w:name="xdx_909_eus-gaap--DebtInstrumentCarrying"/>
      <w:bookmarkEnd w:id="3209"/>
      <w:r>
        <w:rPr>
          <w:rFonts w:ascii="Times New Roman;Times;Serif" w:hAnsi="Times New Roman;Times;Serif"/>
          <w:b w:val="false"/>
          <w:i w:val="false"/>
          <w:caps w:val="false"/>
          <w:smallCaps w:val="false"/>
          <w:sz w:val="20"/>
        </w:rPr>
        <w:t>392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December 31, 2025, the Company issued approximately </w:t>
      </w:r>
      <w:bookmarkStart w:id="3210" w:name="xdx_908_eus-gaap--StockIssuedDuringPerio"/>
      <w:bookmarkEnd w:id="3210"/>
      <w:r>
        <w:rPr>
          <w:rFonts w:ascii="Times New Roman;Times;Serif" w:hAnsi="Times New Roman;Times;Serif"/>
          <w:b w:val="false"/>
          <w:i w:val="false"/>
          <w:caps w:val="false"/>
          <w:smallCaps w:val="false"/>
          <w:sz w:val="20"/>
        </w:rPr>
        <w:t>107 thousand shares under the ATM Agreement for net proceeds of approximately $</w:t>
      </w:r>
      <w:bookmarkStart w:id="3211" w:name="xdx_908_eus-gaap--ProceedsFromIssuanceOf"/>
      <w:bookmarkEnd w:id="3211"/>
      <w:r>
        <w:rPr>
          <w:rFonts w:ascii="Times New Roman;Times;Serif" w:hAnsi="Times New Roman;Times;Serif"/>
          <w:b w:val="false"/>
          <w:i w:val="false"/>
          <w:caps w:val="false"/>
          <w:smallCaps w:val="false"/>
          <w:sz w:val="20"/>
        </w:rPr>
        <w:t>2.7 million. The aggregate market value of the shares of Class A Common Stock eligible for sale under the ATM Prospectus Supplement is approximately $</w:t>
      </w:r>
      <w:bookmarkStart w:id="3212" w:name="xdx_909_eus-gaap--StockIssuedDuringPerio"/>
      <w:bookmarkEnd w:id="3212"/>
      <w:r>
        <w:rPr>
          <w:rFonts w:ascii="Times New Roman;Times;Serif" w:hAnsi="Times New Roman;Times;Serif"/>
          <w:b w:val="false"/>
          <w:i w:val="false"/>
          <w:caps w:val="false"/>
          <w:smallCaps w:val="false"/>
          <w:sz w:val="20"/>
        </w:rPr>
        <w:t>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w:t>
      </w:r>
      <w:bookmarkStart w:id="3213" w:name="xdx_904_ecustom--IncreaseDecreaseInReven"/>
      <w:bookmarkEnd w:id="3213"/>
      <w:r>
        <w:rPr>
          <w:rFonts w:ascii="Times New Roman;Times;Serif" w:hAnsi="Times New Roman;Times;Serif"/>
          <w:b w:val="false"/>
          <w:i w:val="false"/>
          <w:caps w:val="false"/>
          <w:smallCaps w:val="false"/>
          <w:sz w:val="20"/>
        </w:rPr>
        <w:t>15 million. The two companies have executed a non-binding letter of intent, and the final transaction is expected to close in early second quarter 2026, subject to execution of a definitive agreement and closing conditions.</w:t>
      </w:r>
    </w:p>
    <w:p>
      <w:pPr>
        <w:pStyle w:val="TextBody"/>
        <w:bidi w:val="0"/>
        <w:spacing w:before="0" w:after="0"/>
        <w:ind w:left="0" w:right="0" w:hanging="0"/>
        <w:jc w:val="center"/>
        <w:rPr>
          <w:caps w:val="false"/>
          <w:smallCaps w:val="false"/>
          <w:color w:val="FF0000"/>
        </w:rPr>
      </w:pPr>
      <w:bookmarkStart w:id="3214" w:name="xdx_816_z1X09BKQ1co1"/>
      <w:bookmarkEnd w:id="3214"/>
      <w:r>
        <w:rPr>
          <w:caps w:val="false"/>
          <w:smallCaps w:val="false"/>
          <w:color w:val="FF0000"/>
        </w:rPr>
        <w:t> </w:t>
      </w:r>
    </w:p>
    <w:p>
      <w:pPr>
        <w:pStyle w:val="TextBody"/>
        <w:bidi w:val="0"/>
        <w:spacing w:before="0" w:after="0"/>
        <w:ind w:left="0" w:right="0" w:hanging="0"/>
        <w:jc w:val="center"/>
        <w:rPr>
          <w:caps w:val="false"/>
          <w:smallCaps w:val="false"/>
          <w:color w:val="FF0000"/>
        </w:rPr>
      </w:pPr>
      <w:bookmarkStart w:id="3215" w:name="xdx_043_zVoVhsXTgnxb"/>
      <w:bookmarkEnd w:id="3215"/>
      <w:r>
        <w:rPr>
          <w:caps w:val="false"/>
          <w:smallCaps w:val="false"/>
          <w:color w:val="FF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5060" cy="5562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5060" cy="55626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2,309,107 shares of Class A Common Stock underlying the Notes; and Up to 1,422,639 shares of Class A Common Stock underlying the common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4,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25"/>
        <w:gridCol w:w="3845"/>
      </w:tblGrid>
      <w:tr>
        <w:trPr/>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w:t>
            </w:r>
          </w:p>
        </w:tc>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Expenses of Issuance and Distribution.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estimate of the expenses (all of which are to be paid by the registrant) that we may incur in connection with the securities being registered hereby.</w:t>
      </w:r>
    </w:p>
    <w:p>
      <w:pPr>
        <w:pStyle w:val="TextBody"/>
        <w:bidi w:val="0"/>
        <w:spacing w:before="0" w:after="0"/>
        <w:ind w:left="0" w:right="0" w:hanging="0"/>
        <w:jc w:val="both"/>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2900"/>
        <w:gridCol w:w="60"/>
        <w:gridCol w:w="140"/>
        <w:gridCol w:w="860"/>
        <w:gridCol w:w="7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1,702.22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securities, including with regard to compliance with state securities or “blue sky” laws. All amounts are estimates except the SEC registration fee.</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25"/>
        <w:gridCol w:w="360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w:t>
            </w:r>
          </w:p>
        </w:tc>
        <w:tc>
          <w:tcPr>
            <w:tcW w:w="3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of Directors and Officers.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person eligible for indemnification pursuant to our Charter will be indemnified by us in connection with a proceeding initiated by such person only if such proceeding was authorized by our board of directors, except for proceedings to enforce rights to indemnification.</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indemnification which will be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advancement of expenses will not be deemed exclusive of any other rights which any person covered by our Charter may have or hereafter acquire under law, our Charter, our Bylaws, an agreement, vote of stockholders or disinterested directors,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also permits us, to the extent and in the manner authorized or permitted by law, to indemnify and to advance expenses to persons other that those specifically covered by our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25"/>
        <w:gridCol w:w="3350"/>
      </w:tblGrid>
      <w:tr>
        <w:trPr/>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w:t>
            </w:r>
          </w:p>
        </w:tc>
        <w:tc>
          <w:tcPr>
            <w:tcW w:w="3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covered by this prospectus,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through their relationships with the Registrant, to information about the Registrant.</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Promissory Notes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Legacy Banzai issued a convertible promissory note in the principal amount of $2.0 million to Yorkville pursuant to the SEPA and on February 5, 2024, and March 26, 2024, the Company issued convertible promissory notes in the principal amount of $1.0 million and $1.5 million, respectively, to Yorkville pursuant to the SEPA. Between January 1, 2024 and June 30, 2024, the Company issued 3,243 shares of Common Stock to Yorkville upon conversion of $1.8 million of the Yorkville Promissory Notes. In addition, on March 18, 2024, the Company issued 711 shares of Common Stock to Yorkville in satisfaction of a deferred fee payment in the amount of $500 thousand. Further, on May 3, 2024, the Company agreed to issue to Yorkville 600 shares of Common Stock, which shares represent satisfaction of a $200 thousand Payment Premium due in accordance with the Yorkville Promissory Notes in connection with our early redemption of $2 million outstanding under the Yorkville Promissory Notes with the proceeds from the sale of our securities in a past share offering. The Company’s issuance of the Yorkville Promissory Notes and the shares of Class A Common Stock issued to Yorkville and issuable upon conversion of the Yorkville Promissory Notes have not been registered under the Securities Act in reliance on the exemption from registration provided by Section 4(a)(2)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2024 and October 14, 2024, 22,708 shares of Common Stock had been issued upon conversion of the Yorkville Promissory Notes and a cash payment of $750 thousand was made in May 2024. The aggregate principal amount was fully satisfied that no remaining outstanding balance under the Yorkville Promissory Notes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Promissory Note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issued the GEM Promissory Note in the principal amount of $1.0 million to GEM pursuant to the GEM Settlement Agreement. The GEM Promissory Note provides for the issuance of shares of Common Stock at a conversion price equal to the VWAP of the trading day immediately preceding the applicable payment due date. As of December 31, 2024, we issued an aggregate of 950 shares of Class A Common Stock to GEM in lieu of monthly payment obligations and during the three months ended March 31, 2025 the Company paid an aggregate of $215 thousand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Roth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the Company issued 18 shares of Class A Common Stock to Roth pursuant to the Roth Addendum as consideration for advisory services provided by Roth in connection with the Business Combination.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Marketing Agreement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20, 2024, the Company issued to a consultant (the “Marketing Consultant”) 16 shares of its Class A Common Stock, which shares represented $200 thousand of compensation for the Marketing Consultant’s services under a marketing services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Services Agreement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2024, the Company entered into a Consulting Services Agreement with a consultant (the “Business Consultant”). The Company agreed to issue to the Business Consultant a total of 32 shares of its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Equitization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23, 2024 to September 23,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are to be registered with the SEC in a registration statement on Form S-1 and Shares that are exempt from registration. As of December 31, 2024, the Company has issued an aggregate of 15,140 Shares to the Creditors in exchange for the cancellation of an aggregate of approximately $5.5 million of debt. The Company agreed to issue an aggregate of 2,250 additional Shares pursuant to the Debt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2024, the Company issued 120 restricted shares of its Common Stock, partially in exchange for the various investor relations services outlined in the Consulting Agreement with MZHCI, LLC, an MZ Group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2025 the Company issued 150 shares to Verista Partners, Inc., aka Winterberry Group, one of its Creditors, in exchange for the cancellation of a portion of the total outstanding debt  totaling approximately $17 thousand, pursuant to the Debt Reorganization.</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BF/Alco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this filing, we issued an aggregate of 13,247 shares of Class A Common Stock to CP BF and Alco, which includes 5,245 pre-funded warrants Alco exercised on April 21, 2025, pursuant to the agreements we entered into with them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CP BF exercised its optional conversion option pursuant to which it received an aggregate of 3,135 shares of Class A Common Stock at conversion prices ranging from $47.60 to $54.80 per share, in satisfaction of an aggregate of approximately $167 thousand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Hudson Global Ventures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2024, the Company issued 225 shares of Class A Common Stock to Hudson Global Ventures, LLC, a Nevada limited liability company (“Hudson”) pursuant to the Consulting Agreement as consideration for advisory services provided by Hudson. On January 3, 2025 and April 25, 2025, the Company issued 750 and 200 restricted shares of its Class A Common Stock, respectively, in exchange for the business advisory services outlined in the consulting agreements with Hudson.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BF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the Company issued 1 share of Class A Common Stock to CP BF, resulting from the exercise of 1 pre-funded warrant under the CP BF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 Issuance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 issued 1,689 shares of Class A Common Stock related to RSUs issued to executives as part of the Company’s fiscal 2024 bonus plan, following Board approvals. On March 31, 2026, the Company issued 34,175 shares of Class A Common Stock related to RSUs issued to employees as part of the Company’s fiscal 2026 equity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pursuant to which, the Company issued 4,491 shares of Class A Common Stock to the shareholders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thousand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Class A Common Stock issued to 1800 Diagonal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22, 2025, and May 11, 2026, the Company issued an aggregate of 72,305 shares of Class A Common Stock, pursuant to conversion notices from 1800 Diagonal to convert an aggregate of approximately $972 thousand in notes the Company previously issued to them; the conversion price ranged from $3.303 per share to $45.37 per share.</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Exchanges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(the “Agile Exchange Agreement”) with Agile pursuant to which the Company issued 11.639 shares of its Class A common stock in exchange for a reduction of $284 thousand in the outstanding balance of the March Agile Note.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27, 2026 and May 29, 2026, the Company entered into a series of nine additional exchange agreements with Agile on substantially similar terms as the Agile Exchange Agreement pursuant to which the Company issued an aggregate of approximately 165,183 shares of its Class A Common Stock at conversion prices per share ranging from $3.46 to $23.60, respectively, in exchange for aggregate reductions of approximately $1.4 million in the outstanding balance of the March Agile Note. Following these exchanges, the outstanding balance of the March Agile Note was reduced to approximately $419 thousand.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6"/>
        <w:gridCol w:w="60"/>
        <w:gridCol w:w="9339"/>
      </w:tblGrid>
      <w:tr>
        <w:trPr/>
        <w:tc>
          <w:tcPr>
            <w:tcW w:w="80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At The Market Offering Agreement, dated August 27, 2025, by and between the Company and H.C. Wainwright &amp; Co., LLC (5)</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Agreement and Plan of Merger, dated December 8, 2022, by and among Banzai, 7GC, First Merger Sub and Second Merger Sub (incorporated by reference to Annex A-1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"rom441541_41"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to Agreement and Plan of Merger, dated August 4, 2023, by and among the Company and 7GC (incorporated by reference to Annex A-2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Second Amended and Restated Certificate of Incorporation of the Company, dated December 14, 2023. (incorporated by reference to Exhibit 3.1 to the Current Report on Form 8-K filed on December 20, 2023).</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Second Amended and Restated Bylaws of the Company, dated December 14, 2023 (incorporated by reference to Exhibit 3.2 to the Current Report on Form 8-K filed on December 20, 2023).</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Third Amended and Restated Bylaws of the Company, dated March 3, 2025 (incorporated by reference to Exhibit 3.2 to the Current Report on Form 8-K filed on March 4, 2025).</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Amendment to Second Amended and Restated Certificate of Incorporation of the Company, dated September 11, 2024. (incorporated by reference to Exhibit 3.1 to the Current Report on Form 8-K filed on September 16, 2024).</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Fourth Amended and Restated Bylaws (incorporated by reference to Exhibit 3.1 to the Current Report on Form 8-K filed on December 17, 2025).</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Amendment to Second Amended and Restated Certificate of Incorporation of the Company, dated March 3, 2025. (incorporated by reference to Exhibit 3.1 to the Current Report on Form 8-K filed on March 4, 2025).</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Specimen Class A Common Stock 10-K Certificate of the Company (incorporated by reference to Exhibit 4.1 to the Current Report on Form 8-K filed on December 20, 2023).</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Specimen Class B Common Stock Certificate of the Company (incorporated by reference to Exhibit 4.2 to the Current Report on Form 8-K filed on December 20, 2023).</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Specimen Warrant Certificate of the Company (incorporated by reference to Exhibit 4.3 to the Current Report on Form 8-K filed on December 20, 2023).</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Warrant Agreement, dated December 22, 2020, by and between 7GC and Continental Stock Transfer &amp; Trust Company, as warrant agent (incorporated by reference to Exhibit 4.1 to the Current Report on Form 8-K filed by 7GC on December 28, 2020).</w:t>
              </w:r>
            </w:hyperlink>
          </w:p>
        </w:tc>
      </w:tr>
      <w:tr>
        <w:trPr/>
        <w:tc>
          <w:tcPr>
            <w:tcW w:w="8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9"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Amended and Restated Convertible Promissory Note, by and among Banzai and CP BF Lending, LLC (incorporated by reference to Exhibit 4.7 to the Registration Statement on Form S-4 filed by 7GC on August 31, 2023).</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Subordinated Promissory Note, dated December 13, 2023, issued by the Company to Alco Investment Company (incorporated by reference to Exhibit 4.5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Warrant to Purchase Shares of Common Stock of Banzai International, Inc., dated December 15, 2023, issued by the Company to GEM Yield Bahamas Limited (incorporated by reference to Exhibit 4.7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Promissory Note, dated as of December 14, 2023, issued by Banzai International, Inc. (f/k/a 7GC &amp; Co. Holdings Inc.) to YA II PN, LTD. (incorporated by reference to Exhibit 10.2 to the Current Report on Form 8-K filed on December 18,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Promissory Note, dated as of February 5, 2024, issued by Banzai International, Inc. to YA II PN, LTD (incorporated by reference to Exhibit 4.11 to the Registration Statement on Form S-1/A filed on February 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Promissory Note, dated as of March 26, 2024, issued by Banzai International, Inc. to YA II PN, LTD (incorporated by reference to Exhibit 4.10 to the Annual Report on Form 10-K filed on April 1,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Debt Repayment Agreement, dated as of May 3, 2024, by and among the Company and Yorkville (incorporated by reference to Exhibit 99.2 to the Current Report on Form 8-K filed on May 16,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Amended and Restated Debt Repayment Agreement, dated as of May 22, 2024, by and between the Company and Yorkville. (incorporated by reference to Exhibit 99.1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Secured Convertible Promissory Note dated as of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Common Warrant (incorporated by reference to Exhibit 10.3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Warrant with CP BF dated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Pre-Funded Warrant to CP BF dated September 23, 2024 (2)</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Subordinated Promissory Note, dated as of August 30, 2023, by and between Banzai International, Inc., Alco Investment Company and CP BF Lending, LLC.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Amendment No. 3 to August 30, 2023, Subordinated Promissory Note.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Subordinated Promissory Note, dated as of November 16, 2023, by and between Banzai International, Inc., Alco Investment Company and CP BF Lending, LLC.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Amendment No. 4 to November 16, 2023, Subordinated Promissory Note. (1)</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Senior Secured Convertible Note issued on June 30, 2025 (4)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Warrant issued on June 30, 2025 (3)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Senior Secured Convertible Note issued on August 19, 2025 (6)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Warrant issued on August 19, 2025 (6)</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Pre-Funded Warrant (incorporated by reference to Exhibit 10.4 to the Current Report on Form 8-K filed on May 28,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Amendment to Second Amended and Restated Certificate of Incorporation of the Company, dated April 28, 2026. (incorporated by reference to Exhibit 3.1 to the Current Report on Form 8-K filed on April 28, 2026, 2026).</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Hunter Taubman Fischer &amp; Li LLC.*</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Letter Agreement, dated December 22, 2020, by and among 7GC, its officers, its directors and the Sponsor (incorporated by reference to Exhibit 10.1 to the Current Report on Form 8-K filed by 7GC on December 28, 2020).</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Private Placement Warrants Purchase Agreement, dated December 22, 2020, by and between 7GC and the Sponsor (incorporated by reference to Exhibit 10.5 to the Current Report on Form 8-K filed by 7GC on December 28, 2020).</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Amended and Restated Registration Rights Agreement, dated December 14, 2023, by and among the Company, the Sponsor, certain stockholders of the Company (incorporated by reference to Exhibit 10.6 to the Current Report on Form 8-K filed on December 20,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"https://www.sec.gov/Archives/edgar/data/1826011/000119312523225201/d441541ds4.htm" \l "ii441541_anxd"</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Lock-Up Agreement, by and between the Company and certain stockholders and executives of Legacy Banzai (incorporated by reference to Annex D to the Registration Statement on Form S-4 filed on August 31, 2023).</w:t>
            </w:r>
            <w:r>
              <w:rPr>
                <w:rStyle w:val="InternetLink"/>
                <w:smallCaps w:val="false"/>
                <w:caps w:val="false"/>
                <w:sz w:val="20"/>
                <w:i w:val="false"/>
                <w:b w:val="false"/>
                <w:rFonts w:ascii="Times New Roman;Times;Serif" w:hAnsi="Times New Roman;Times;Serif"/>
              </w:rPr>
              <w:fldChar w:fldCharType="end"/>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Banzai International, Inc. 2023 Equity Incentive Plan (incorporated by reference to Exhibit 99.1 to the Registration Statement on Form S-8 filed on March 25,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Banzai International, Inc. 2023 Employee Stock Purchase Plan (incorporated by reference to Exhibit 99.2 to the Registration Statement on Form S-8 filed on March 25, 2024).</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Loan Agreement, dated February 19, 2021, by and among the Company, Joseph P. Davy as an Individual Guarantor, Demio, Inc., as an Individual Guarantor and CP BF Lending, LLC, as Lender (incorporated by reference to Exhibit 10.16 to the Registration Statement on Form S-4 filed by 7GC on August 31,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Forbearance Agreement, dated August 24, 2023, by and among the Company, the guarantors party to the Loan Agreement (as defined therein), and CP BF Lending, LLC (incorporated by reference to Exhibit 10.18 to the Registration Statement on Form S-4 filed by 7GC on August 31, 2023).</w:t>
              </w:r>
            </w:hyperlink>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0"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Promissory Note, dated October 3, 2023, issued by 7GC to the Sponsor (incorporated by reference to Exhibit 10.1 to the Current Report on Form 8-K filed by 7GC on October 4, 2023).</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Standby Equity Purchase Agreement, dated as of December 14, 2023, by and among Banzai International, Inc. (f/k/a 7GC &amp; Co. Holdings Inc.), YA II PN, LTD., and Banzai Operating Co LLC (f/k/a Banzai International, Inc.) (incorporated by reference to Exhibit 10.1 to the Current Report on Form 8-K filed on December 18,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Registration Rights Agreement, dated as of December 14, 2023, by and between Banzai International, Inc. (f/k/a 7GC &amp; Co. Holdings Inc.) and YA II PN, LTD. (incorporated by reference to Exhibit 10.3 to the Current Report on Form 8-K filed on December 18,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Share Transfer Agreement, dated December 13, 2023, by and among the Company, the Sponsor and Alco Investment Company (incorporated by reference to Exhibit 10.5 to the Current Report on Form 8-K filed on December 20, 2023).</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Indemnification Agreement by and between the Company and its directors and officers (incorporated by reference to Exhibit 10.8 to the Current Report on Form 8-K filed on December 20, 2023).</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Amendment to Fee Reduction Agreement, dated December 28, 2023, by and between Banzai International, Inc. (f/k/a 7GC &amp; Co. Holdings Inc.) and Cantor Fitzgerald (incorporated by reference to Exhibit 10.26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Settlement Agreement, dated February 5, 2024, by and between Banzai International, Inc. (f/k/a 7GC &amp; Co. Holdings Inc.), GEM Global Yield LLC SCS and GEM Yield Bahamas Limited (incorporated by reference to Exhibit 10.27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Unsecured Promissory Note, dated February 5, 2024, issued by the Company to GEM Global Yield LLC SCS (incorporated by reference to Exhibit 10.4 to the Current Report on Form 8-K filed on February 8,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Supplemental Agreement, dated February 5, 2024, by and between Banzai International, Inc. (f/k/a 7GC &amp; Co. Holdings Inc.) and YA II PN, LTD (incorporated by reference to Exhibit 10.29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Addendum to Letter Agreements, dated February 5, 2024, by and between Banzai International, Inc. (f/k/a 7GC &amp; Co. Holdings Inc.) and Roth Capital Partners, LLC (incorporated by reference to Exhibit 10.30 of Amendment No. 1 to the Registration Statement on Form S-1/A filed on February 5,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Side Letter to the Loan Agreement with CP BF Lending, LLC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Floor Price Adjustment Agreement with Yorkville Advisors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Securities Purchase Agreement with Alco Investment Company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Securities Purchase Agreement with CP BF Lending, LLC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Second Amendment to Loan Agreement by and among the Company, Demio Holding Inc., Banzai Operating Co. LLC and CP BF Lending, LLC, as Lender dated as of September 23, 2024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Registration Rights Agreement between the Company and Alco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Form of Lock-Up Agreement dated September 23, 2024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Form of Registration Rights Agreement between the Company and CP BF (2)</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Consulting Agreement dated as of September 26, 2024, by and between the Company and Hudson Global Ventures, LLC (incorporated by reference to the Registration Statement on Form S-1 filed with the SEC on October 16,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Form of Registration Rights Agreement (incorporated by reference to Exhibit 10.1 to the Current Report on Form 8-K filed on December 10,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Pre-Funded Warrant (incorporated by reference to Exhibit 10.2 to the Current Report on Form 8-K filed on December 10, 2024).</w:t>
              </w:r>
            </w:hyperlink>
          </w:p>
        </w:tc>
      </w:tr>
      <w:tr>
        <w:trPr/>
        <w:tc>
          <w:tcPr>
            <w:tcW w:w="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CCEEFF" w:val="cle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Voting and Support Agreement, dated December 10, 2024, by and between Joseph P. Davy and Banzai International Inc. (incorporated by reference to Exhibit 10.3 to the Current Report on Form 8-K filed on December 10, 2024).</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75"/>
        <w:gridCol w:w="60"/>
        <w:gridCol w:w="9570"/>
      </w:tblGrid>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66">
              <w:r>
                <w:rPr>
                  <w:rStyle w:val="InternetLink"/>
                  <w:rFonts w:ascii="Times New Roman;Times;Serif" w:hAnsi="Times New Roman;Times;Serif"/>
                  <w:sz w:val="20"/>
                </w:rPr>
                <w:t>Form of Lock-Up Agreement (incorporated by reference to exhibit 10.1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10.32</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67">
              <w:r>
                <w:rPr>
                  <w:rStyle w:val="InternetLink"/>
                  <w:rFonts w:ascii="Times New Roman;Times;Serif" w:hAnsi="Times New Roman;Times;Serif"/>
                  <w:sz w:val="20"/>
                </w:rPr>
                <w:t>Form of Pre-Funded Warrant (incorporated by reference to exhibit 10.2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10.33</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68">
              <w:r>
                <w:rPr>
                  <w:rStyle w:val="InternetLink"/>
                  <w:rFonts w:ascii="Times New Roman;Times;Serif" w:hAnsi="Times New Roman;Times;Serif"/>
                  <w:sz w:val="20"/>
                </w:rPr>
                <w:t>Voting and Support Agreement, dated December 19, 2024, by and between Banzai International Inc., and Joseph P. Davy (incorporated by reference to exhibit 10.3 to the Current Report on Form 8-K filed on December 20,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10.34</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69">
              <w:r>
                <w:rPr>
                  <w:rStyle w:val="InternetLink"/>
                  <w:rFonts w:ascii="Times New Roman;Times;Serif" w:hAnsi="Times New Roman;Times;Serif"/>
                  <w:sz w:val="20"/>
                </w:rPr>
                <w:t>Closing Letter Agreement, dated January 24, 2025, by and among Banzai International, Inc., Vidello Limited, and certain shareholders of Vidello Limited (incorporated by reference to Exhibit 10.3 to the Current Report on Form 8-K filed on January 31,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10.35</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0">
              <w:r>
                <w:rPr>
                  <w:rStyle w:val="InternetLink"/>
                  <w:rFonts w:ascii="Times New Roman;Times;Serif" w:hAnsi="Times New Roman;Times;Serif"/>
                  <w:sz w:val="20"/>
                </w:rPr>
                <w:t>Form of Convertible Promissory Note (incorporated by reference to exhibit 10.1 to the Current Report on Form 8-K/A filed on February 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10.36</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1">
              <w:r>
                <w:rPr>
                  <w:rStyle w:val="InternetLink"/>
                  <w:rFonts w:ascii="Times New Roman;Times;Serif" w:hAnsi="Times New Roman;Times;Serif"/>
                  <w:sz w:val="20"/>
                </w:rPr>
                <w:t>Form of Subscription Booklet (incorporated by reference to Exhibit 10.1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10.37</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2">
              <w:r>
                <w:rPr>
                  <w:rStyle w:val="InternetLink"/>
                  <w:rFonts w:ascii="Times New Roman;Times;Serif" w:hAnsi="Times New Roman;Times;Serif"/>
                  <w:sz w:val="20"/>
                </w:rPr>
                <w:t>Form of Pre-Funded Warrant (incorporated by reference to Exhibit 10.2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10.38</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3">
              <w:r>
                <w:rPr>
                  <w:rStyle w:val="InternetLink"/>
                  <w:rFonts w:ascii="Times New Roman;Times;Serif" w:hAnsi="Times New Roman;Times;Serif"/>
                  <w:sz w:val="20"/>
                </w:rPr>
                <w:t>Form of Share Consideration Escrow Agreement (incorporated by reference to Exhibit 10.4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10.39</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4">
              <w:r>
                <w:rPr>
                  <w:rStyle w:val="InternetLink"/>
                  <w:rFonts w:ascii="Times New Roman;Times;Serif" w:hAnsi="Times New Roman;Times;Serif"/>
                  <w:sz w:val="20"/>
                </w:rPr>
                <w:t>Form of Registration Rights Agreement (incorporated by reference to Exhibit 10.5 to the Current Report on Form 8-K filed on January 23,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5">
              <w:r>
                <w:rPr>
                  <w:rStyle w:val="InternetLink"/>
                  <w:rFonts w:ascii="Times New Roman;Times;Serif" w:hAnsi="Times New Roman;Times;Serif"/>
                  <w:sz w:val="20"/>
                </w:rPr>
                <w:t>Employment Offer Letter, by and between Banzai International, Inc. and Dean Ditto, effective July 2, 2025 (incorporated by reference to Exhibit 10.1 to the Current Report on Form 8-K filed on July 9,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10.41</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6">
              <w:r>
                <w:rPr>
                  <w:rStyle w:val="InternetLink"/>
                  <w:rFonts w:ascii="Times New Roman;Times;Serif" w:hAnsi="Times New Roman;Times;Serif"/>
                  <w:sz w:val="20"/>
                </w:rPr>
                <w:t>Form of Securities Purchase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7">
              <w:r>
                <w:rPr>
                  <w:rStyle w:val="InternetLink"/>
                  <w:rFonts w:ascii="Times New Roman;Times;Serif" w:hAnsi="Times New Roman;Times;Serif"/>
                  <w:sz w:val="20"/>
                </w:rPr>
                <w:t>Form of Registration Rights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10.43</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8">
              <w:r>
                <w:rPr>
                  <w:rStyle w:val="InternetLink"/>
                  <w:rFonts w:ascii="Times New Roman;Times;Serif" w:hAnsi="Times New Roman;Times;Serif"/>
                  <w:sz w:val="20"/>
                </w:rPr>
                <w:t>Form of Leak-Out Agreement dated June 27, 2025 (3)</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10.44</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79">
              <w:r>
                <w:rPr>
                  <w:rStyle w:val="InternetLink"/>
                  <w:rFonts w:ascii="Times New Roman;Times;Serif" w:hAnsi="Times New Roman;Times;Serif"/>
                  <w:sz w:val="20"/>
                </w:rPr>
                <w:t>Form of Securities Purchase Agreement dated May 22, 2024, between the Company and certain purchasers (incorporated by reference to Exhibit 10.1 to the Current Report on Form 8-K filed on May 28, 2024)</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10.45</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0">
              <w:r>
                <w:rPr>
                  <w:rStyle w:val="InternetLink"/>
                  <w:rFonts w:ascii="Times New Roman;Times;Serif" w:hAnsi="Times New Roman;Times;Serif"/>
                  <w:sz w:val="20"/>
                </w:rPr>
                <w:t>Exchange Agreement with Agile Capital Funding, LLC (incorporated by reference to Exhibit 10.1 to the Current Report on Form 8-K filed on December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1">
              <w:r>
                <w:rPr>
                  <w:rStyle w:val="InternetLink"/>
                  <w:rFonts w:ascii="Times New Roman;Times;Serif" w:hAnsi="Times New Roman;Times;Serif"/>
                  <w:sz w:val="20"/>
                </w:rPr>
                <w:t>Forbearance Agreement with Agile Capital Funding, LLC (incorporated by reference to Exhibit 10.2 to the Current Report on Form 8-K filed on December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10.47</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2">
              <w:r>
                <w:rPr>
                  <w:rStyle w:val="InternetLink"/>
                  <w:rFonts w:ascii="Times New Roman;Times;Serif" w:hAnsi="Times New Roman;Times;Serif"/>
                  <w:sz w:val="20"/>
                </w:rPr>
                <w:t>Side Letter to Loan Agreement with CP BF Lending, LLC dated October 10, 2025 (incorporated by reference to the Current Report on Form 8-K filed on October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10.48</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3">
              <w:r>
                <w:rPr>
                  <w:rStyle w:val="InternetLink"/>
                  <w:rFonts w:ascii="Times New Roman;Times;Serif" w:hAnsi="Times New Roman;Times;Serif"/>
                  <w:sz w:val="20"/>
                </w:rPr>
                <w:t>Amendment to Side Letter dated October 15, 2025 (incorporated by reference to the Current Report on Form 8-K filed on October 17, 2025)</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10.49</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4">
              <w:r>
                <w:rPr>
                  <w:rStyle w:val="InternetLink"/>
                  <w:rFonts w:ascii="Times New Roman;Times;Serif" w:hAnsi="Times New Roman;Times;Serif"/>
                  <w:sz w:val="20"/>
                </w:rPr>
                <w:t>Form of Subsequent Exchange Agreement (incorporated by reference to Exhibit 10.3 the Current Report on Form 8-K/A filed on May 5, 2026)</w:t>
              </w:r>
            </w:hyperlink>
          </w:p>
        </w:tc>
      </w:tr>
      <w:tr>
        <w:trPr/>
        <w:tc>
          <w:tcPr>
            <w:tcW w:w="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70" w:type="dxa"/>
            <w:tcBorders/>
            <w:shd w:fill="FFFFFF" w:val="clear"/>
            <w:vAlign w:val="center"/>
          </w:tcPr>
          <w:p>
            <w:pPr>
              <w:pStyle w:val="TableContents"/>
              <w:bidi w:val="0"/>
              <w:spacing w:before="0" w:after="283"/>
              <w:jc w:val="both"/>
              <w:rPr/>
            </w:pPr>
            <w:r>
              <w:rPr/>
              <w:t> </w:t>
            </w:r>
          </w:p>
        </w:tc>
      </w:tr>
      <w:tr>
        <w:trPr/>
        <w:tc>
          <w:tcPr>
            <w:tcW w:w="575" w:type="dxa"/>
            <w:tcBorders/>
            <w:shd w:fill="CCEEFF" w:val="clear"/>
            <w:vAlign w:val="center"/>
          </w:tcPr>
          <w:p>
            <w:pPr>
              <w:pStyle w:val="TableContents"/>
              <w:bidi w:val="0"/>
              <w:spacing w:before="0" w:after="283"/>
              <w:jc w:val="left"/>
              <w:rPr/>
            </w:pPr>
            <w:r>
              <w:rPr/>
              <w:t>10.50</w:t>
            </w:r>
          </w:p>
        </w:tc>
        <w:tc>
          <w:tcPr>
            <w:tcW w:w="60" w:type="dxa"/>
            <w:tcBorders/>
            <w:shd w:fill="CCEEFF" w:val="clear"/>
            <w:vAlign w:val="center"/>
          </w:tcPr>
          <w:p>
            <w:pPr>
              <w:pStyle w:val="TableContents"/>
              <w:bidi w:val="0"/>
              <w:spacing w:before="0" w:after="283"/>
              <w:jc w:val="left"/>
              <w:rPr/>
            </w:pPr>
            <w:r>
              <w:rPr/>
              <w:t> </w:t>
            </w:r>
          </w:p>
        </w:tc>
        <w:tc>
          <w:tcPr>
            <w:tcW w:w="9570" w:type="dxa"/>
            <w:tcBorders/>
            <w:shd w:fill="CCEEFF" w:val="clear"/>
            <w:vAlign w:val="center"/>
          </w:tcPr>
          <w:p>
            <w:pPr>
              <w:pStyle w:val="TableContents"/>
              <w:bidi w:val="0"/>
              <w:spacing w:before="0" w:after="283"/>
              <w:jc w:val="both"/>
              <w:rPr/>
            </w:pPr>
            <w:hyperlink r:id="rId85">
              <w:r>
                <w:rPr>
                  <w:rStyle w:val="InternetLink"/>
                </w:rPr>
                <w:t>Side Letter to Loan Agreement with CP BF Lending, LLC dated May 15, 2026 (incorporated by reference to the Current Report on Form 8-K/A filed on May 18, 2026)</w:t>
              </w:r>
            </w:hyperlink>
          </w:p>
        </w:tc>
      </w:tr>
    </w:tbl>
    <w:p>
      <w:pPr>
        <w:pStyle w:val="TextBody"/>
        <w:bidi w:val="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
        <w:gridCol w:w="60"/>
        <w:gridCol w:w="9389"/>
      </w:tblGrid>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pPr>
            <w:hyperlink r:id="rId86">
              <w:r>
                <w:rPr>
                  <w:rStyle w:val="InternetLink"/>
                  <w:rFonts w:ascii="Times New Roman;Times;Serif" w:hAnsi="Times New Roman;Times;Serif"/>
                  <w:sz w:val="20"/>
                </w:rPr>
                <w:t>List of Subsidiaries (incorporated by reference to Exhibit 21.1 to the Annual Report on Form 10-K filed on March 31, 2026).</w:t>
              </w:r>
            </w:hyperlink>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pPr>
            <w:hyperlink w:anchor="ex23-1.htm">
              <w:r>
                <w:rPr>
                  <w:rStyle w:val="InternetLink"/>
                  <w:rFonts w:ascii="Times New Roman;Times;Serif" w:hAnsi="Times New Roman;Times;Serif"/>
                  <w:sz w:val="20"/>
                </w:rPr>
                <w:t>Consent of Marcum, LLP, independent registered public accounting firm for the Company.*</w:t>
              </w:r>
            </w:hyperlink>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pPr>
            <w:hyperlink w:anchor="ex23-2.htm">
              <w:r>
                <w:rPr>
                  <w:rStyle w:val="InternetLink"/>
                  <w:rFonts w:ascii="Times New Roman;Times;Serif" w:hAnsi="Times New Roman;Times;Serif"/>
                  <w:sz w:val="20"/>
                </w:rPr>
                <w:t>Consent of Bush &amp; Associates CPA LLC, independent registered public accounting firm for the Company*</w:t>
              </w:r>
            </w:hyperlink>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pPr>
            <w:hyperlink w:anchor="ex5-1.htm">
              <w:r>
                <w:rPr>
                  <w:rStyle w:val="InternetLink"/>
                  <w:rFonts w:ascii="Times New Roman;Times;Serif" w:hAnsi="Times New Roman;Times;Serif"/>
                  <w:sz w:val="20"/>
                </w:rPr>
                <w:t>Consent of Hunter Taubman Fischer &amp; Li LLC (included in Exhibit 5.1).</w:t>
              </w:r>
            </w:hyperlink>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pPr>
            <w:hyperlink w:anchor="TM_006">
              <w:r>
                <w:rPr>
                  <w:rStyle w:val="InternetLink"/>
                  <w:rFonts w:ascii="Times New Roman;Times;Serif" w:hAnsi="Times New Roman;Times;Serif"/>
                  <w:sz w:val="20"/>
                </w:rPr>
                <w:t>Power of Attorney (Included on signature page)*</w:t>
              </w:r>
            </w:hyperlink>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r>
        <w:trPr/>
        <w:tc>
          <w:tcPr>
            <w:tcW w:w="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89" w:type="dxa"/>
            <w:tcBorders/>
            <w:shd w:fill="FFFFFF" w:val="clear"/>
            <w:vAlign w:val="center"/>
          </w:tcPr>
          <w:p>
            <w:pPr>
              <w:pStyle w:val="TableContents"/>
              <w:bidi w:val="0"/>
              <w:spacing w:before="0" w:after="283"/>
              <w:jc w:val="both"/>
              <w:rPr/>
            </w:pPr>
            <w:r>
              <w:rPr/>
              <w:t> </w:t>
            </w:r>
          </w:p>
        </w:tc>
      </w:tr>
      <w:tr>
        <w:trPr/>
        <w:tc>
          <w:tcPr>
            <w:tcW w:w="7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9389" w:type="dxa"/>
            <w:tcBorders/>
            <w:shd w:fill="CCEEFF" w:val="clear"/>
            <w:vAlign w:val="center"/>
          </w:tcPr>
          <w:p>
            <w:pPr>
              <w:pStyle w:val="TableContents"/>
              <w:bidi w:val="0"/>
              <w:spacing w:before="0" w:after="283"/>
              <w:jc w:val="both"/>
              <w:rPr/>
            </w:pPr>
            <w:hyperlink w:anchor="ex107.htm">
              <w:r>
                <w:rPr>
                  <w:rStyle w:val="InternetLink"/>
                  <w:rFonts w:ascii="Times New Roman;Times;Serif" w:hAnsi="Times New Roman;Times;Serif"/>
                  <w:sz w:val="20"/>
                </w:rPr>
                <w:t>Filing Fee Table*</w:t>
              </w:r>
            </w:hyperlink>
          </w:p>
        </w:tc>
      </w:tr>
    </w:tbl>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60"/>
        <w:gridCol w:w="90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Registration Statement on Form S-1 filed with the SEC on September 20, 2024.</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September 25, 2024.</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July 3,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8-K/A filed with the SEC on August 8,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August 28, 2025.</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Current Report on Form 8-K filed with the SEC on August 22,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schedules and exhibits to this agreement have been omitted pursuant to Item 601(b)(2) of Regulation S-K. A copy of any omitted schedule and/or exhibit will be furnished to the SEC upon request.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p>
      <w:pPr>
        <w:pStyle w:val="TextBody"/>
        <w:bidi w:val="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25"/>
        <w:gridCol w:w="1265"/>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17.</w:t>
            </w:r>
          </w:p>
        </w:tc>
        <w:tc>
          <w:tcPr>
            <w:tcW w:w="12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Undertakings. </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15"/>
        <w:gridCol w:w="6215"/>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liability under the Securities Act to any purchaser, each prospectus filed pursuant to Rule 424(b) as part of a registration statement relating to an offering, other than registration statements filed in reliance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r>
        <w:trPr/>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100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320"/>
        <w:gridCol w:w="8840"/>
      </w:tblGrid>
      <w:tr>
        <w:trPr/>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15"/>
        <w:gridCol w:w="416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bl>
    <w:p>
      <w:pPr>
        <w:pStyle w:val="TextBody"/>
        <w:bidi w:val="0"/>
        <w:spacing w:before="0" w:after="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on Form S-1 to be signed on its behalf by the undersigned, thereunto duly authorized in the City of Bainbridge Island, State of Washington on June 4, 2026.</w:t>
      </w:r>
    </w:p>
    <w:p>
      <w:pPr>
        <w:pStyle w:val="TextBody"/>
        <w:bidi w:val="0"/>
        <w:spacing w:before="0" w:after="0"/>
        <w:ind w:left="0" w:right="0" w:firstLine="360"/>
        <w:jc w:val="both"/>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629"/>
        <w:gridCol w:w="2180"/>
        <w:gridCol w:w="75"/>
      </w:tblGrid>
      <w:tr>
        <w:trPr/>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Dean Ditto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3216" w:name="TM_006"/>
      <w:bookmarkEnd w:id="3216"/>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is noted with an asterisk below constitutes and appoints Joseph Davy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U.S. Securities and Exchange Commission thereunder, in connection with the registration under the Securities Act of securities of the registrant, including, without limitation, the power and authority to sign the name of each of the undersigned in the capacities indicated below to the Registration Statement on Form S-1 (the “Registration Statement”) to be filed with the U.S.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and on the date indicated.</w:t>
      </w:r>
    </w:p>
    <w:p>
      <w:pPr>
        <w:pStyle w:val="TextBody"/>
        <w:bidi w:val="0"/>
        <w:spacing w:before="0" w:after="0"/>
        <w:ind w:left="0" w:right="0" w:firstLine="360"/>
        <w:jc w:val="both"/>
        <w:rPr>
          <w:caps w:val="false"/>
          <w:smallCaps w:val="false"/>
        </w:rPr>
      </w:pPr>
      <w:r>
        <w:rPr>
          <w:caps w:val="false"/>
          <w:smallCaps w:val="false"/>
        </w:rPr>
        <w:t> </w:t>
      </w:r>
    </w:p>
    <w:tbl>
      <w:tblPr>
        <w:tblW w:w="7515" w:type="dxa"/>
        <w:jc w:val="left"/>
        <w:tblInd w:w="0" w:type="dxa"/>
        <w:tblLayout w:type="fixed"/>
        <w:tblCellMar>
          <w:top w:w="0" w:type="dxa"/>
          <w:left w:w="0" w:type="dxa"/>
          <w:bottom w:w="28" w:type="dxa"/>
          <w:right w:w="0" w:type="dxa"/>
        </w:tblCellMar>
      </w:tblPr>
      <w:tblGrid>
        <w:gridCol w:w="1310"/>
        <w:gridCol w:w="60"/>
        <w:gridCol w:w="5015"/>
        <w:gridCol w:w="60"/>
        <w:gridCol w:w="1070"/>
      </w:tblGrid>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1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440"/>
        <w:gridCol w:w="2495"/>
        <w:gridCol w:w="7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Attorney-in-Fact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217" w:name="ex5-1.htm"/>
      <w:bookmarkStart w:id="3218" w:name="ksex51"/>
      <w:bookmarkEnd w:id="3217"/>
      <w:bookmarkEnd w:id="32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57600" cy="1266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7"/>
                    <a:stretch>
                      <a:fillRect/>
                    </a:stretch>
                  </pic:blipFill>
                  <pic:spPr bwMode="auto">
                    <a:xfrm>
                      <a:off x="0" y="0"/>
                      <a:ext cx="3657600" cy="126682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Suite 250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Washington 98110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United States securities counsel to 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of a registration statement on Form S-1, filed by the Company on June 4,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Registration Statement relates to the resale, from time to time, by the selling securityholders listed therein (the “</w:t>
      </w:r>
      <w:r>
        <w:rPr>
          <w:rFonts w:ascii="Times New Roman;Times;Serif" w:hAnsi="Times New Roman;Times;Serif"/>
          <w:b/>
          <w:i w:val="false"/>
          <w:caps w:val="false"/>
          <w:smallCaps w:val="false"/>
          <w:sz w:val="20"/>
        </w:rPr>
        <w:t>Selling Stockholders</w:t>
      </w:r>
      <w:r>
        <w:rPr>
          <w:rFonts w:ascii="Times New Roman;Times;Serif" w:hAnsi="Times New Roman;Times;Serif"/>
          <w:b w:val="false"/>
          <w:i w:val="false"/>
          <w:caps w:val="false"/>
          <w:smallCaps w:val="false"/>
          <w:sz w:val="20"/>
        </w:rPr>
        <w:t>”) of up to 3,731,746 shares (the “</w:t>
      </w:r>
      <w:r>
        <w:rPr>
          <w:rFonts w:ascii="Times New Roman;Times;Serif" w:hAnsi="Times New Roman;Times;Serif"/>
          <w:b/>
          <w:i w:val="false"/>
          <w:caps w:val="false"/>
          <w:smallCaps w:val="false"/>
          <w:sz w:val="20"/>
        </w:rPr>
        <w:t>Resale Shares</w:t>
      </w:r>
      <w:r>
        <w:rPr>
          <w:rFonts w:ascii="Times New Roman;Times;Serif" w:hAnsi="Times New Roman;Times;Serif"/>
          <w:b w:val="false"/>
          <w:i w:val="false"/>
          <w:caps w:val="false"/>
          <w:smallCaps w:val="false"/>
          <w:sz w:val="20"/>
        </w:rPr>
        <w:t>”) of the Company’s Class A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Shares consist of (i) 2,309,107 shares of Class A Common Stock issuable upon the conversion of a senior secured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the original principal amount of $11,000,000 plus accrued interest issued pursuant to a securities purchase agreement, dated June 27, 2025, by and between the Company and an institutional investor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(the shares of Common Stock issuable pursuant to the terms of the Note, including, without limitation, upon conversion or otherwise, collectively,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(ii) shares of Class A Common Stock issuable upon the exercise of a warrant (the “</w:t>
      </w:r>
      <w:r>
        <w:rPr>
          <w:rFonts w:ascii="Times New Roman;Times;Serif" w:hAnsi="Times New Roman;Times;Serif"/>
          <w:b/>
          <w:i w:val="false"/>
          <w:caps w:val="false"/>
          <w:smallCaps w:val="false"/>
          <w:sz w:val="20"/>
        </w:rPr>
        <w:t>Buyer Warrant</w:t>
      </w:r>
      <w:r>
        <w:rPr>
          <w:rFonts w:ascii="Times New Roman;Times;Serif" w:hAnsi="Times New Roman;Times;Serif"/>
          <w:b w:val="false"/>
          <w:i w:val="false"/>
          <w:caps w:val="false"/>
          <w:smallCaps w:val="false"/>
          <w:sz w:val="20"/>
        </w:rPr>
        <w:t>”) to purchase up to 1,422,639 shares of Class A Common Stock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also issued pursuant to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authentic originals of such documents; (iv) each natural person signing any document reviewed by us had the legal capacity to do so; (v) any certificates representing the Resale Shares have been or will be duly executed and delivered by the Company; and (vi) the Buyer Warrant has been duly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 (i) the Company has been duly incorporated, and is validly existing and in good standing under the laws of its jurisdiction of incorporation; (ii) the Company has the requisite legal status and legal capacity under the laws of the jurisdiction of its incorporation; (iii) the Company has complied and will comply with all aspects of the laws of the jurisdiction of its incorporation, in connection with the transactions contemplated by, and the performance of its obligations under the Securities Purchase Agreement, the Note, and the Buyer Warrant; and (iv) the Company has the corporate power and authority to execute, deliver and perform all its obligations under the Registration Statement, the Securities Purchase Agreement, the Note, and the Buyer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matter, we have examined the Registration Statement, including the exhibits thereto, and such other documents, corporate records, and instruments and have examined such laws and regulations as we have deemed necessary for purposes of rendering the opinions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10022| Office: (212) 530-2210 | Fax: (212) 202-6380</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657600" cy="1266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8"/>
                    <a:stretch>
                      <a:fillRect/>
                    </a:stretch>
                  </pic:blipFill>
                  <pic:spPr bwMode="auto">
                    <a:xfrm>
                      <a:off x="0" y="0"/>
                      <a:ext cx="3657600" cy="1266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advised that we are members of the Bar of the State of New York. In rendering the opinions set forth below, our examination of matters of law has been limited to, and we express no opinion as to the laws of any state or jurisdiction other than, (i) the applicable laws of the State of New York, (ii)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as the same appear on the date hereof at http://www.delcode.state.de.us/ and (iii) the federal securities laws of the United States of America ((i), (ii) and (iii) together,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We express no opinion concerning any matters respecting or affected by any laws other than laws that a lawyer in New York exercising customary professional diligence would reasonably recognize as being directly applicable to the Company, the Securities Purchase Agreement, the Note, the Buyer Warrant, and the transactions contemplated thereby or any of them. Without limiting the generality of the foregoing, we express no opinion herein as to any body of law of the State of Delaware other than the DGCL. When any opinion is given herein with respect to an issue where any law other than the laws of the State of New York may apply, except to the extent the DGCL or U.S. federal law would apply, the opinion assumes that consideration of the laws of such jurisdiction would lead to the same result as consideration of the laws of the State of New York. For purposes of our opinions, we have assumed that the Securities Purchase Agreement and related documents are governed exclusively by the internal, substantive laws and judicial interpretations of the State of New York. We express no opinion as to any county, municipal, city, town or village ordinance, rule, regulation, or administrative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having regard to legal considerations which we deem relevant, and subject to the qualifications, limitations and assumptions set forth herein, we are of the opinion that when the Registration Statement becomes effective under the Securities Act and when the Resale Shares are sold and transferred in accordance with the Registration Statement, the Resale Shares will have been duly authorized for issuance and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 (ii) 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 (iv) the effect of course of dealing, course of performance, oral agreements or the like that would modify the terms of an agreement or the respective rights or obligations of the parties under 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in connection with the Registration Statement and may not be relied upon for any other purpose without our prior written consent in each instance. Further, no portion of this letter may be quoted, circulated, or referred to in any other document for any other purpose without our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use of our name as it appears under the caption “Legal Matters” in the prospectus forming part of the Registration Statement. In giving such consent, we do not thereby admit that we come within the category of persons whose consent is required under Section 7 of the Securities Act or the rules and regulations of the U.S. Securities and Exchange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75"/>
        <w:gridCol w:w="28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Hunter Taubman Fischer &amp; Li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10022| Office: (212) 530-2210 | Fax: (212) 202-6380</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219" w:name="ex23-1.htm"/>
      <w:bookmarkStart w:id="3220" w:name="ksex231"/>
      <w:bookmarkEnd w:id="3219"/>
      <w:bookmarkEnd w:id="32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our report dated April 15, 2025, except for Note 1 as to which the data is September 12, 2025, relating to the financial statements of Banzai International, Inc. for the year ended December 31, 2024, before the effects of the retrospective adjustments related to the 1-for-20 reverse stock split of Banzai International, Inc.’s Class A and Class B common stock, effective May 8, 2026, as disclosed in Note 1 to the financial statements, appearing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21" w:name="ex23-2.htm"/>
      <w:bookmarkStart w:id="3222" w:name="ksex232"/>
      <w:bookmarkEnd w:id="3221"/>
      <w:bookmarkEnd w:id="32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095875" cy="1038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9"/>
                    <a:stretch>
                      <a:fillRect/>
                    </a:stretch>
                  </pic:blipFill>
                  <pic:spPr bwMode="auto">
                    <a:xfrm>
                      <a:off x="0" y="0"/>
                      <a:ext cx="5095875" cy="1038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the Registration Statement on Form S-1 of Banzai International, Inc. (the “Registrant”) of our audit report dated March 31, 2026, except for Note 1 (stock split adjustment), as to which the date is June 4, 2026 relating to the consolidated financial statements of Banzai International, Inc. as of December 31, 2025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inclusion of the split-adjusted per-share data (including earnings per share, common shares outstanding, and other per-share amounts) for the years ended December 31, 2025 and December 31, 2024, which has been retrospectively adjusted to give effect to the 1-for-20 reverse stock split of the Registrant’s Class A and Class B common stock effective May 8, 2026. With respect to the December 31, 2024 split-adjusted per-share data included in the Registration Statement, we consent to our name being referenced in connection with the retrospective split-adjustment calculation applied to the per-share amounts for the year ended December 31, 2024, as presented in the financial statements included in the Registration Statement. We do not assume responsibility for the underlying financial statements for the year ended December 31, 2024 or the audit opinion thereon expressed by the predecessor auditors, and our consent is limited solely to the reverse stock split adjustment impact on the per-share data for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 (PCAOB 6797)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 S Eastern Ave., Suite 280, Las Vegas, NV 89123 ● 702.703.5979 ● www.bushandassociatescpas.com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23" w:name="ex107.htm"/>
      <w:bookmarkStart w:id="3224" w:name="ksex107"/>
      <w:bookmarkStart w:id="3225" w:name="ex107.htm"/>
      <w:bookmarkStart w:id="3226" w:name="ksex107"/>
      <w:bookmarkEnd w:id="3225"/>
      <w:bookmarkEnd w:id="3226"/>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Banzai International,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126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Shares of Common Stock, par value $0.0001 per share ("Common Stock") underlying the Notes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2,309,107 </w:t>
            </w:r>
          </w:p>
        </w:tc>
        <w:tc>
          <w:tcPr>
            <w:tcW w:w="1156" w:type="dxa"/>
            <w:tcBorders/>
            <w:shd w:fill="E7E7E2" w:val="clear"/>
            <w:vAlign w:val="center"/>
          </w:tcPr>
          <w:p>
            <w:pPr>
              <w:pStyle w:val="TableContents"/>
              <w:bidi w:val="0"/>
              <w:spacing w:before="0" w:after="283"/>
              <w:jc w:val="right"/>
              <w:rPr/>
            </w:pPr>
            <w:r>
              <w:rPr/>
              <w:t xml:space="preserve">$ 3.303 </w:t>
            </w:r>
          </w:p>
        </w:tc>
        <w:tc>
          <w:tcPr>
            <w:tcW w:w="1666" w:type="dxa"/>
            <w:tcBorders/>
            <w:shd w:fill="E7E7E2" w:val="clear"/>
            <w:vAlign w:val="center"/>
          </w:tcPr>
          <w:p>
            <w:pPr>
              <w:pStyle w:val="TableContents"/>
              <w:bidi w:val="0"/>
              <w:spacing w:before="0" w:after="283"/>
              <w:jc w:val="right"/>
              <w:rPr/>
            </w:pPr>
            <w:r>
              <w:rPr/>
              <w:t xml:space="preserve">$ 7,626,980.42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$ 1,053.29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Shares of Common Stock underlying Buyer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1,422,639 </w:t>
            </w:r>
          </w:p>
        </w:tc>
        <w:tc>
          <w:tcPr>
            <w:tcW w:w="1156" w:type="dxa"/>
            <w:tcBorders/>
            <w:shd w:fill="E7E7E2" w:val="clear"/>
            <w:vAlign w:val="center"/>
          </w:tcPr>
          <w:p>
            <w:pPr>
              <w:pStyle w:val="TableContents"/>
              <w:bidi w:val="0"/>
              <w:spacing w:before="0" w:after="283"/>
              <w:jc w:val="right"/>
              <w:rPr/>
            </w:pPr>
            <w:r>
              <w:rPr/>
              <w:t xml:space="preserve">$ 3.303 </w:t>
            </w:r>
          </w:p>
        </w:tc>
        <w:tc>
          <w:tcPr>
            <w:tcW w:w="1666" w:type="dxa"/>
            <w:tcBorders/>
            <w:shd w:fill="E7E7E2" w:val="clear"/>
            <w:vAlign w:val="center"/>
          </w:tcPr>
          <w:p>
            <w:pPr>
              <w:pStyle w:val="TableContents"/>
              <w:bidi w:val="0"/>
              <w:spacing w:before="0" w:after="283"/>
              <w:jc w:val="right"/>
              <w:rPr/>
            </w:pPr>
            <w:r>
              <w:rPr/>
              <w:t xml:space="preserve">$ 4,698,976.62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$ 648.93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227" w:name="MaxAggtOfferingPrice"/>
            <w:bookmarkEnd w:id="3227"/>
            <w:r>
              <w:rPr/>
              <w:t xml:space="preserve">$ 12,325,957.04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228" w:name="TotalFeeAmt"/>
            <w:bookmarkEnd w:id="3228"/>
            <w:r>
              <w:rPr/>
              <w:t xml:space="preserve">$ 1,702.22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29" w:name="TotalPreviouslyPaidAmt"/>
            <w:bookmarkEnd w:id="32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30" w:name="TotalOffsetAmt"/>
            <w:bookmarkEnd w:id="32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31" w:name="NetFeeAmt"/>
            <w:bookmarkEnd w:id="3231"/>
            <w:r>
              <w:rPr/>
              <w:t xml:space="preserve">$ 1,702.22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6"/>
        <w:gridCol w:w="8706"/>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Class A Common Stock of Banzai International,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Registrant's Common Stock. Calculated in accordance with Rule 457(g) under the Securities Act, based on the conversion price of the Notes, which equals $3.303 per share.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Class A Common Stock of Banzai International,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Registrant's Common Stock. Calculated in accordance with Rule 457(g) under the Securities Act, based on the exercise price of the Buyer Warrants, which equals $3.303 per share.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826011/000149315225012412/ex1-1.htm" TargetMode="External"/><Relationship Id="rId5" Type="http://schemas.openxmlformats.org/officeDocument/2006/relationships/hyperlink" Target="https://www.sec.gov/Archives/edgar/data/1826011/000119312523300033/d449527dex31.htm" TargetMode="External"/><Relationship Id="rId6" Type="http://schemas.openxmlformats.org/officeDocument/2006/relationships/hyperlink" Target="https://www.sec.gov/Archives/edgar/data/1826011/000119312523300033/d449527dex32.htm" TargetMode="External"/><Relationship Id="rId7" Type="http://schemas.openxmlformats.org/officeDocument/2006/relationships/hyperlink" Target="https://www.sec.gov/Archives/edgar/data/1826011/000149315225009079/ex3-2.htm" TargetMode="External"/><Relationship Id="rId8" Type="http://schemas.openxmlformats.org/officeDocument/2006/relationships/hyperlink" Target="https://www.sec.gov/Archives/edgar/data/1826011/000149315224036413/ex3-1.htm" TargetMode="External"/><Relationship Id="rId9" Type="http://schemas.openxmlformats.org/officeDocument/2006/relationships/hyperlink" Target="https://www.sec.gov/Archives/edgar/data/1826011/000149315225028196/ex3-1.htm" TargetMode="External"/><Relationship Id="rId10" Type="http://schemas.openxmlformats.org/officeDocument/2006/relationships/hyperlink" Target="https://www.sec.gov/Archives/edgar/data/1826011/000149315225009079/ex3-1.htm" TargetMode="External"/><Relationship Id="rId11" Type="http://schemas.openxmlformats.org/officeDocument/2006/relationships/hyperlink" Target="https://www.sec.gov/Archives/edgar/data/1826011/000119312523300033/d449527dex41.htm" TargetMode="External"/><Relationship Id="rId12" Type="http://schemas.openxmlformats.org/officeDocument/2006/relationships/hyperlink" Target="https://www.sec.gov/Archives/edgar/data/1826011/000119312523300033/d449527dex42.htm" TargetMode="External"/><Relationship Id="rId13" Type="http://schemas.openxmlformats.org/officeDocument/2006/relationships/hyperlink" Target="https://www.sec.gov/Archives/edgar/data/1826011/000119312523300033/d449527dex43.htm" TargetMode="External"/><Relationship Id="rId14" Type="http://schemas.openxmlformats.org/officeDocument/2006/relationships/hyperlink" Target="https://www.sec.gov/Archives/edgar/data/1826011/000121390020044825/ea132294ex4-1_7gcholdings.htm" TargetMode="External"/><Relationship Id="rId15" Type="http://schemas.openxmlformats.org/officeDocument/2006/relationships/hyperlink" Target="https://www.sec.gov/Archives/edgar/data/1826011/000119312523225201/d441541dex47.htm" TargetMode="External"/><Relationship Id="rId16" Type="http://schemas.openxmlformats.org/officeDocument/2006/relationships/hyperlink" Target="https://www.sec.gov/Archives/edgar/data/1826011/000119312523300033/d449527dex45.htm" TargetMode="External"/><Relationship Id="rId17" Type="http://schemas.openxmlformats.org/officeDocument/2006/relationships/hyperlink" Target="https://www.sec.gov/Archives/edgar/data/1826011/000119312523300033/d449527dex47.htm" TargetMode="External"/><Relationship Id="rId18" Type="http://schemas.openxmlformats.org/officeDocument/2006/relationships/hyperlink" Target="https://www.sec.gov/Archives/edgar/data/1826011/000119312523297160/d564833dex102.htm" TargetMode="External"/><Relationship Id="rId19" Type="http://schemas.openxmlformats.org/officeDocument/2006/relationships/hyperlink" Target="https://www.sec.gov/Archives/edgar/data/1826011/000119312524023808/d567008dex411.htm" TargetMode="External"/><Relationship Id="rId20" Type="http://schemas.openxmlformats.org/officeDocument/2006/relationships/hyperlink" Target="https://www.sec.gov/Archives/edgar/data/1826011/000095017024039543/bnzi-ex4_10.htm" TargetMode="External"/><Relationship Id="rId21" Type="http://schemas.openxmlformats.org/officeDocument/2006/relationships/hyperlink" Target="https://www.sec.gov/Archives/edgar/data/1826011/000119312524139915/d842344dex992.htm" TargetMode="External"/><Relationship Id="rId22" Type="http://schemas.openxmlformats.org/officeDocument/2006/relationships/hyperlink" Target="https://www.sec.gov/Archives/edgar/data/1826011/000119312524148209/d647173dex991.htm" TargetMode="External"/><Relationship Id="rId23" Type="http://schemas.openxmlformats.org/officeDocument/2006/relationships/hyperlink" Target="https://www.sec.gov/Archives/edgar/data/1826011/000149315224038146/ex4-1.htm" TargetMode="External"/><Relationship Id="rId24" Type="http://schemas.openxmlformats.org/officeDocument/2006/relationships/hyperlink" Target="https://www.sec.gov/Archives/edgar/data/1826011/000119312524148209/d647173dex103.htm" TargetMode="External"/><Relationship Id="rId25" Type="http://schemas.openxmlformats.org/officeDocument/2006/relationships/hyperlink" Target="https://www.sec.gov/Archives/edgar/data/1826011/000149315224038146/ex10-27.htm" TargetMode="External"/><Relationship Id="rId26" Type="http://schemas.openxmlformats.org/officeDocument/2006/relationships/hyperlink" Target="https://www.sec.gov/Archives/edgar/data/1826011/000149315224038146/ex10-26.htm" TargetMode="External"/><Relationship Id="rId27" Type="http://schemas.openxmlformats.org/officeDocument/2006/relationships/hyperlink" Target="https://www.sec.gov/Archives/edgar/data/1826011/000149315224037198/ex4-21.htm" TargetMode="External"/><Relationship Id="rId28" Type="http://schemas.openxmlformats.org/officeDocument/2006/relationships/hyperlink" Target="https://www.sec.gov/Archives/edgar/data/1826011/000149315224037198/ex4-22.htm" TargetMode="External"/><Relationship Id="rId29" Type="http://schemas.openxmlformats.org/officeDocument/2006/relationships/hyperlink" Target="https://www.sec.gov/Archives/edgar/data/1826011/000149315224037198/ex4-23.htm" TargetMode="External"/><Relationship Id="rId30" Type="http://schemas.openxmlformats.org/officeDocument/2006/relationships/hyperlink" Target="https://www.sec.gov/Archives/edgar/data/1826011/000149315224037198/ex4-24.htm" TargetMode="External"/><Relationship Id="rId31" Type="http://schemas.openxmlformats.org/officeDocument/2006/relationships/hyperlink" Target="https://www.sec.gov/Archives/edgar/data/1826011/000149315225011764/ex4-1.htm" TargetMode="External"/><Relationship Id="rId32" Type="http://schemas.openxmlformats.org/officeDocument/2006/relationships/hyperlink" Target="https://www.sec.gov/Archives/edgar/data/1826011/000164117225017861/ex4-2.htm" TargetMode="External"/><Relationship Id="rId33" Type="http://schemas.openxmlformats.org/officeDocument/2006/relationships/hyperlink" Target="https://www.sec.gov/Archives/edgar/data/1826011/000164117225017861/ex4-1.htm" TargetMode="External"/><Relationship Id="rId34" Type="http://schemas.openxmlformats.org/officeDocument/2006/relationships/hyperlink" Target="https://www.sec.gov/Archives/edgar/data/1826011/000164117225017861/ex4-2.htm" TargetMode="External"/><Relationship Id="rId35" Type="http://schemas.openxmlformats.org/officeDocument/2006/relationships/hyperlink" Target="https://www.sec.gov/Archives/edgar/data/1826011/000119312524148209/d647173dex104.htm" TargetMode="External"/><Relationship Id="rId36" Type="http://schemas.openxmlformats.org/officeDocument/2006/relationships/hyperlink" Target="https://www.sec.gov/Archives/edgar/data/1826011/000119312526187087/bnzi-ex3_1.htm" TargetMode="External"/><Relationship Id="rId37" Type="http://schemas.openxmlformats.org/officeDocument/2006/relationships/hyperlink" Target="https://www.sec.gov/Archives/edgar/data/1826011/000121390020044825/ea132294ex10-1_7gcholdings.htm" TargetMode="External"/><Relationship Id="rId38" Type="http://schemas.openxmlformats.org/officeDocument/2006/relationships/hyperlink" Target="https://www.sec.gov/Archives/edgar/data/1826011/000121390020044825/ea132294ex10-5_7gcholdings.htm" TargetMode="External"/><Relationship Id="rId39" Type="http://schemas.openxmlformats.org/officeDocument/2006/relationships/hyperlink" Target="https://www.sec.gov/Archives/edgar/data/1826011/000119312523300033/d449527dex106.htm" TargetMode="External"/><Relationship Id="rId40" Type="http://schemas.openxmlformats.org/officeDocument/2006/relationships/hyperlink" Target="https://www.sec.gov/Archives/edgar/data/1826011/000119312524076619/d810637dex991.htm" TargetMode="External"/><Relationship Id="rId41" Type="http://schemas.openxmlformats.org/officeDocument/2006/relationships/hyperlink" Target="https://www.sec.gov/Archives/edgar/data/1826011/000119312524076619/d810637dex992.htm" TargetMode="External"/><Relationship Id="rId42" Type="http://schemas.openxmlformats.org/officeDocument/2006/relationships/hyperlink" Target="https://www.sec.gov/Archives/edgar/data/1826011/000119312523225201/d441541dex1016.htm" TargetMode="External"/><Relationship Id="rId43" Type="http://schemas.openxmlformats.org/officeDocument/2006/relationships/hyperlink" Target="https://www.sec.gov/Archives/edgar/data/1826011/000119312523225201/d441541dex1018.htm" TargetMode="External"/><Relationship Id="rId44" Type="http://schemas.openxmlformats.org/officeDocument/2006/relationships/hyperlink" Target="https://www.sec.gov/Archives/edgar/data/1826011/000119312523250809/d548057dex101.htm" TargetMode="External"/><Relationship Id="rId45" Type="http://schemas.openxmlformats.org/officeDocument/2006/relationships/hyperlink" Target="https://www.sec.gov/Archives/edgar/data/1826011/000119312523297160/d564833dex101.htm" TargetMode="External"/><Relationship Id="rId46" Type="http://schemas.openxmlformats.org/officeDocument/2006/relationships/hyperlink" Target="https://www.sec.gov/Archives/edgar/data/1826011/000119312523297160/d564833dex103.htm" TargetMode="External"/><Relationship Id="rId47" Type="http://schemas.openxmlformats.org/officeDocument/2006/relationships/hyperlink" Target="https://www.sec.gov/Archives/edgar/data/1826011/000119312523300033/d449527dex105.htm" TargetMode="External"/><Relationship Id="rId48" Type="http://schemas.openxmlformats.org/officeDocument/2006/relationships/hyperlink" Target="https://www.sec.gov/Archives/edgar/data/1826011/000119312523300033/d449527dex108.htm" TargetMode="External"/><Relationship Id="rId49" Type="http://schemas.openxmlformats.org/officeDocument/2006/relationships/hyperlink" Target="https://www.sec.gov/Archives/edgar/data/1826011/000119312524023808/d567008dex1026.htm" TargetMode="External"/><Relationship Id="rId50" Type="http://schemas.openxmlformats.org/officeDocument/2006/relationships/hyperlink" Target="https://www.sec.gov/Archives/edgar/data/1826011/000119312524023808/d567008dex1027.htm" TargetMode="External"/><Relationship Id="rId51" Type="http://schemas.openxmlformats.org/officeDocument/2006/relationships/hyperlink" Target="https://www.sec.gov/Archives/edgar/data/1826011/000119312524028341/d744391dex104.htm" TargetMode="External"/><Relationship Id="rId52" Type="http://schemas.openxmlformats.org/officeDocument/2006/relationships/hyperlink" Target="https://www.sec.gov/Archives/edgar/data/1826011/000119312524023808/d567008dex1029.htm" TargetMode="External"/><Relationship Id="rId53" Type="http://schemas.openxmlformats.org/officeDocument/2006/relationships/hyperlink" Target="https://www.sec.gov/Archives/edgar/data/1826011/000119312524023808/d567008dex1030.htm" TargetMode="External"/><Relationship Id="rId54" Type="http://schemas.openxmlformats.org/officeDocument/2006/relationships/hyperlink" Target="https://www.sec.gov/Archives/edgar/data/1826011/000149315224038146/ex10-6.htm" TargetMode="External"/><Relationship Id="rId55" Type="http://schemas.openxmlformats.org/officeDocument/2006/relationships/hyperlink" Target="https://www.sec.gov/Archives/edgar/data/1826011/000149315224038146/ex10-11.htm" TargetMode="External"/><Relationship Id="rId56" Type="http://schemas.openxmlformats.org/officeDocument/2006/relationships/hyperlink" Target="https://www.sec.gov/Archives/edgar/data/1826011/000149315224038146/ex10-16.htm" TargetMode="External"/><Relationship Id="rId57" Type="http://schemas.openxmlformats.org/officeDocument/2006/relationships/hyperlink" Target="https://www.sec.gov/Archives/edgar/data/1826011/000149315224038146/ex10-17.htm" TargetMode="External"/><Relationship Id="rId58" Type="http://schemas.openxmlformats.org/officeDocument/2006/relationships/hyperlink" Target="https://www.sec.gov/Archives/edgar/data/1826011/000149315224038146/ex10-19.htm" TargetMode="External"/><Relationship Id="rId59" Type="http://schemas.openxmlformats.org/officeDocument/2006/relationships/hyperlink" Target="https://www.sec.gov/Archives/edgar/data/1826011/000149315224038146/ex10-20.htm" TargetMode="External"/><Relationship Id="rId60" Type="http://schemas.openxmlformats.org/officeDocument/2006/relationships/hyperlink" Target="https://www.sec.gov/Archives/edgar/data/1826011/000149315224038146/ex10-25.htm" TargetMode="External"/><Relationship Id="rId61" Type="http://schemas.openxmlformats.org/officeDocument/2006/relationships/hyperlink" Target="https://www.sec.gov/Archives/edgar/data/1826011/000149315224038146/ex10-24.htm" TargetMode="External"/><Relationship Id="rId62" Type="http://schemas.openxmlformats.org/officeDocument/2006/relationships/hyperlink" Target="https://www.sec.gov/Archives/edgar/data/1826011/000149315224041316/forms-1.htm" TargetMode="External"/><Relationship Id="rId63" Type="http://schemas.openxmlformats.org/officeDocument/2006/relationships/hyperlink" Target="https://www.sec.gov/Archives/edgar/data/1826011/000149315224049374/ex10-1.htm" TargetMode="External"/><Relationship Id="rId64" Type="http://schemas.openxmlformats.org/officeDocument/2006/relationships/hyperlink" Target="https://www.sec.gov/Archives/edgar/data/1826011/000149315224049374/ex10-2.htm" TargetMode="External"/><Relationship Id="rId65" Type="http://schemas.openxmlformats.org/officeDocument/2006/relationships/hyperlink" Target="https://www.sec.gov/Archives/edgar/data/1826011/000149315224049374/ex10-3.htm" TargetMode="External"/><Relationship Id="rId66" Type="http://schemas.openxmlformats.org/officeDocument/2006/relationships/hyperlink" Target="https://www.sec.gov/Archives/edgar/data/1826011/000149315224050891/ex10-1.htm" TargetMode="External"/><Relationship Id="rId67" Type="http://schemas.openxmlformats.org/officeDocument/2006/relationships/hyperlink" Target="https://www.sec.gov/Archives/edgar/data/1826011/000149315224050891/ex10-2.htm" TargetMode="External"/><Relationship Id="rId68" Type="http://schemas.openxmlformats.org/officeDocument/2006/relationships/hyperlink" Target="https://www.sec.gov/Archives/edgar/data/1826011/000149315224050891/ex10-3.htm" TargetMode="External"/><Relationship Id="rId69" Type="http://schemas.openxmlformats.org/officeDocument/2006/relationships/hyperlink" Target="https://www.sec.gov/Archives/edgar/data/1826011/000149315225004502/ex10-3.htm" TargetMode="External"/><Relationship Id="rId70" Type="http://schemas.openxmlformats.org/officeDocument/2006/relationships/hyperlink" Target="https://www.sec.gov/Archives/edgar/data/1826011/000149315225004641/ex10-1.htm" TargetMode="External"/><Relationship Id="rId71" Type="http://schemas.openxmlformats.org/officeDocument/2006/relationships/hyperlink" Target="https://www.sec.gov/Archives/edgar/data/1826011/000149315225003319/ex10-1.htm" TargetMode="External"/><Relationship Id="rId72" Type="http://schemas.openxmlformats.org/officeDocument/2006/relationships/hyperlink" Target="https://www.sec.gov/Archives/edgar/data/1826011/000149315225003319/ex10-2.htm" TargetMode="External"/><Relationship Id="rId73" Type="http://schemas.openxmlformats.org/officeDocument/2006/relationships/hyperlink" Target="https://www.sec.gov/Archives/edgar/data/1826011/000149315225003319/ex10-4.htm" TargetMode="External"/><Relationship Id="rId74" Type="http://schemas.openxmlformats.org/officeDocument/2006/relationships/hyperlink" Target="https://www.sec.gov/Archives/edgar/data/1826011/000149315225003319/ex10-5.htm" TargetMode="External"/><Relationship Id="rId75" Type="http://schemas.openxmlformats.org/officeDocument/2006/relationships/hyperlink" Target="https://www.sec.gov/Archives/edgar/data/1826011/000164117225018464/ex10-1.htm" TargetMode="External"/><Relationship Id="rId76" Type="http://schemas.openxmlformats.org/officeDocument/2006/relationships/hyperlink" Target="https://www.sec.gov/Archives/edgar/data/1826011/000164117225017861/ex10-1.htm" TargetMode="External"/><Relationship Id="rId77" Type="http://schemas.openxmlformats.org/officeDocument/2006/relationships/hyperlink" Target="https://www.sec.gov/Archives/edgar/data/1826011/000164117225017861/ex10-2.htm" TargetMode="External"/><Relationship Id="rId78" Type="http://schemas.openxmlformats.org/officeDocument/2006/relationships/hyperlink" Target="https://www.sec.gov/Archives/edgar/data/1826011/000164117225017861/ex10-3.htm" TargetMode="External"/><Relationship Id="rId79" Type="http://schemas.openxmlformats.org/officeDocument/2006/relationships/hyperlink" Target="https://www.sec.gov/Archives/edgar/data/1826011/000119312524148209/d647173dex101.htm" TargetMode="External"/><Relationship Id="rId80" Type="http://schemas.openxmlformats.org/officeDocument/2006/relationships/hyperlink" Target="https://www.sec.gov/Archives/edgar/data/1826011/000149315225028196/ex10-1.htm" TargetMode="External"/><Relationship Id="rId81" Type="http://schemas.openxmlformats.org/officeDocument/2006/relationships/hyperlink" Target="https://www.sec.gov/Archives/edgar/data/1826011/000149315225028196/ex10-2.htm" TargetMode="External"/><Relationship Id="rId82" Type="http://schemas.openxmlformats.org/officeDocument/2006/relationships/hyperlink" Target="https://www.sec.gov/Archives/edgar/data/1826011/000149315225018364/ex10-5.htm" TargetMode="External"/><Relationship Id="rId83" Type="http://schemas.openxmlformats.org/officeDocument/2006/relationships/hyperlink" Target="https://www.sec.gov/Archives/edgar/data/1826011/000149315225018364/ex10-6.htm" TargetMode="External"/><Relationship Id="rId84" Type="http://schemas.openxmlformats.org/officeDocument/2006/relationships/hyperlink" Target="https://www.sec.gov/Archives/edgar/data/1826011/000119312526206397/bnzi-ex10_3.htm" TargetMode="External"/><Relationship Id="rId85" Type="http://schemas.openxmlformats.org/officeDocument/2006/relationships/hyperlink" Target="https://www.sec.gov/Archives/edgar/data/1826011/000119312526227353/bnzi-ex10_7.htm" TargetMode="External"/><Relationship Id="rId86" Type="http://schemas.openxmlformats.org/officeDocument/2006/relationships/hyperlink" Target="https://www.sec.gov/Archives/edgar/data/1826011/000119312526134714/bnzi-ex21_1.htm" TargetMode="External"/><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3.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148468</Words>
  <Characters>791726</Characters>
  <CharactersWithSpaces>947534</CharactersWithSpaces>
  <Paragraphs>26340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