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Prospectus</w:t>
      </w:r>
    </w:p>
    <w:p>
      <w:pPr>
        <w:spacing w:after="0" w:line="20" w:lineRule="exact"/>
        <w:rPr>
          <w:sz w:val="24"/>
          <w:szCs w:val="24"/>
          <w:color w:val="auto"/>
        </w:rPr>
      </w:pPr>
      <w:r>
        <w:rPr>
          <w:sz w:val="24"/>
          <w:szCs w:val="24"/>
          <w:color w:val="auto"/>
        </w:rPr>
        <w:br w:type="column"/>
      </w:r>
    </w:p>
    <w:p>
      <w:pPr>
        <w:jc w:val="right"/>
        <w:spacing w:after="0"/>
        <w:rPr>
          <w:sz w:val="20"/>
          <w:szCs w:val="20"/>
          <w:color w:val="auto"/>
        </w:rPr>
      </w:pPr>
      <w:r>
        <w:rPr>
          <w:rFonts w:ascii="Times New Roman" w:cs="Times New Roman" w:eastAsia="Times New Roman" w:hAnsi="Times New Roman"/>
          <w:sz w:val="17"/>
          <w:szCs w:val="17"/>
          <w:color w:val="auto"/>
        </w:rPr>
        <w:t>Filed Pursuant to Rule 424(b)(4)</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333-299744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-3254375</wp:posOffset>
            </wp:positionH>
            <wp:positionV relativeFrom="paragraph">
              <wp:posOffset>142875</wp:posOffset>
            </wp:positionV>
            <wp:extent cx="2357120" cy="651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7120" cy="65151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8180" w:space="720"/>
            <w:col w:w="2340"/>
          </w:cols>
          <w:pgMar w:left="320" w:top="445"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$13,500,000 Firm Commitment Offering</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4,963,235 Units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Consisting of One Share of Class A Common Stock or One Pre-Funded Warrant to Purchase One Class A Common Stock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Two Warrants with each Warrant exercisable for one share of Class A Common Stock</w:t>
      </w:r>
    </w:p>
    <w:p>
      <w:pPr>
        <w:spacing w:after="0" w:line="225" w:lineRule="exact"/>
        <w:rPr>
          <w:sz w:val="24"/>
          <w:szCs w:val="24"/>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Up to 125,000 Shares of Class A Common Stock Included in the Units Up to 4,838,235 Pre-Funded Warrants Included in the Units Up to 9,926,470 Common Warrants Included in the Units Up to 4,838,235 Shares of Class A Common Stock Underlying the Pre-Funded Warrants Up to 9,926,470 Shares of Class A Common Stock Underlying the Warrants</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Parabolic Technologies, Inc.</w:t>
      </w:r>
    </w:p>
    <w:p>
      <w:pPr>
        <w:spacing w:after="0" w:line="229"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Parabolic Technologies, Inc., a Delaware corporation (the “Company,” “Parabolic,” the “registrant,” “we,” “our” or “us”) is offering units (the “Units”) at an aggregate offering size of $13,500,000, each Unit consisting of: (i) one share of Class A Common Stock, par value $0.0001 per share (the “Class A Common Stock”) or, in lieu thereof, one pre-funded warrant to purchase one share of Class A Common Stock (the “Pre-Funded Warrant”); and (ii) two Warrants, each Warrant exercisable for one share of Class A Common Stock (the “Warrants”). The Warrants are exercisable at an initial exercise price that is equal to $6.80 per share (250% of the assumed public offering price per Unit), subject to the exercise price resets and other adjustments described below. The Warrants will be exercisable at any time on or after the Issuance Date (as defined below) and will expire five (5) years after the Issuance Date. See “Description of the Securities We Are Offering.” We are offering each Unit at an assumed public offering price of $2.72 per Unit, equal to the closing price of our common stock on The Nasdaq Capital Market (“Nasdaq”) on November 3, 2026.</w:t>
      </w:r>
    </w:p>
    <w:p>
      <w:pPr>
        <w:spacing w:after="0" w:line="192" w:lineRule="exact"/>
        <w:rPr>
          <w:sz w:val="24"/>
          <w:szCs w:val="24"/>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offering to those purchasers whose purchase of Class A Common Stock in this offering would otherwise result in the purchaser, together with its affiliates and certain related parties, beneficially owning more than 4.99% (or, at the election of the purchaser, 9.99%) of our outstanding Class A Common Stock immediately following the closing of this offering, in lieu of purchasing Class A Common Stock, pre-funded warrants (the “Pre-Funded Warrants”). Each Pre-Funded Warrant will be exercisable for one share of our Class A Common Stock. The purchase price of each Pre-Funded Warrant is equal to the public offering price per Class A Common Stock, minus $0.00001, and the exercise price of each Pre-Funded Warrant is $0.00001 per share. The Pre-Funded Warrants will be exercisable immediately and may be exercised at any time until all of the Pre-Funded Warrants are exercised in full. We are also registering the shares of Class A Common Stock issuable upon exercise of the Pre-Funded Warrants. For each Pre-Funded Warrant we sell, the number of Class A Common Stock we are offering will decrease on a one-for-one basis.</w:t>
      </w:r>
    </w:p>
    <w:p>
      <w:pPr>
        <w:spacing w:after="0" w:line="19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offering also relates to the shares of Class A Common Stock upon the exercise of the Pre-Funded Warrants and the Warrants.</w:t>
      </w:r>
    </w:p>
    <w:p>
      <w:pPr>
        <w:spacing w:after="0" w:line="225"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Units will have no stand-alone rights and will not be certificated or issued as stand-alone securities. The shares of Class A Common Stock or Pre-Funded Warrants and the Warrants comprising the Units, as applicable, are immediately separable and will be issued separately in this offering.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At 4:02 p.m. Eastern time on the fifth (5th) Trading Day after the Issuance Date (the “First Reset Time”), the exercise price of the Warrants will be adjusted to the lower of (i) the exercise price then in effect and (ii) a price equal to the greater of (A) 80% of the lowest volume weighted average price (“VWAP”) during the period commencing on the Pricing Date (the date of execution of the Underwriting Agreement) and ending on the First Reset Time (the “First Reset Period”) and (B) the First Floor Price (as defined below). The “First Floor Price” means 50% of the Nasdaq Minimum Price, subject to adjustment for forward and reverse stock splits, share combinations, recapitalizations and similar transactions following the Issuance Date, and the “Nasdaq Minimum Price” means the lower of: (i) the most recent Nasdaq Official Closing Price immediately preceding the execution of the Underwriting Agreement; or (ii) the average Nasdaq Official Closing Price for the five trading days immediately preceding the execution of the Underwriting Agreement. At 4:02 p.m. Eastern time on the tenth (10th) Trading Day after the Issuance Date (the “Second Reset Time”), the exercise price of the Warrants will be adjusted to the lower of (i) the exercise price then in effect and (ii) a price equal to the greater of (A) 80% of the lowest VWAP during the period commencing on the Pricing Date and ending on the Second Reset Time (the “Second Reset Period”) and (B) the Second Floor Price (as defined below). The “Second Floor Price” means 30% of the Nasdaq Minimum Price, subject to adjustment for forward and reverse stock splits, share combinations, recapitalizations and similar transactions following the Issuance Date. In no event shall the exercise price on the First Reset Time be adjusted to a price less than the First Floor Price, and in no event shall the exercise price on the Second Reset Time be adjusted to a price less than the Second Floor Price. Upon any such reset, the number of warrant shares issuable upon exercise shall be equal to (a) the aggregate exercise price payable for the warrant shares issuable on the Issuance Date, divided by (b) the exercise price as so adjusted, minus (c) the aggregate number of warrant shares theretofore issued upon any prior exercise of the Warrant, whether such issuance occurred before, on or after such reset. A Warrant may be exercised in full prior to the Second Reset Time; in that event, the Warrant will remain outstanding, and the holder will remain entitled to receive any additional Warrant Shares resulting from the adjustment at the First Reset Time and/or the Second Reset Time, as applicable, notwithstanding that the Warrant had already been exercised in full before such Reset Time. No further adjustment to the exercise price or the number of Warrant Shares issuable pursuant to the reset mechanism described above will occur after the Second Reset Time.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a conventional cash exercise and, in specified circumstances, a cashless exercise, a holder may elect at any time following the Issuance Date to exercise the Warrants using the “zero exercise price option.” Upon such an exercise, the holder will pay no cash exercise price and will receive 90% of the number of shares that would otherwise be issuable upon a cash exercise, after giving effect to applicable adjustments to the exercise price and number of warrant shares.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engaged Aegis Capital Corp. to act as our exclusive underwriter on a firm commitment basis in connection with this offering. We have agreed to pay to the underwriter the underwriting fees as set forth in the table below. We will bear all costs associated with the offering. See “Underwriting” on page 90 of this prospectus for more information regarding these arrangements.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granted the underwriter an option to purchase (i) up to 15.0% of the number of additional shares of Class A Common Stock sold in the offering and (ii) up to 15.0% of the number of Warrants sold in the offering, solely for the purpose of covering over-allotments. The underwriter may exercise this option in whole or in part at any time within forty-five (45) Calendar Days after the Closing. The underwriter may exercise the over-allotment option with respect to shares of Class A Common Stock only, Warrants only, or any combination thereof. The purchase price to be paid per additional share of Class A Common Stock will be equal to the public offering price of one Unit, less $0.0002 allocated to the Warrants included in each Unit, less the underwriting discount, and the purchase price to be paid per additional Warrant will be $0.00001. If this over-allotment option is exercised, the total net proceeds, before expenses and after deducting the underwriting discounts described above, to us will be approximately $14,282,998 (based upon a public offering price of $2.72 per Unit).</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use the proceeds from this offering for general corporate purposes, including working capital and investments, as well as the repayment of outstanding indebtedness. See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Class A Common Stock is listed on the Nasdaq under the symbol “PARA.” On November 4, 2026, the last reported sale price of our Class A Common Stock on Nasdaq was $0.319 per share. Our warrants, each exercisable for one share of Common Stock at a price of $1,150,000.00 per share, originally issued in our initial public offering (the “Public Warrants”), are currently listed on Nasdaq under the symbol “PARAW.”</w:t>
      </w:r>
    </w:p>
    <w:p>
      <w:pPr>
        <w:spacing w:after="0" w:line="17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color w:val="auto"/>
        </w:rPr>
        <w:t>15</w:t>
      </w:r>
      <w:r>
        <w:rPr>
          <w:rFonts w:ascii="Times New Roman" w:cs="Times New Roman" w:eastAsia="Times New Roman" w:hAnsi="Times New Roman"/>
          <w:sz w:val="18"/>
          <w:szCs w:val="18"/>
          <w:b w:val="1"/>
          <w:bCs w:val="1"/>
          <w:color w:val="auto"/>
        </w:rPr>
        <w:t xml:space="preserve"> of this prospectus to read about factors you should consider before buying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080" w:type="dxa"/>
            <w:vAlign w:val="bottom"/>
          </w:tcPr>
          <w:p>
            <w:pPr>
              <w:spacing w:after="0"/>
              <w:rPr>
                <w:sz w:val="20"/>
                <w:szCs w:val="20"/>
                <w:color w:val="auto"/>
              </w:rPr>
            </w:pP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4,963,235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13,499,999.20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6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Underwriter discounts and commissions </w:t>
            </w:r>
            <w:r>
              <w:rPr>
                <w:rFonts w:ascii="Times New Roman" w:cs="Times New Roman" w:eastAsia="Times New Roman" w:hAnsi="Times New Roman"/>
                <w:sz w:val="29"/>
                <w:szCs w:val="29"/>
                <w:color w:val="auto"/>
                <w:vertAlign w:val="superscript"/>
              </w:rPr>
              <w:t>(1)</w:t>
            </w:r>
          </w:p>
        </w:tc>
        <w:tc>
          <w:tcPr>
            <w:tcW w:w="1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0.2176</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1,079,999.94</w:t>
            </w:r>
          </w:p>
        </w:tc>
      </w:tr>
      <w:tr>
        <w:trPr>
          <w:trHeight w:val="257"/>
        </w:trPr>
        <w:tc>
          <w:tcPr>
            <w:tcW w:w="6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Proceeds, before expenses, to us </w:t>
            </w:r>
            <w:r>
              <w:rPr>
                <w:rFonts w:ascii="Times New Roman" w:cs="Times New Roman" w:eastAsia="Times New Roman" w:hAnsi="Times New Roman"/>
                <w:sz w:val="29"/>
                <w:szCs w:val="29"/>
                <w:color w:val="auto"/>
                <w:vertAlign w:val="superscript"/>
              </w:rPr>
              <w:t>(2)</w:t>
            </w:r>
          </w:p>
        </w:tc>
        <w:tc>
          <w:tcPr>
            <w:tcW w:w="14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2.5024</w:t>
            </w:r>
          </w:p>
        </w:tc>
        <w:tc>
          <w:tcPr>
            <w:tcW w:w="4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12,419,999.26</w:t>
            </w:r>
          </w:p>
        </w:tc>
      </w:tr>
    </w:tbl>
    <w:p>
      <w:pPr>
        <w:spacing w:after="0" w:line="198" w:lineRule="exact"/>
        <w:rPr>
          <w:sz w:val="20"/>
          <w:szCs w:val="20"/>
          <w:color w:val="auto"/>
        </w:rPr>
      </w:pPr>
    </w:p>
    <w:p>
      <w:pPr>
        <w:jc w:val="both"/>
        <w:ind w:left="660" w:right="20" w:hanging="328"/>
        <w:spacing w:after="0" w:line="257"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fee equal to 8.0% of the aggregate purchase price paid by investors in this offering. We have also agreed to pay $125,000 for the reasonable legal fees and disbursements of Aegis’s counsel. See “</w:t>
      </w:r>
      <w:r>
        <w:rPr>
          <w:rFonts w:ascii="Times New Roman" w:cs="Times New Roman" w:eastAsia="Times New Roman" w:hAnsi="Times New Roman"/>
          <w:sz w:val="18"/>
          <w:szCs w:val="18"/>
          <w:i w:val="1"/>
          <w:iCs w:val="1"/>
          <w:color w:val="auto"/>
        </w:rPr>
        <w:t>Underwriting</w:t>
      </w:r>
      <w:r>
        <w:rPr>
          <w:rFonts w:ascii="Times New Roman" w:cs="Times New Roman" w:eastAsia="Times New Roman" w:hAnsi="Times New Roman"/>
          <w:sz w:val="18"/>
          <w:szCs w:val="18"/>
          <w:color w:val="auto"/>
        </w:rPr>
        <w:t>” beginning on page 90 of this prospectus for a description of the compensation to be received by the Underwriter.</w:t>
      </w:r>
    </w:p>
    <w:p>
      <w:pPr>
        <w:spacing w:after="0" w:line="1" w:lineRule="exact"/>
        <w:rPr>
          <w:rFonts w:ascii="Times New Roman" w:cs="Times New Roman" w:eastAsia="Times New Roman" w:hAnsi="Times New Roman"/>
          <w:sz w:val="18"/>
          <w:szCs w:val="18"/>
          <w:color w:val="auto"/>
        </w:rPr>
      </w:pPr>
    </w:p>
    <w:p>
      <w:pPr>
        <w:ind w:left="660" w:right="100" w:hanging="328"/>
        <w:spacing w:after="0" w:line="26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offering proceeds to us presented in this table does not give effect to any exercise of the Warrants or over-allotment option granted to the underwriter as described above.</w:t>
      </w:r>
    </w:p>
    <w:p>
      <w:pPr>
        <w:spacing w:after="0" w:line="18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delivery to purchasers of securities in this offering is expected to be made on or about November 5, 2026, subject to the satisfaction of certain customary closing conditions.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Aegis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November 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4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640" w:type="dxa"/>
            <w:vAlign w:val="bottom"/>
          </w:tcPr>
          <w:p>
            <w:pPr>
              <w:spacing w:after="0"/>
              <w:rPr>
                <w:sz w:val="20"/>
                <w:szCs w:val="20"/>
                <w:color w:val="auto"/>
              </w:rPr>
            </w:pPr>
          </w:p>
        </w:tc>
      </w:tr>
      <w:tr>
        <w:trPr>
          <w:trHeight w:val="432"/>
        </w:trPr>
        <w:tc>
          <w:tcPr>
            <w:tcW w:w="7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9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140" w:type="dxa"/>
            <w:vAlign w:val="bottom"/>
            <w:tcBorders>
              <w:bottom w:val="single" w:sz="8" w:color="CCEEFF"/>
            </w:tcBorders>
          </w:tcPr>
          <w:p>
            <w:pPr>
              <w:spacing w:after="0"/>
              <w:rPr>
                <w:sz w:val="24"/>
                <w:szCs w:val="24"/>
                <w:color w:val="auto"/>
              </w:rPr>
            </w:pPr>
          </w:p>
        </w:tc>
        <w:tc>
          <w:tcPr>
            <w:tcW w:w="16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0"/>
        </w:trPr>
        <w:tc>
          <w:tcPr>
            <w:tcW w:w="2240" w:type="dxa"/>
            <w:vAlign w:val="bottom"/>
            <w:tcBorders>
              <w:bottom w:val="single" w:sz="8" w:color="0000EE"/>
            </w:tcBorders>
            <w:gridSpan w:val="10"/>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w w:val="99"/>
              </w:rPr>
              <w:t>ABOUT THIS PROSPECTUS</w:t>
            </w:r>
          </w:p>
        </w:tc>
        <w:tc>
          <w:tcPr>
            <w:tcW w:w="8360" w:type="dxa"/>
            <w:vAlign w:val="bottom"/>
            <w:tcBorders>
              <w:bottom w:val="single" w:sz="8" w:color="CCEEFF"/>
            </w:tcBorders>
            <w:gridSpan w:val="13"/>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ii</w:t>
            </w: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PROSPECTUS SUMMARY</w:t>
            </w:r>
          </w:p>
        </w:tc>
        <w:tc>
          <w:tcPr>
            <w:tcW w:w="850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12</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9340" w:type="dxa"/>
            <w:vAlign w:val="bottom"/>
            <w:tcBorders>
              <w:bottom w:val="single" w:sz="8" w:color="CCEEFF"/>
            </w:tcBorders>
            <w:gridSpan w:val="2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15</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CAPITALIZATION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MARKET INFORMATION FOR CLASS A COMMON STOCK AND DIVIDEND POLICY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47</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14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BUSINESS</w:t>
            </w:r>
          </w:p>
        </w:tc>
        <w:tc>
          <w:tcPr>
            <w:tcW w:w="9740" w:type="dxa"/>
            <w:vAlign w:val="bottom"/>
            <w:tcBorders>
              <w:bottom w:val="single" w:sz="8" w:color="CCEEFF"/>
            </w:tcBorders>
            <w:gridSpan w:val="2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69</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PARTY TRANSACTIONS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PRINCIPAL SECURITYHOLDERS</w:t>
            </w:r>
          </w:p>
        </w:tc>
        <w:tc>
          <w:tcPr>
            <w:tcW w:w="792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6"/>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UNDERWRITING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90</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SHARES ELIGIBLE FOR FUTURE SALE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94</w:t>
            </w:r>
          </w:p>
        </w:tc>
      </w:tr>
      <w:tr>
        <w:trPr>
          <w:trHeight w:val="175"/>
        </w:trPr>
        <w:tc>
          <w:tcPr>
            <w:tcW w:w="31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w:t>
            </w:r>
          </w:p>
        </w:tc>
        <w:tc>
          <w:tcPr>
            <w:tcW w:w="742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95</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 WE ARE OFFERING</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115</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117</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176"/>
        </w:trPr>
        <w:tc>
          <w:tcPr>
            <w:tcW w:w="146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9140" w:type="dxa"/>
            <w:vAlign w:val="bottom"/>
            <w:tcBorders>
              <w:top w:val="single" w:sz="8" w:color="CCEEFF"/>
            </w:tcBorders>
            <w:gridSpan w:val="1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7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60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124</w:t>
            </w:r>
          </w:p>
        </w:tc>
      </w:tr>
      <w:tr>
        <w:trPr>
          <w:trHeight w:val="21"/>
        </w:trPr>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5"/>
        </w:trPr>
        <w:tc>
          <w:tcPr>
            <w:tcW w:w="1060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7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1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in or incorporated by reference in this prospectus or in any free writing prospectus that we may provide to you in connection with this offering. We have not authorized anyone to provide you with information different from, or in addition to, that contained in or incorporated by reference in this prospectus or any such free writing prospectus. If anyone provides you with different or inconsistent information, you should not rely on it. We can provide no assurance as to the reliability of any other information that others may give you. We are not making an offer to sell or seeking offers to buy these securities in any jurisdiction where or to any person to whom the offer or sale is not permitted. The information in this prospectus is accurate only as of the date on the front cover of this prospectus, and the information in any free writing prospectus that we may provide you with in connection with this offering is accurate only as of the date of such free writing prospectus. Our business, financial condition, results of operations and prospects may have changed since those dates.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or provide any assurance as to the reliability of, any other information that others may give you. We will not make an offer to sell these securities in any jurisdiction where the offer or sale is not permitted.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“Parabolic,” “we,” “us,” “our” and similar terms refer to Parabolic Technologies, Inc. (f/k/a 7GC &amp; Co. Holdings Inc.) and its consolidated subsidiaries (including Legacy Banzai). References to “7GC” refer to our predecessor company prior to the consummation of the Business Combination (as hereinafter defined).</w:t>
      </w:r>
    </w:p>
    <w:p>
      <w:pPr>
        <w:spacing w:after="0" w:line="17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Except as otherwise indicated, all references to our common stock, share data, per share data and related information depict the effect of the 1-for-10 reverse stock split of the shares of our outstanding common stock, effective as of October 27, 2026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October 2026 Reverse Stock Split”), the 1-for-10 reverse stock split, effective as of July 8, 2025 (the “July Reverse Stock Split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1-for-20 reverse stock split of the shares of our outstanding common stock, effective as of May 8, 2026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 2026 Reverse Stock Split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as if it had occurred at the beginning of the earliest period presented. The October 2026 Reverse Stock Split combined each ten shares of our outstanding shares of common stock into one share of common stock, without any change in the par value per share, and the October 2026 Reverse Stock Split correspondingly adjusted, among other things, the number of shares of outstanding common stock. The May 2026 Reverse Stock Split combined each twenty shares of our outstanding shares of common stock into one share of common stock, without any change in the par value per share, and the May 2026 Reverse Stock Split correspondingly adjusted, among other things, the number of shares of outstanding common stock.</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and in documents incorporated herein by reference contain forward-looking statements within the meaning of the Private Securities Litigation Reform Act of 1995. Forward-looking statements often use words such as “believe,” “may,” “will,” “estimate,” “target,” “continue,” “anticipate,” “intend,” “expect,” “should,” “would,” “propose,” “plan,” “project,” “forecast,” “predict,” “potential,” “seek,” “future,” “outlook,” and similar variations and expressions. Forward-looking statements are those that do not relate strictly to historical or current facts. Examples of forward-looking statements may include, among others, statements regarding the Company’s:</w:t>
      </w:r>
    </w:p>
    <w:p>
      <w:pPr>
        <w:spacing w:after="0" w:line="183"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business, and operating performance and goals;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 recurring revenue and customer retention;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future or ability to maintain or improve its financial position, cash flows, and liquidity and its expected financial needs;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financing and ability to obtain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listing with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strategy and proposed acquisitions and, if completed, their potential success and financial contributions;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strategy and strategic goals, including being able to capitalize on opportunities;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relating to the Company’s industry, outlook, and market trends;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addressable market and serviceable addressable market and related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strategies, and expectations for retaining existing or acquiring new customers, increasing revenue and executing growth initiatives;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areas of focus and additional products that may be sold in the future.</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forward-looking statements relate to the future, they are subject to inherent uncertainties, risks and changes in circumstances that are difficult to predict and many of which are outside of our control. Forward-looking statements are not guarantees of future performance, and our actual results of operations, financial condition and liquidity and development of the industry in which the Company operates may differ materially from those made in or suggested by the forward-looking statements. Therefore, investors should not rely on any of these forward-looking statements. Factors that may cause actual results to differ materially include changes in the markets in which the Company operates, customer demand, the financial markets, economic, business, and regulatory and other factors, such as the Company’s ability to execute on its strategy. More detailed information about risk factors can be found in this prospectus, the Company’s Annual Report on Form 10-K and the Company’s Quarterly Reports on Form 10-Q under the heading “Risk Factors,” and in other reports filed by the Company, including reports on Form 8-K. The Company does not undertake any duty to update forward-looking statements after the date they are made, except as required by law.</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Parabolic Technologies, Inc. is a Software as a Service (“SaaS”) company operating in the marketing technology (“MarTech”) industry. We provide our customers with tools to help them market and sell with greater efficiency and impact. To date, Parabolic has supported over 150,000 global customers, including entrepreneurs and Fortune 500 companies. Our customers include Amazon, Dell, Salesforce, Aflac, Thermo Fisher Scientific, RBC Wealth Management, Fitch Group, and many other globally recognized brands.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Parabolic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platform currently includes several products, ranging across demand generation, webinar hosting, video creation and email newsletters.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 Effective on August 6, 2026, we began doing business under the trade name “Parabolic.” In connection with the rebrand, the trading symbols for our Class A Common Stock and redeemable warrants on Nasdaq changed from “BNZI” and “BNZIW” to “PARA” and “PARAW,” respectively, effective on August 7, 2026. Effective October 27, 2026, our company name changed from Banzai International, Inc. to Parabolic Technologies, Inc. following approval by our shareholders.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rights of holders of our Class A Common Stock and the warrants issued pursuant to our initial public offering (the “Public Warrants”) are governed by our second amended and restated certificate of incorporation, as amended (the “Charter”), our second amended and restated bylaws (the “Bylaws”) and the Delaware General Corporation Law (the “DGCL”), and, in the case of the Public Warrants, the Warrant Agreement, dated December 22, 2020 (the “Warrant Agreement”), between 7GC and the Continental Stock Transfer &amp; Trust Company, as the warrant agent.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Amendment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Effective at 12:01 a.m. Eastern Time on October 30, 2026, the Company amended the first paragraph of Article IV of its Second Amended and Restated Certificate of Incorporation to provide for authorized capital stock of 850,000,000 shares (from 350,000,000), consisting of 750,000,000 shares of Class A Common Stock (from 250,000,000), 25,000,000 shares of Class B Common Stock and 75,000,000 shares of Preferred Stock, each with a par value of $0.0001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Delisting Notice</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27, 2026, Parabolic Technologies, Inc. (the “Company”) received a notice from Nasdaq indicating that the Company was not in compliance with Nasdaq’s $1.00 minimum bid price requirement for 30 consecutive business days (the “Notice”). The Company’s 1-for-10 reverse stock split effected on July 8, 2025, 1-for-20 reverse stock split effected on May 8, 2026 and 1-for-10 reverse stock split effected on October 27, 2026 collectively resulted in a 1-for-2,000 reverse stock split ratio over the preceding two years. Due to these reverse stock splits, the Company is ineligible for the customary 180-day compliance period and received a Staff Delisting Determination. Accordingly, Nasdaq issued a Staff Delisting Determination in the Notice, notifying the Company that its securities are subject to delisting from Nasdaq. Following the Company’s timely request to appeal the Staff Delisting Determination, the determination has been stayed, pending a final decision by the Nasdaq Hearings Panel; a hearing is scheduled for December 3, 2026 at which the Company will present a plan to regain compliance. There can be no assurance that Nasdaq will accept the plan or that the Company will regain compliance or maintain its Nasdaq listing. If the Nasdaq Hearings Panel does not agree with the Company’s plan, the listing of our Common Stock will most likely be suspended or delisted. As of the date hereof, our Common Stock continues to trade on Nasdaq under the symbol “PARA.” (See Risk Factor – “</w:t>
      </w:r>
      <w:r>
        <w:rPr>
          <w:rFonts w:ascii="Times New Roman" w:cs="Times New Roman" w:eastAsia="Times New Roman" w:hAnsi="Times New Roman"/>
          <w:sz w:val="18"/>
          <w:szCs w:val="18"/>
          <w:b w:val="1"/>
          <w:bCs w:val="1"/>
          <w:i w:val="1"/>
          <w:iCs w:val="1"/>
          <w:color w:val="auto"/>
        </w:rPr>
        <w:t>Our stock is subject to requirements to remain listed on Nasdaq, including a minimum bid price requirement and stockholders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equity requirement,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and may be delisted if it does not maintain or regain, as applicable, compliance with those requirements.”</w:t>
      </w:r>
      <w:r>
        <w:rPr>
          <w:rFonts w:ascii="Times New Roman" w:cs="Times New Roman" w:eastAsia="Times New Roman" w:hAnsi="Times New Roman"/>
          <w:sz w:val="18"/>
          <w:szCs w:val="18"/>
          <w:b w:val="1"/>
          <w:bCs w:val="1"/>
          <w:color w:val="auto"/>
        </w:rPr>
        <w: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 Repurchase Agreement with an institutional investor (the “Investor”), on October 20, 2026 (the “Repurchase Agreement”), pursuant to which, upon the closing of a public offering (the “Offering”), the Company shall repurchase certain common stock purchase warrants that allow the Investor to purchase up to 166,286 shares of the Company’s common stock (the “Existing Warrants”), par value $0.0001 per share (the “Common Stock”), for $1.5 million in cash (the “Warrant Repurchase Price”). Upon payment of the Warrant Repurchase Price, the Existing Warrants shall be cancelled and be of no further force or effect.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Previously, on June 27, 2025, the Company and the Investor entered into that certain Securities Purchase Agreement, (as amended, supplemented or otherwise modified from time to time, the “Securities Purchase Agreement”), pursuant to which, among other things, the Company issued to the Investor:</w:t>
      </w:r>
    </w:p>
    <w:p>
      <w:pPr>
        <w:ind w:right="20" w:firstLine="8"/>
        <w:spacing w:after="0" w:line="260" w:lineRule="auto"/>
        <w:tabs>
          <w:tab w:leader="none" w:pos="21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secured convertible note, dated August 12, 2026, (the “Existing Note”) and (ii) the Existing Warrants, which have a current exercise price equal to $12.45 per share.</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Repurchase Agreement, the Investor has a right to participate in the Offering in an amount not less than $6 million, or such lesser amount as the Company may specify, subject to the procedures and conditions in the Repurchase Agreement. Additionally, the Investor agreed to a standstill period regarding the Existing Note for a period of eighteen trading days commencing on, and including, the date of the public filing of the registration statement for the Offering and to waive certain provisions included in the Securities Purchase Agreement and the Existing Note.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agreed to pay the Investor’s legal fees of $20,000 associated with the drafting and negotiation of the Repurchase Agreement. The foregoing description of the Repurchase Agreement does not purport to be complete and is qualified in its entirety by reference to the full text of the Repurchase Agreement, which is filed as Exhibit 10.0 to the Current Report on Form 8-K that was filed with the Securities and Exchange Commission on October 21,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Joseph Davy Subscription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25, 2026, the Company entered into a subscription agreement (the “Subscription Agreement”) with Joseph Davy, the Company’s Chief Executive Officer and Chairman of the Board of Directors, pursuant to which Mr. Davy agreed to purchase 11,596 shares of the Company’s Class B Common Stock, par value $0.0001 per share, for an aggregate purchase price of $81,176, payable in cash. The purchase price was $7.00 per share, which is equal to the consolidated closing bid price of the Company’s Class A Common Stock on Nasdaq immediately preceding the execution of the Subscription Agreement. Following the purchase, Mr. Davy held a 25.6% voting interest in the Company’s voting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Evergreen Convertible Note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4, 2026, the Company entered into a Securities Purchase Agreement (the “Purchase Agreement”) with an accredited investor (the “Purchaser”), pursuant to which the Company agreed to sell, in a private placement (the “Private Placement”), (i) a convertible promissory note (the “Note”) in an initial principal amount of $2,142,857 (subject to increase up to $3,571,429), bearing interest at 10% per annum with a 30% original issue discount and maturing on June 4, 2027, convertible into shares of Common Stock at $27.50 per share, and (ii) a warrant (the “Common Warrant”) to purchase up to 77,922 shares of Common Stock (subject to increase in connection with subsequent tranche fundings) at an exercise price of $27.50 per share, exercisable immediately and expiring five years from issuance. The Purchaser’s subscription amount is payable in up to three tranches, with $1,500,000 paid at the initial closing. Aegis Capital Corp. acted as the exclusive placement agent for the Private Placement. In connection with the Private Placement, the Company’s directors, executive officers, and stockholders holding at least 10% of the outstanding shares of Common Stock entered into lock-up agreements restricting dispositions for 90 calendar days from the date of the Purchase Agreement.</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Since entering into the Purchase Agreement, the Company and the Purchaser have revised some of the terms of the Purchase Agreement and related instruments via two letter agreements and an amended and restated Note and a second amended and restated Note. Most notably, the revised terms dictate that the threshold amount for cross defaults under the Note shall be set at $250,000. Additionally, the Purchaser now has a 25% participation right in the Company’s future financings, with some noted exceptions, until the later of September 18, 2027 and the date that Aegis ceases to act as the Company’s investment bank. The parties also agreed to revise the $500,000 Tranche 2 funding into two separate fundings of $190,000 and $310,000, rather than one lump sum payment. The two separate fundings were executed and funded on September 21, 2026, and September 28, 2026, respectively. The amended and restated Note consolidated the original Note and the interim notes issued in connection with the Tranche 2 fundings into a single Note with a principal</w:t>
      </w:r>
    </w:p>
    <w:p>
      <w:pPr>
        <w:sectPr>
          <w:pgSz w:w="11900" w:h="16873" w:orient="portrait"/>
          <w:cols w:equalWidth="0" w:num="1">
            <w:col w:w="11240"/>
          </w:cols>
          <w:pgMar w:left="320" w:top="229" w:right="339" w:bottom="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amount of $2,857,143. The second amended and restated Note superseded that Note and reflects the funding of $300,000 of Tranche 3, increasing the principal amount to $3,285,714, with the remaining $200,000 payable within three business days after the public filing of the registration statement on Form S-1 (or any amendment thereto) relating to the Offering. Upon funding of that remaining amount, the principal amount will automatically increase by $285,714.</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as amended and restated, the Note, the Common Warrant, the Lock-Up Agreements, and the two letter agreements are qualified in their entirety by reference to the full text of such documents, which are filed as exhibits to this registration statement or incorporated herein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Aegis Public Offering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14, 2026, we closed a previously announced underwritten public offering with gross proceeds to the Company of approximately $0.9 million, before deducting underwriting fees and other offering expenses payable by the Company. The offering consisted of the sale of 32,727 shares of Class A Common Stock. The public offering price per share was $27.50. We intend to use the net proceeds from the offering for working capital and other general corporate purposes. Solely to cover over-allotments, if any, the Company has granted Aegis Capital Corp. a 45-day option to purchase up to 3,636 additional shares of Common Stock. The purchase price to be paid per additional share of Common Stock will be equal to the public offering price of one Common Stock, less the underwriting discount. For more information regarding this transaction,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ConnectAndSell Asset Purchase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Parabolic’s portfolio, extending the Company’s reach across more of the customer revenue journey. For more information regarding this acquisition,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Financing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 2026 (the “Effective Date”),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 The Note is repayable in 32 weekly installments of $94,500, representing a payment multiplier of 1.44x, and all amounts are due on February 10, 2027 (the “Maturity Date”). Borrowers may voluntarily prepay the Note in full, and if repaid within 30, 45, or 60 days after the Effective Date, the total loan payoff amount is reduced to $2,625,000, $2,730,000, or $2,835,000, respectively.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effected a 1-for-10 reverse stock split of the shares of the Company’s Class A and Class B Common Stock, effective as of July 8, 2025 (the “July Reverse Stock Split”). On April 28, 2026, stockholders holding approximately 40.52% of the Company’s voting power approved a 1-for-20 reverse stock split of the Company’s Class A and Class B common stock, and the Company subsequently filed a Certificate of Amendment to its Certificate of Incorporation with the Secretary of State of Delaware to effect the reverse stock split. Trading of the Company’s Class A Common Stock on a split-adjusted basis commenced on Nasdaq on May 8, 2026, under the symbol “PARA,” and the reverse stock split reduced the number of outstanding shares of Class A and Class B common stock from 22,910,282 and 677,118 shares to 1,145,515 and 33,856 shares, respectively (the “May 2026 Reverse Stock Split”). On October 16, 2026, the Company’s Board of Directors announced a 1-for-10 reverse stock split of the Company’s Class A and Class B common stock, and the Company subsequently filed a Certificate of Amendment to its Certificate of Incorporation with the Secretary of State of Delaware to effect the reverse stock split. Trading of the Company’s Class A Common Stock on a split-adjusted basis commenced on Nasdaq on October 27, 2026, and the reverse stock split reduced the number of outstanding shares of Class A and Class B common stock from 5,196,827 and 149,821 shares to 519,763 and 14,983 shares, respectively (the “October 2026 Reverse Stock Split”).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Agile Exchange Agreements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December 15, 2025, the Company entered into that certain Exchange Agreement (the “Agile Exchange Agreement”) by and among Agile Capital Funding, LLC, a New York limited liability company, and Agile Lending, LLC, a Virginia limited liability company (“Agile”), on the one hand, and the Company, on the other hand, pursuant to which the Company exchanged 1,164 shares of Common Stock, valued at $244.00 per share, for a reduction of the outstanding balance of that certain Subordinated Secured Promissory Note issued to Agile in the original principal amount of $4,000,000 (the “Agile Note”). In connection therewith, the Company entered into that certain Forbearance Agreement (the “Forbearance Agreement”), dated as of December 15, 2025, pursuant to which, among other things, the Company agreed to pay to Agile a forbearance fee of $628,058 in the form of an increase in the principal amount due under the Agile Note. Following the initial exchange, the Company and Agile entered into twelve additional exchange agreements on substantially similar terms between January 2026 and June 2026 (each, a “Subsequent Exchange Agreement”), pursuant to which the Company issued an aggregate of 30,345 additional shares of Common Stock to Agile at prices ranging from $29.50 to $236.00 per share in exchange for corresponding reductions in the outstanding balance under the Agile Note (the Agile Exchange Agreement, the Subsequent Exchange Agreements, and the transactions contemplated thereby, collectively, the “Agile Exchanges”). Following these exchanges, the outstanding balance of the Agile Note was fully extinguished.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Agile Term Note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2026, the Company issued a subordinated secured promissory note (the “Agile Note #9”) for an aggregate principal amount of $360 thousand and received net proceeds of $342 thousand, after administrative agent fees of $18 thousand paid to Agile Funding. Agile Note #9 has a maturity date of March 2, 2027 and bears interest at a rate of 46%.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Offering (3i, LP)</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13, 2026, the parties held an additional closing pursuant to the terms of the Purchase Agreement (the “February Closing”), originally entered into in June 2025. The Company issued an additional note in the original principal amount of $2,333,333, with an initial conversion price equal to $222.00 per share and issuance date of February 13, 2026 (the “February 3i Note,” together with the 3i Note #5 defined below, the August Note, the October Note, and the first Note issued in June 2025, are collectively referred to herein as the “Notes”), and additional warrants to purchase up to 2,102 shares of Common Stock, at an initial exercise price equal to $500.00 per share (the “February Warrants,” together with the 3i Note #5 Warrants, the August Warrant, the October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 The shares of Common Stock being registered for resale in this prospectus (as described on the cover page hereof) include shares issuable upon conversion of the Notes and exercise of the Buyer Warrants issued pursuant to the Purchase Agreement, including shares issuable as a result of the adjustment provision described below.</w:t>
      </w:r>
    </w:p>
    <w:p>
      <w:pPr>
        <w:spacing w:after="0" w:line="19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February Note is subject to a floor price of $50.80. The Conversion Price of the Notes and the exercise price of the Buyer Warrants are each subject to adjustment pursuant to the terms of the Notes and Buyer Warrants, respectively, including: (i) customary adjustments for stock splits, stock dividends, recapitalizations and similar events; (ii) anti-dilution adjustments pursuant to which the Conversion Price or exercise price, as applicable, may be reduced if the Company issues or is deemed to issue shares of Common Stock or other convertible securities at a price below the then-applicable Conversion Price or exercise price; and (iii) certain alternative conversion pricing provisions contained in the Notes based on the market price of the Common Stock. As a result of these adjustment provisions, the number of shares of Common Stock issuable upon conversion of the Notes and exercise of the Buyer Warrants could increase materially above the number of shares initially issuable based on the original Conversion Price and exercise price, and the Company is registering additional shares of Common Stock pursuant to this prospectus to account for such potential increases.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12, 2026, the parties held an additional closing pursuant to the terms of the Purchase Agreement (the “August 2026 Closing”) and the Company issued an additional convertible note (the “3i Note #5”), additional buyer warrants (the “3i Note #5 Warrants”), and additional Financial Advisor warrants (the “3i Note #5 FA Warrants”). The 3i Note #5 has an original principal amount of $1.1 million, matures on August 12, 2027, and has a initial conversion price of $19.60 per share that is subject to a floor price of $3.50. Upon issuance, the Company received proceeds of approximately $1.0 million, net of OID and issuance fees and costs. The 3i Note #5 Warrants allow for the purchase of up to 11,253 shares of Common Stock at an initial exercise price of $19.60 per share, are exercisable immediately upon issuance, and expire on August 12, 2029. The 3i Note #5 FA Warrants allow for the purchase of up to 3,571 shares of Common Stock at an initial exercise price of $24.50 per share, are exercisable immediately upon issuance, and expire on August 12, 2031.</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Due to the Agile Exchanges that took place in late 2025 and 2026, the number of shares of Class A Common Stock issuable upon exercise of the Buyer Warrants was adjusted from 166,639 to 56,001 and the Exercise Price of the Buyer Warrant was adjusted from $11.10 to $33.03. In addition, pursuant to the anti-dilution provisions contained in the Notes, the conversion price of the Notes was automatically adjusted downward, which increased the number of shares issuable upon conversion of the Notes, although the outstanding principal amount of the Notes remained unchanged. Following the May 2026 Reverse Stock Split, the Exercise Price and Conversion Price of the Buyer Warrants and Notes were adjusted to $33.03 and $33.03, respectively. Following the July 2026 Aegis Public Offering, the Buyer Warrants and Notes have a current Exercise Price and Conversion Price of $27.50 and $27.50, respectively.</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conversions that took place in August 2026, the number of shares of Class A Common Stock issuable upon exercise of the Buyer Warrants and the FA Warrants was adjusted from 79,515 to 166,286 and from 30,302 to 66,071, respectively, and the Exercise Price of the Buyer Warrants and the FA Warrants was adjusted to $12.45.</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7, 2026, the Company paid cash of approximately $600 thousand to 3i, LP, and the February 3i Note was fully repaid.</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Following the October 2026 Reverse Stock Split, the Exercise Price and Conversion Price of the Buyer Warrants and Notes were adjusted to $27.50 and $27.50,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1800 Diagonal Issuances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2026, the Company issued a promissory note (“1800 Diagonal Note #14”) for an aggregate principal amount of approximately $135 thousand and received net proceeds of approximately $110 thousand, after discount and transaction fees. The note has a maturity date of April 15, 2027, and bears interest at 77.7% per annum.</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12, 2026, the Company issued a promissory note (“1800 Diagonal Note #15”) for an aggregate principal amount of approximately $144 thousand and received net proceeds of approximately $118 thousand, after discount and transaction fees. The note has a maturity date of May 15, 2027, and bears interest at 74.4%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Venture Issuance and Payoff</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31, 2026, the Company executed a promissory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TVT Capital Issuance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April 28, 2026, the Company executed a promissory note for an aggregate principal amount of approximately $834 and received net proceeds of approximately $579, after discount and transaction fees. The note has a maturity date of January 5, 2027, and bears interest at 106.71% per annum.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GMFunding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2026, the Company issued a promissory note (“GMFunding Note”) for an aggregate principal amount of approximately $200 thousand and received net proceeds of approximately $188 thousand, after transaction fees. The note has a maturity date of March 12, 2027, and bears interest at 502%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CFG Funding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31, 2026, the Company issued a promissory note (“CFG Funding Note”) for an aggregate principal amount of approximately $200 thousand and received net proceeds of approximately $188 thousand, after transaction fees. The note has a maturity date of March 15, 2027, and bears interest at 502% per annum.</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UCAP LLC Convertible Note Issuance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5, 2026, the Company issued a 12% convertible redeemable note to UCAP LLC (“UCAP Note”) for an aggregate principal amount of approximately $556 thousand and received net proceeds of approximately $480 thousand, after discount and transaction fees. The note matures on August 5, 2027 and is convertible into shares of the Company’s Class A Common Stock at a variable conversion price based on the market price of the Company’s Class A Common Stock. The Company has elected to account for the note under fair value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CP BF Loan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19, 2021, the Company, along with Joe Davy and Demio, Inc. (the “Guarantors”), entered into a loan agreement with CP BF Lending, LLC (“CP BF” and the “Loan Agreement,” respectively) and issued a convertible promissory note (the “First Senior Convertible Note”) in an aggregate principal amount of $1,500,000 to CP BF. As further disclosed in previously filed Current Reports on Form 8-K, the parties entered into several amendments and side letters regarding the Loan Agreement and First Senior Convertible Note. The Company also previously disclosed that in September 2024, pursuant to a securities purchase agreement with CP BF, (the “CP BF SPA”),CP BF agreed to convert $2,000,000 in debt into $2,200,000 in equity, consisting of 2,609 shares of Class A Common Stock, Warrants to purchase up to 5,656 shares of Class A Common Stock and Pre-Funded Warrants to purchase up to 3,047 shares of Class A Common Stock (collectively, the “CP BF Registrable Securities”). After giving effect to the purchase and sale pursuant to the CP BF SPA, the Company’s remaining obligation to CP BF was $8,758,775. CP BF agreed to convert such debt into a consolidated convertible note with a principal amount of $10,758,775 (the “Note”), via the Second Amendment to Loan Agreement, dated September 23, 2024 (the “Amended Loan Agreement”).</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14, 2025, the Company and CP BF executed a letter agreement dated October 10, 2025 (as amended on October 15, 2025, the “Letter Agreement”), amending certain terms of the Loan Agreement and Note. Pursuant to the Letter Agreement: (i) the Conversion Price was reduced to 95% of the Class A Common Stock price on the trading day (each a “Trading Day”) immediately preceding delivery of any Conversion Notice, subject to a floor price of $25.00; (ii) CP BF agreed to use commercially reasonable efforts to partially convert the Balance of the Note into Class A Common Stock at the new conversion price, subject to a daily volume limitation of 5% of aggregate daily trading volume, which the Company may waive or increase; and (iii) following the Company’s payment of at least $2,000,000 of the Note’s then existing balance and until the earlier of (a) 60 days following the date of the Letter Agreement and (b) the Company’s receipt of $10,000,000 in gross proceeds from securities sales (such period, the “Suspension Period”), the Company’s obligation to prepay a portion of securities offering proceeds to CP BF under the Loan Agreement is suspended.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2.3(a)(i) of the Note, the Conversion Price was proportionately adjusted to reflect the May 2026 Reverse Stock Split. As of May 14, 2026, there was an aggregate of $5,361,910 outstanding under the Note.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$500.00 (as adjusted for the Reverse Stock Split) to $45.00 (on a post-Reverse Stock Split basis). For the avoidance of doubt, the Conversion Price remains equal to 95% of the price of the Class A Common Stock on the Trading Day immediately preceding delivery of any Conversion Notice, subject to the applicable floor price as amended by the Floor Price Amendment.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2026, the Company, the Guarantors and CP BF entered into another letter agreement pursuant to which CP BF may not convert any portion of the Note, and the Company may not issue shares to CP BF thereunder, to the extent CP BF and its affiliates would beneficially own more than 9.99% of the Class A Common Stock outstanding after giving effect to such conversion or issuance.</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Section 2.3(a)(i) of the Note, the Conversion Price was proportionately adjusted to reflect the October 2026 Reverse Stock Split. As of October 16, 2026, there was an aggregate of $4,977,108 outstanding under the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Issuances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1800 Diagonal Conversions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Lender exercised its contractual conversion option multiple times under the July 1800 Diagonal Note and September 1800 Diagonal Note and received an aggregate of approximately 2 thousand shares of Class A Common Stock at conversion prices ranging from $147.50 to $180.00 in satisfaction of approximately $392 thousand of the Company’s obligations under the respective Notes.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Between May 5, 2026 and May 11, 2026, the Lender exercised its contractual conversion option multiple times under the November 1800 Diagonal Note and September 1800 Diagonal Note and received an aggregate of approximately 4 thousand shares of Class A Common Stock at conversion prices ranging from $33.03 to $45.20 in satisfaction of approximately $142 thousand of the Company’s obligations under the respective Notes.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5, 2026, August 14, 2026, August 17, 2026 and August 18, 2026, the Lender exercised its contractual conversion option under the December 1800 Diagonal Note and the January 1800 Diagonal Note, respectively, and received an aggregate of approximately 14 thousand shares of Class A Common Stock at conversion prices ranging from $10.875 to $13.05, in satisfaction of approximately $37 thousand and $174 thousand of the Company’s obligations under the December 1800 Diagonal Note and the January 1800 Diagonal Note,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Boot Capital Conversions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6, 2026, the Lender exercised its contractual conversion option under the Boot Capital Note and received an aggregate of approximately 2 thousand shares of Class A Common Stock at a conversion price of $13.05 in satisfaction of approximately $22 thousand of the Company’s obligations under the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Market Offering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December 31, 2025, the Company issued approximately 11 thousand shares under the ATM Agreement for net proceeds of approximately $2.7 million. The aggregate market value of the shares of Class A Common Stock eligible for sale under the ATM Prospectus Supplement was approximately $0.1 million as of October 29, 2026, which is based on the limitations of General Instruction I.B.6 of Form S-3.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14, 2023, 7GC, Legacy Banzai and Yorkville entered into a Standby Equity Purchase Agreement (as amended and supplemented from time to time, the “SEPA”), pursuant to which Yorkville has committed to purchase up to $100 million of Common Stock, subject to certain limitations and conditions set forth in the SEPA. The prior SEPA registration statements have been fully utilized. We registered additional shares of Class A Common Stock issuable under the SEPA on a registration statement on Form S-1 (File No. 333-297492), which became effective on July 27, 2026; as of the date hereof, 1,457,000 shares remain available for issuance thereunder. Since inception through the date of this prospectus, the Company has issued Advance Notices to Yorkville pursuant to the SEPA pursuant to which Yorkville has purchased an aggregate of approximately 78,500 shares of the Company’s Class A Common Stock for aggregate gross value and net proceeds of approximately $853 thousand and $817 thousand,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Business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operating losses in the past and may never achieve or maintain profitability.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substantial doubt about our ability to continue as a going concern, and holders of our securities could suffer a total loss of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offerings, which makes it difficult to evaluate our current and future business prospects and increases the risk of your investment.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growth rate depends on existing customers renewing and maintaining or expanding their subscriptions, and if we fail to retain our customers at current or expanded subscriptions, our business will be harmed.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on a cost-effective basis, our business will be harmed.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growth, our business, results of operations, and financial condition may be harmed.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execute on our growth initiatives, business strategies, or operating plans.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assumptions, analyses, and estimates upon which our forecasts, projections and outlook are based prove to be incorrect or inaccurate, our actual results may differ materially from those forecasted or projected.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retain qualified personnel, our business could be harmed.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a limited history working together operating the Company and, as a result, our past results may not be indicative of future operating performance.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adequately fund our development efforts, we may not be able to compete effectively and our business and operating results may be harmed.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acquisitions of, and investments in, other businesses, products, or technologies may not yield expected benefits and our inability to successfully integrate acquisitions may negatively impact our business, financial condition,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recognize revenue from subscriptions for our product offerings over the terms of the subscriptions, our financial results in any period may not be indicative of our financial health and future performance.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cycle can be lengthy and unpredictable, which may cause our operating results to vary significantly.</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data security breaches and ransomware attacks may create financial liabilities for us, damage our reputation, and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security laws and regulations could impose additional costs and reduce demand for our solutions.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offerings, solutions, and internal systems, as well as external internet infrastructure, may be subject to disruption that could harm our reputation and future sales or result in claims against us.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defects in our product offerings could harm our reputation or decrease market acceptance of our product offerings, which would harm our business and results of operations.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maintain and enhance our brands, our business may suffer.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our net operating loss to offset future taxable income may be subject to certain limitations.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need to continue making significant investments in software development and equipment to improve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results could have a material adverse impact on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or enforce our intellectual property rights could harm our business and results of operations.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or otherwise violating their intellectual property rights, the outcome of which would be uncertain and could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open source software could adversely affect our ability to offer our solutions and subject us to possible litigation.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Offering and Ownership of Our Securities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support the growth of our business and repay our indebtedness, we will need to seek capital through new equity or debt financings or incur additional indebtedness under our credit facilities, which sources of additional capital may not be available to us on acceptable terms or at all.</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shares of Class A Common Stock may depress their stock price.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of shares of Class A Common Stock pursuant to any Advances under the SEPA (as defined below), exercise of the GEM Warrant (as defined below) and conversion of any amounts under the Notes would result in substantial dilution of our stockholders and may have a negative impact on the market price of our Class A Common Stock.</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may delist our securities from trading on its exchange, which could limit investors’ ability to make transactions in our securities and subject us to additional trading restrictions.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Class A Common Stock ceases to be listed on a national securities exchange it will become subject to the so-called “penny stock” rules that impose restrictive sales practice requirements.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 class common stock structure has the effect of concentrating voting power with our Chief Executive Officer and Co-Founder, Joseph Davy, which may limit an investor’s ability to influence the outcome of important transactions, including a change in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predict the impact our dual class structure will have on the market price of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Class A Common Stock is likely to be highly volatile, and you may lose some or all of your investment.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 of Class A Common Stock could subject us to securities class action litigation.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us, or publish negative reports, then our stock price and trading volume could decline.</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increased costs and demands upon management as a result of complying with the laws and regulations affecting public companies, which could adversely affect our business, results of operations, and financial condition.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internal control over financial reporting.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currently anticipated that we will pay dividends on shares of Class A Common Stock, and, consequently, your ability to achieve a return on your investment will depend on appreciation, if any, in the market price of Class A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Delaware General Corporation Law (“DGCL”) and our Charter and Bylaws contain certain provisions, including anti-takeover provisions, that limit the ability of stockholders to take certain actions and could delay or discourage takeover attempts that stockholders may consider favorable.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 ability to choose the judicial forum for disputes with us or our directors, officers, or employees.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forum clause set forth in certain of the agreements covering certain outstanding warrants may have the effect of limiting an investor’s rights to bring legal action and could limit the investor’s ability to obtain a favorable judicial forum.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smaller reporting company. We cannot be certain whether the reduced disclosure requirements applicable to smaller reporting companies will make our Class A Common Stock less attractive to investors or otherwise limit our ability to raise additional funds.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estimates or judgments relating to our critical accounting policies prove to be incorrect or financial reporting standards or interpretations change, our results of operations could be adversely affected.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warrants may never be in the money and they may expire worthless and therefore we may not receive cash proceeds from the exercise of the Warrants. The terms of the warrants may be amended in a manner adverse to a holder if holders of at least 50% of the then outstanding public warrants approve of such amendment.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redeem unexpired Public Warrants (as hereinafter defined) prior to their exercise at a time that is disadvantageous to the holder, thereby making the Public Warrants worthless.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Class A Common Stock or Preferred Stock, including under our equity incentive plan. Any such issuances would dilute the interest of our stockholders and likely present other risks.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Class A Common Stock in the public market pursuant to our effective registration statement could reduce the market price of Class A Common Stock.</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is subject to minimum requirements to remain listed on Nasdaq, including a minimum bid price requirement and stockholders’ equity requirement, and may be delisted if it does not maintain or regain, as applicable, compliance with those requirements.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convertible promissory notes have certain rights upon an event of default under their respective agreements that could harm our business, financial condition and results of operations and could require us to curtail or cease our operations.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broad discretion in the use of the net proceeds from this offering and may use the net proceeds in ways with which you disagree.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are speculative in nature and holders of our Warrants will not have any rights of stockholders until such Warrants are exercised.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Warrants and Pre-Funded Warrants will not be listed or quoted on any exchange.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 Warrants and Pre-Funded Warrants, holders of Warrants and Pre-Funded Warrants purchased in this offering will have no rights as stockholders until such holders exercise their Warrants or Pre-Funded Warrants and acquire our Class A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7GC, our predecessor company, was incorporated in the State of Delaware in September 2020 for the purpose of effecting a merger, capital stock exchange, asset acquisition, stock purchase, reorganization or similar business combination involving 7GC and one or more businesses. 7GC completed its IPO in December 2020. In December 2023, First Merger Sub merged with and into Legacy Banzai, and Legacy Banzai, as the Surviving Corporation, merged with and into Second Merger Sub, with Second Merger Sub being the surviving entity, which ultimately resulted in Legacy Banzai becoming a wholly-owned direct subsidiary of 7GC. In connection with the Mergers, 7GC changed its name to Banzai International, Inc. Effective October 27, 2026, our company name changed from Banzai International, Inc. to Parabolic Technologies, Inc. following approval by our shareholders.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435 Ericksen Ave NE, Suite 250, Bainbridge Island, WA 98110. Our telephone number is (206) 414-1777. Our website address is </w:t>
      </w:r>
      <w:r>
        <w:rPr>
          <w:rFonts w:ascii="Times New Roman" w:cs="Times New Roman" w:eastAsia="Times New Roman" w:hAnsi="Times New Roman"/>
          <w:sz w:val="18"/>
          <w:szCs w:val="18"/>
          <w:u w:val="single" w:color="auto"/>
          <w:color w:val="auto"/>
        </w:rPr>
        <w:t>www.parabolic.io</w:t>
      </w:r>
      <w:r>
        <w:rPr>
          <w:rFonts w:ascii="Times New Roman" w:cs="Times New Roman" w:eastAsia="Times New Roman" w:hAnsi="Times New Roman"/>
          <w:sz w:val="18"/>
          <w:szCs w:val="18"/>
          <w:color w:val="auto"/>
        </w:rPr>
        <w:t>. The information on our corporate website is not part of, and is not incorporated by reference into, this prospectus.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$250.0 million measured on the last business day of our second fiscal quarter, or our annual revenue is less than $100.0 million during the most recently completed fiscal year and the market value of our voting and non-voting Common Stock held by non-affiliates is less than $700.0 million measured on the last business day of our second fiscal quarter.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result, the information in this prospectus and that we provide to our investors in the future may be different than what you might receive from other public reporting companies.</w:t>
      </w:r>
    </w:p>
    <w:p>
      <w:pPr>
        <w:sectPr>
          <w:pgSz w:w="11900" w:h="16838" w:orient="portrait"/>
          <w:cols w:equalWidth="0" w:num="1">
            <w:col w:w="11240"/>
          </w:cols>
          <w:pgMar w:left="320" w:top="229"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00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1960" w:type="dxa"/>
            <w:vAlign w:val="bottom"/>
          </w:tcPr>
          <w:p>
            <w:pPr>
              <w:spacing w:after="0"/>
              <w:rPr>
                <w:sz w:val="24"/>
                <w:szCs w:val="24"/>
                <w:color w:val="auto"/>
              </w:rPr>
            </w:pPr>
          </w:p>
        </w:tc>
        <w:tc>
          <w:tcPr>
            <w:tcW w:w="8000" w:type="dxa"/>
            <w:vAlign w:val="bottom"/>
          </w:tcPr>
          <w:p>
            <w:pPr>
              <w:ind w:left="17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Issuer</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Parabolic Technologies, Inc.</w:t>
            </w:r>
          </w:p>
        </w:tc>
      </w:tr>
      <w:tr>
        <w:trPr>
          <w:trHeight w:val="41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Offered by Us</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4,963,235 Units, each consisting of (i) one share of Class A Common Stock or, in lieu thereof, one Pre-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Funded Warrant to purchase one share of Class A Common Stock, and (ii) two Warrants, each Warrant</w:t>
            </w:r>
          </w:p>
        </w:tc>
      </w:tr>
      <w:tr>
        <w:trPr>
          <w:trHeight w:val="234"/>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exercisable for one share of Class A Common Stock.</w:t>
            </w:r>
          </w:p>
        </w:tc>
      </w:tr>
      <w:tr>
        <w:trPr>
          <w:trHeight w:val="41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the Warrants</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Initially, the Warrants shall be exercisable at an exercise price equal to 250% of the Unit price. The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Warrants have a term of five (5) years from the Issuance Date. In addition to a conventional cash exercise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and, in specified circumstances, a cashless exercise, a holder may elect at any time following the Issuance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Date to exercise the Warrants using a “zero exercise price option,” whereby the holder pays no cash</w:t>
            </w:r>
          </w:p>
        </w:tc>
      </w:tr>
      <w:tr>
        <w:trPr>
          <w:trHeight w:val="234"/>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 price and receives 90% of the number of shares otherwise issuable upon a cash exercise.</w:t>
            </w:r>
          </w:p>
        </w:tc>
      </w:tr>
      <w:tr>
        <w:trPr>
          <w:trHeight w:val="414"/>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 4:02 p.m. Eastern time on the fifth (5th) Trading Day after the Issuance Date (the “First Reset Time”),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exercise price of the Warrants will be adjusted to the lower of (i) the exercise price then in effect and</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(ii) a price equal to the greater of (A) 80% of the lowest VWAP during the period commencing on the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Pricing Date (the date of execution of the Underwriting Agreement) and ending on the First Reset Time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“First Reset Period”) and (B) the First Floor Price (as defined below). The “First Floor Price” means</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50% of the Nasdaq Minimum Price, subject to adjustment for forward and reverse stock splits, share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combinations, recapitalizations and similar transactions following the Issuance Date, and the “Nasdaq</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Minimum Price” means the lower of: (i) the most recent Nasdaq Official Closing Price immediately</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preceding the execution of the Underwriting Agreement; or (ii) the average Nasdaq Official Closing Price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the five trading days immediately preceding the execution of the Underwriting Agreement. At 4:02</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p.m. Eastern time on the tenth (10th) Trading Day after the Issuance Date (the “Second Reset Time”), the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exercise price of the Warrants will be adjusted to the lower of (i) the exercise price then in effect and (ii)</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 price equal to the greater of (A) 80% of the lowest VWAP during the period commencing on the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Issuance Date and ending on the Second Reset Time (the “Second Reset Period”) and (B) the Second</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Floor Price (as defined below). The “Second Floor Price” means 30% of the Nasdaq Minimum Price,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subject to adjustment for forward and reverse stock splits, share combinations, recapitalizations and</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similar transactions following the Issuance Date. In no event shall the exercise price on the First Reset</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Time be adjusted to a price less than the First Floor Price, and in no event shall the exercise price on the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Second Reset Time be adjusted to a price less than the Second Floor Price. Upon any such reset, the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number of warrant shares issuable upon exercise shall be equal to (a) the aggregate exercise price payable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 the warrant shares issuable on the Issuance Date, divided by (b) the exercise price as so adjusted,</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minus (c) the aggregate number of warrant shares theretofore issued upon any prior exercise of the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Warrant, whether such issuance occurred before, on or after such reset. A Warrant may be exercised in</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full prior to the Second Reset Time; in that event, the Warrant will remain outstanding, and the holder</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will remain entitled to receive any additional Warrant Shares resulting from the adjustment at the First</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Reset Time and/or the Second Reset Time, as applicable, notwithstanding that the Warrant had already</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been exercised in full before such Reset Time. No further adjustment to the exercise price or the number</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of Warrant Shares issuable pursuant to the reset mechanism described above will occur after the Second</w:t>
            </w:r>
          </w:p>
        </w:tc>
      </w:tr>
      <w:tr>
        <w:trPr>
          <w:trHeight w:val="234"/>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Reset Time.</w:t>
            </w:r>
          </w:p>
        </w:tc>
      </w:tr>
      <w:tr>
        <w:trPr>
          <w:trHeight w:val="414"/>
        </w:trPr>
        <w:tc>
          <w:tcPr>
            <w:tcW w:w="12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 better understand the terms of the Warrants, you should carefully read the “Description of the</w:t>
            </w:r>
          </w:p>
        </w:tc>
      </w:tr>
      <w:tr>
        <w:trPr>
          <w:trHeight w:val="234"/>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Securities We Are Offering” section of this prospectus.</w:t>
            </w:r>
          </w:p>
        </w:tc>
      </w:tr>
      <w:tr>
        <w:trPr>
          <w:trHeight w:val="414"/>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 of the Pre-Funded Warrants</w:t>
            </w: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 are offering to those purchasers whose purchase of Class A Common Stock in this offering would</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otherwise result in the purchaser, together with its affiliates and certain related parties, beneficially</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owning more than 4.99% (or, at the election of the purchaser, 9.99%) of our outstanding Class A</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immediately following the closing of this offering, in lieu of purchasing Class A</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Common Stock, up to 4,838,235 Pre-Funded Warrants. Each Pre-Funded Warrant will be exercisable for</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one share of our Class A Common Stock. The purchase price of each Pre-Funded Warrant is equal to the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public offering price per Class A Common Stock, minus $0.00001, and the exercise price of each Pre-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Funded Warrant is $0.00001 per share. The Pre-Funded Warrants will be exercisable immediately and</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may be exercised at any time until all of the Pre-Funded Warrants are exercised in full. We are also</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registering the shares of common stock issuable upon exercise of the Pre-Funded Warrants. For each Pre-</w:t>
            </w:r>
          </w:p>
        </w:tc>
      </w:tr>
      <w:tr>
        <w:trPr>
          <w:trHeight w:val="216"/>
        </w:trPr>
        <w:tc>
          <w:tcPr>
            <w:tcW w:w="1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Funded Warrant we sell, the number of Class A Common Stock we are offering will decrease on a one-</w:t>
            </w:r>
          </w:p>
        </w:tc>
      </w:tr>
      <w:tr>
        <w:trPr>
          <w:trHeight w:val="234"/>
        </w:trPr>
        <w:tc>
          <w:tcPr>
            <w:tcW w:w="1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for-one basis. See “Description Of The Securities We Are Offering – Pre-Funded Warrants.”</w:t>
            </w:r>
          </w:p>
        </w:tc>
      </w:tr>
    </w:tbl>
    <w:p>
      <w:pPr>
        <w:spacing w:after="0" w:line="200"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Class A Common Stock outstanding prior to this offering</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Class A Common Stock outstanding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2,072,632 shares (as of November 4, 2026)</w:t>
      </w:r>
    </w:p>
    <w:p>
      <w:pPr>
        <w:spacing w:after="0" w:line="200" w:lineRule="exact"/>
        <w:rPr>
          <w:sz w:val="20"/>
          <w:szCs w:val="20"/>
          <w:color w:val="auto"/>
        </w:rPr>
      </w:pP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7,035,867 shares (assuming (i) all of the offered Units are sold in this offering at the public offering price of $2.72 per Unit, (ii) the exercise in full of all Pre-Funded Warrants, (iii) no exercise of any Warrants, and (iv) no exercise of the Underwriter’s over-allotment option. If all of the Warrants offered to investors in this offering are exercised pursuant to the zero exercise price option, a maximum of 74,448,525 shares could be issued upon such exercise without payment to the Company of any additional cash and a total of 81,484,392 shares of Class A Common Stock would be outstanding</w:t>
      </w:r>
    </w:p>
    <w:p>
      <w:pPr>
        <w:spacing w:after="0" w:line="187" w:lineRule="exact"/>
        <w:rPr>
          <w:sz w:val="20"/>
          <w:szCs w:val="20"/>
          <w:color w:val="auto"/>
        </w:rPr>
      </w:pPr>
    </w:p>
    <w:p>
      <w:pPr>
        <w:sectPr>
          <w:pgSz w:w="11900" w:h="16838" w:orient="portrait"/>
          <w:cols w:equalWidth="0" w:num="2">
            <w:col w:w="3300" w:space="320"/>
            <w:col w:w="7620"/>
          </w:cols>
          <w:pgMar w:left="320" w:top="229" w:right="339" w:bottom="1122"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18"/>
          <w:szCs w:val="18"/>
          <w:color w:val="auto"/>
        </w:rPr>
        <w:t>Over-allotment option</w:t>
      </w:r>
      <w:r>
        <w:rPr>
          <w:sz w:val="20"/>
          <w:szCs w:val="20"/>
          <w:color w:val="auto"/>
        </w:rPr>
        <w:tab/>
      </w:r>
      <w:r>
        <w:rPr>
          <w:rFonts w:ascii="Times New Roman" w:cs="Times New Roman" w:eastAsia="Times New Roman" w:hAnsi="Times New Roman"/>
          <w:sz w:val="18"/>
          <w:szCs w:val="18"/>
          <w:color w:val="auto"/>
        </w:rPr>
        <w:t>We have granted the underwriter an option to purchase (i) up to 15.0% of the number of additional shares</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of Class A Common Stock sold in the offering and (ii) up to 15.0% of the number of Warrants sold in the</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offering, solely for the purpose of covering over-allotments. The underwriter may exercise this option in</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whole or in part at any time within forty-five (45) Calendar Days after the Closing. The underwriter may</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exercise the over-allotment option with respect to shares of Class A Common Stock only, Warrants only,</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or any combination thereof. The purchase price to be paid per additional share of Class A Common Stock</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will be equal to the public offering price of one Unit, less $0.0002 allocated to the Warrants included in</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each Unit, less the underwriting discount, and the purchase price to be paid per additional Warrant will be</w:t>
      </w:r>
    </w:p>
    <w:p>
      <w:pPr>
        <w:spacing w:after="0" w:line="21"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$0.00001.</w:t>
      </w:r>
    </w:p>
    <w:p>
      <w:pPr>
        <w:spacing w:after="0" w:line="207"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8"/>
          <w:szCs w:val="18"/>
          <w:color w:val="auto"/>
        </w:rPr>
        <w:t>We intend to use the net proceeds from this offering for working capital and other general corporate</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purposes, and repayment of indebtedness. See “Use of Proceeds.”</w:t>
      </w:r>
    </w:p>
    <w:p>
      <w:pPr>
        <w:spacing w:after="0" w:line="207"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8"/>
          <w:szCs w:val="18"/>
          <w:color w:val="auto"/>
        </w:rPr>
        <w:t>An investment in our securities involves substantial risks. See “Risk Factors” and the other information</w:t>
      </w:r>
    </w:p>
    <w:p>
      <w:pPr>
        <w:spacing w:after="0" w:line="27" w:lineRule="exact"/>
        <w:rPr>
          <w:sz w:val="20"/>
          <w:szCs w:val="20"/>
          <w:color w:val="auto"/>
        </w:rPr>
      </w:pPr>
    </w:p>
    <w:p>
      <w:pPr>
        <w:ind w:left="3620"/>
        <w:spacing w:after="0" w:line="260" w:lineRule="auto"/>
        <w:rPr>
          <w:sz w:val="20"/>
          <w:szCs w:val="20"/>
          <w:color w:val="auto"/>
        </w:rPr>
      </w:pPr>
      <w:r>
        <w:rPr>
          <w:rFonts w:ascii="Times New Roman" w:cs="Times New Roman" w:eastAsia="Times New Roman" w:hAnsi="Times New Roman"/>
          <w:sz w:val="18"/>
          <w:szCs w:val="18"/>
          <w:color w:val="auto"/>
        </w:rPr>
        <w:t>included in this prospectus for a discussion of the factors you should consider carefully before deciding to invest in our securities.</w:t>
      </w:r>
    </w:p>
    <w:p>
      <w:pPr>
        <w:spacing w:after="0" w:line="181"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color w:val="auto"/>
        </w:rPr>
        <w:t>Listing</w:t>
      </w:r>
      <w:r>
        <w:rPr>
          <w:sz w:val="20"/>
          <w:szCs w:val="20"/>
          <w:color w:val="auto"/>
        </w:rPr>
        <w:tab/>
      </w:r>
      <w:r>
        <w:rPr>
          <w:rFonts w:ascii="Times New Roman" w:cs="Times New Roman" w:eastAsia="Times New Roman" w:hAnsi="Times New Roman"/>
          <w:sz w:val="18"/>
          <w:szCs w:val="18"/>
          <w:color w:val="auto"/>
        </w:rPr>
        <w:t>Our Class A Common Stock is listed on Nasdaq and trades under the symbol “PARA.” We do not intend</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to list the Warrants offered hereunder on any stock exchange. There are no established public trading</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markets for the Warrants, and we do not expect such markets to develop. Without an active trading</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market, the liquidity of the Warrants will be limited.</w:t>
      </w:r>
    </w:p>
    <w:p>
      <w:pPr>
        <w:spacing w:after="0" w:line="207" w:lineRule="exact"/>
        <w:rPr>
          <w:sz w:val="20"/>
          <w:szCs w:val="20"/>
          <w:color w:val="auto"/>
        </w:rPr>
      </w:pPr>
    </w:p>
    <w:p>
      <w:pPr>
        <w:spacing w:after="0"/>
        <w:tabs>
          <w:tab w:leader="none" w:pos="3600" w:val="left"/>
        </w:tabs>
        <w:rPr>
          <w:sz w:val="20"/>
          <w:szCs w:val="20"/>
          <w:color w:val="auto"/>
        </w:rPr>
      </w:pPr>
      <w:r>
        <w:rPr>
          <w:rFonts w:ascii="Times New Roman" w:cs="Times New Roman" w:eastAsia="Times New Roman" w:hAnsi="Times New Roman"/>
          <w:sz w:val="18"/>
          <w:szCs w:val="18"/>
          <w:color w:val="auto"/>
        </w:rPr>
        <w:t>Lock-Up</w:t>
      </w:r>
      <w:r>
        <w:rPr>
          <w:sz w:val="20"/>
          <w:szCs w:val="20"/>
          <w:color w:val="auto"/>
        </w:rPr>
        <w:tab/>
      </w:r>
      <w:r>
        <w:rPr>
          <w:rFonts w:ascii="Times New Roman" w:cs="Times New Roman" w:eastAsia="Times New Roman" w:hAnsi="Times New Roman"/>
          <w:sz w:val="18"/>
          <w:szCs w:val="18"/>
          <w:color w:val="auto"/>
        </w:rPr>
        <w:t>In connection with this offering, our directors and executive officers and shareholders holding at least</w:t>
      </w:r>
    </w:p>
    <w:p>
      <w:pPr>
        <w:spacing w:after="0" w:line="2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10% of our common stock have agreed not to offer, issue, sell, contract to sell, encumber, grant any</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option for the sale of or otherwise dispose of any of our securities for a period of ninety (90) days</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following the closing of the offering of the Units. Additionally, we have agreed, subject to certain</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exceptions, not to offer, issue, sell, contract to sell, encumber, grant any option for the sale of or</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otherwise dispose of any shares of our common stock or other securities convertible into or exercisable or</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exchangeable for our common stock for a period of ninety (90) days after this offering is completed</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without the prior written consent of the Underwriter (the “Lock-Up Period”). See “Underwriting” for</w:t>
      </w:r>
    </w:p>
    <w:p>
      <w:pPr>
        <w:spacing w:after="0" w:line="9"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more information.</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indicated, all information contained in this prospectus assumes the sale of all of the Units offered hereby at a public offering price of $2.72 per Unit, no exercise of the Warrants included in the Units, and no exercise of the underwriter’s over-allotment option. The number of shares of our Class A Common Stock that are and will be outstanding immediately before and after this registration statement is effective is based on 2,072,632 shares of our Class A Common Stock outstanding as of November 4, 2026, which excludes:</w:t>
      </w:r>
    </w:p>
    <w:p>
      <w:pPr>
        <w:spacing w:after="0" w:line="180" w:lineRule="exact"/>
        <w:rPr>
          <w:sz w:val="20"/>
          <w:szCs w:val="20"/>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115 shares issuable upon exercise of outstanding Public Warrants with an exercise price of $1,150,000.00;</w:t>
      </w:r>
    </w:p>
    <w:p>
      <w:pPr>
        <w:spacing w:after="0" w:line="224" w:lineRule="exact"/>
        <w:rPr>
          <w:rFonts w:ascii="Arial" w:cs="Arial" w:eastAsia="Arial" w:hAnsi="Arial"/>
          <w:sz w:val="18"/>
          <w:szCs w:val="18"/>
          <w:color w:val="auto"/>
        </w:rPr>
      </w:pPr>
    </w:p>
    <w:p>
      <w:pPr>
        <w:jc w:val="both"/>
        <w:ind w:left="680" w:hanging="335"/>
        <w:spacing w:after="0" w:line="265" w:lineRule="auto"/>
        <w:tabs>
          <w:tab w:leader="none" w:pos="6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9 shares issuable upon exercise of the warrant issued on December 14, 2023 (the “GEM Warrant”), to GEM Global Yield LLC SCS and GEM Yield Bahamas Limited (collectively, “GEM”), with an exercise price of $681,450.00 per share, which will be adjusted downward to 105% of the per share consideration received in this offering pursuant to anti-dilution price protections contained within those warrants;</w:t>
      </w:r>
    </w:p>
    <w:p>
      <w:pPr>
        <w:spacing w:after="0" w:line="177" w:lineRule="exact"/>
        <w:rPr>
          <w:rFonts w:ascii="Arial" w:cs="Arial" w:eastAsia="Arial" w:hAnsi="Arial"/>
          <w:sz w:val="18"/>
          <w:szCs w:val="18"/>
          <w:color w:val="auto"/>
        </w:rPr>
      </w:pPr>
    </w:p>
    <w:p>
      <w:pPr>
        <w:ind w:left="680" w:right="20" w:hanging="335"/>
        <w:spacing w:after="0" w:line="281" w:lineRule="auto"/>
        <w:tabs>
          <w:tab w:leader="none" w:pos="6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29 shares issuable within 60 days from the report date upon exercise of outstanding stock options with a weighted average exercise price of $91,527.00 granted through November 4, 2026;</w:t>
      </w:r>
    </w:p>
    <w:p>
      <w:pPr>
        <w:spacing w:after="0" w:line="162" w:lineRule="exact"/>
        <w:rPr>
          <w:rFonts w:ascii="Arial" w:cs="Arial" w:eastAsia="Arial" w:hAnsi="Arial"/>
          <w:sz w:val="18"/>
          <w:szCs w:val="18"/>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5,551 shares issuable within 60 days from the report date upon vesting of outstanding restricted stock units granted through November 4, 2026;</w:t>
      </w:r>
    </w:p>
    <w:p>
      <w:pPr>
        <w:spacing w:after="0" w:line="224" w:lineRule="exact"/>
        <w:rPr>
          <w:rFonts w:ascii="Arial" w:cs="Arial" w:eastAsia="Arial" w:hAnsi="Arial"/>
          <w:sz w:val="18"/>
          <w:szCs w:val="18"/>
          <w:color w:val="auto"/>
        </w:rPr>
      </w:pPr>
    </w:p>
    <w:p>
      <w:pPr>
        <w:ind w:left="680" w:hanging="335"/>
        <w:spacing w:after="0"/>
        <w:tabs>
          <w:tab w:leader="none" w:pos="6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14,983 shares issuable upon conversion of outstanding shares of Class B common stock;</w:t>
      </w:r>
    </w:p>
    <w:p>
      <w:pPr>
        <w:spacing w:after="0" w:line="224"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139 shares issuable upon exercise of outstanding common stock purchase warrants with an exercise price of $18,000.00 that were issued May 2024 pursuant to a “best efforts” offering of our Class A Common Stock (“Best Efforts Offering”);</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8"/>
        </w:numPr>
        <w:rPr>
          <w:rFonts w:ascii="Arial" w:cs="Arial" w:eastAsia="Arial" w:hAnsi="Arial"/>
          <w:sz w:val="18"/>
          <w:szCs w:val="18"/>
          <w:color w:val="auto"/>
        </w:rPr>
      </w:pPr>
      <w:r>
        <w:rPr>
          <w:rFonts w:ascii="Times New Roman" w:cs="Times New Roman" w:eastAsia="Times New Roman" w:hAnsi="Times New Roman"/>
          <w:sz w:val="18"/>
          <w:szCs w:val="18"/>
          <w:color w:val="auto"/>
        </w:rPr>
        <w:t>9 shares issuable upon exercise of warrants issued to the placement agent of the Best Efforts Offering with an exercise price of $20,000.00 per share;</w:t>
      </w:r>
    </w:p>
    <w:p>
      <w:pPr>
        <w:sectPr>
          <w:pgSz w:w="11900" w:h="16838" w:orient="portrait"/>
          <w:cols w:equalWidth="0" w:num="1">
            <w:col w:w="11240"/>
          </w:cols>
          <w:pgMar w:left="320" w:top="229" w:right="339" w:bottom="1122" w:gutter="0" w:footer="0" w:header="0"/>
          <w:type w:val="continuous"/>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122"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80" w:hanging="335"/>
        <w:spacing w:after="0"/>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283 shares are issuable upon exercise of the CP BF common stock warrant with an exercise price of $500.00 per share;</w:t>
      </w:r>
    </w:p>
    <w:p>
      <w:pPr>
        <w:spacing w:after="0" w:line="224" w:lineRule="exact"/>
        <w:rPr>
          <w:rFonts w:ascii="Arial" w:cs="Arial" w:eastAsia="Arial" w:hAnsi="Arial"/>
          <w:sz w:val="18"/>
          <w:szCs w:val="18"/>
          <w:color w:val="auto"/>
        </w:rPr>
      </w:pPr>
    </w:p>
    <w:p>
      <w:pPr>
        <w:ind w:left="680" w:hanging="335"/>
        <w:spacing w:after="0"/>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666 shares are issuable upon exercise of the Alco common stock warrant with an exercise price of $8,040.00 per share;</w:t>
      </w:r>
    </w:p>
    <w:p>
      <w:pPr>
        <w:spacing w:after="0" w:line="224"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589 shares issuable upon exercise of outstanding Class A Common Stock purchase warrants that were issued on November 6, 2024, with an exercise price of $5,000.00;</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589 shares issuable upon exercise of outstanding Class B common stock purchase warrants that were issued on November 6, 2024, with an exercise price of $5,000.00;</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45 shares issuable upon exercise of warrants issued to the placement agent pursuant to the “PIPE” that closed in June 2025, with an exercise price of $10,625.00;</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35,585 shares issuable upon exercise of common stock purchase of 3i, LP warrants issued on June 30, 2025, with an exercise price of $12.45 as per exercise price adjustment and reset as of August 14, 2026;</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14,057 shares issuable upon exercise of warrants issued to the financial advisor of the transaction that closed on June 30, 2025, with an exercise price of $12.45 as per exercise price adjustment and reset as of August 14, 2026;</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35,342 shares issuable upon exercise of common stock purchase of 3i, LP warrants issued on August 19, 2025, with an exercise price of $12.45 as per exercise price adjustment and reset as of August 14, 2026;</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14,052 shares issuable upon exercise of warrants issued to the financial advisor of 3i, LP of the transaction that closed on August 19, 2025, with an exercise price of $12.45 as per exercise price adjustment and reset as of August 14, 2026;</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40,161 shares issuable upon exercise of common stock purchase of 3i, LP warrants issued on October 8, 2025, with an exercise price of $12.45 as per exercise price adjustment and reset as of August 14, 2026;</w:t>
      </w:r>
    </w:p>
    <w:p>
      <w:pPr>
        <w:spacing w:after="0" w:line="162" w:lineRule="exact"/>
        <w:rPr>
          <w:rFonts w:ascii="Arial" w:cs="Arial" w:eastAsia="Arial" w:hAnsi="Arial"/>
          <w:sz w:val="18"/>
          <w:szCs w:val="18"/>
          <w:color w:val="auto"/>
        </w:rPr>
      </w:pPr>
    </w:p>
    <w:p>
      <w:pPr>
        <w:ind w:left="680" w:right="2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15,999 shares issuable upon exercise of warrants issued to the financial advisor of 3i, LP of the transaction that closed on October 8, 2025, with an exercise price of $12.45 as per exercise price adjustment and reset as of August 14, 2026;</w:t>
      </w:r>
    </w:p>
    <w:p>
      <w:pPr>
        <w:spacing w:after="0" w:line="162" w:lineRule="exact"/>
        <w:rPr>
          <w:rFonts w:ascii="Arial" w:cs="Arial" w:eastAsia="Arial" w:hAnsi="Arial"/>
          <w:sz w:val="18"/>
          <w:szCs w:val="18"/>
          <w:color w:val="auto"/>
        </w:rPr>
      </w:pPr>
    </w:p>
    <w:p>
      <w:pPr>
        <w:ind w:left="680" w:right="2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37,484 shares issuable upon exercise of common stock purchase of 3i, LP warrants issued on February 13, 2026, with an exercise price of $12.45 as per exercise price adjustment and reset as of August 14, 2026;</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14,936 shares issuable upon exercise of warrants issued to the financial advisor of 3i, LP of the transaction that closed on February 13, 2026 with an exercise price of $12.45 as per exercise price adjustment and reset as of August 14, 2026;</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17,716 shares issuable upon exercise of common stock purchase of 3i, LP warrants issued on August 12, 2026, with an exercise price of $12.45 as per exercise price adjustment and reset as of August 14, 2026; and</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7,029 shares issuable upon exercise of warrants issued to the financial advisor of 3i, LP of the transaction that closed on August 12, 2026 with an exercise price of $12.45 as per exercise price adjustment and reset as of August 14, 2026.</w:t>
      </w:r>
    </w:p>
    <w:p>
      <w:pPr>
        <w:spacing w:after="0" w:line="162" w:lineRule="exact"/>
        <w:rPr>
          <w:rFonts w:ascii="Arial" w:cs="Arial" w:eastAsia="Arial" w:hAnsi="Arial"/>
          <w:sz w:val="18"/>
          <w:szCs w:val="18"/>
          <w:color w:val="auto"/>
        </w:rPr>
      </w:pPr>
    </w:p>
    <w:p>
      <w:pPr>
        <w:ind w:left="680" w:hanging="335"/>
        <w:spacing w:after="0" w:line="281" w:lineRule="auto"/>
        <w:tabs>
          <w:tab w:leader="none" w:pos="680"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77,923 shares issuable upon exercise of warrants issued to Evergreen Capital Management LLC pursuant to the private financing that closed on September 4, 2026, with an exercise price of $27.50;</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Investing in our securities involves risks. Before you make a decision to buy our securities, in addition to the risks and uncertainties discussed above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significant operating losses in the past and may never achieve or maintain profitability.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incurred significant operating losses since our inception, including operating losses of $18.5 million, and $13.5 million, in the years ended December 31, 2025, and 2024, respectively. For the six months ended June 30, 2026 and 2025, we incurred operating losses of $10.2 million and $9.7 million, respectively. We expect our costs will increase substantially in the foreseeable future and our losses will continue as we expect to invest significant additional funds towards growing our business and operating as a public company and as we continue to invest in increasing our customer base, expanding our operations, hiring additional sales and other personnel, developing future products, and potentially acquiring complementary technology and businesses. These efforts may prove more expensive than we currently anticipate, and we may not succeed in increasing our revenue sufficiently to offset these higher expenses. We are unable to accurately predict when, or if, we will be able to achieve profitability. Even if we achieve profitability in the future, we may not be able to sustain profitability in subsequent periods. To date, we have financed our operations principally from the sale of our equity, revenue from sales, and the incurrence of indebtedness. Our cash flow from operations was negative for the years ended December 31, 2025, and 2024, and we may not generate positive cash flow from operations in any given period. If we are not able to achieve or maintain positive cash flow in the long term, we may require additional financing, which may not be available on favorable terms or at all and/or which would be dilutive to our stockholders. If we are unable to successfully address these risks and challenges as we encounter them, our business may be harmed. Our failure to achieve or maintain profitability or positive cash flow could negatively impact the value of our Class A Common Stock.</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and holders of our securities could suffer a total loss of their investment. We may need to raise additional capital to continue our operations. Such capital may not be available to us or may not be available at terms we deem acceptable, either of which could reduce our ability to compete and could negatively affect our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Management has concluded, and the report of our auditors included in our 2025 Annual Report reflect, that there is substantial doubt about our ability to continue as a going concern within 12 months after the date of that Report. The reaction of investors to the inclusion of a going concern statement by management and our auditors and our potential inability to continue as a going concern may materially adversely affect the price of our publicly traded securities and our ability to raise new capital or enter into partnerships. If we are unable to continue as a going concern, we may have to liquidate our assets and may receive less than the value at which those assets are carried on our financial statements, and it is likely that investors will lose all or part of their investment. Further, the perception that we may be unable to continue as a going concern may impede our ability to pursue strategic opportunities or operate our business due to concerns regarding our ability to fulfill our contractual obligations. In addition, if there remains substantial doubt about our ability to continue as a going concern, investors or other financing sources may be unwilling to provide additional funding to us on commercially reasonable terms, or at all.</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There can be no assurance that we will be able to achieve our forecast or to raise additional capital in sufficient amounts or on favorable terms, or at all. If we are unable to meet or exceed our forecast or raise adequate additional capital when required or in sufficient amounts or on terms acceptable to us, we may have to significantly reduce expenses, sell assets (potentially at a loss), cease operations altogether, pursue an acquisition of our company at a price that may result in up to a total loss on investment for our securityholders, file for bankruptcy or seek other protection from creditors, or liquidate all of our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offerings, which makes it difficult to evaluate our current and future business prospects and increases the risk of your investment.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While we served our first customer in 2017 (operating as Legacy Banzai), we have significantly altered our product offerings over the past few years. Our limited operating history with respect to our current product offerings makes it difficult to effectively assess or forecast our future prospects. For example, in 2021, we acquired Demio, a webinar platform startup, and integrated Demio’s platform into our service offerings, in 2023, we launched Boost, a tool used by Demio customers to enhance participation in their Demio webinars, and in 2025, we acquired Vidello, a technology provider of video hosting and marketing suite solutions for businesses. You should consider our business and prospects in light of the risks and difficulties we encounter or may encounter. These risks and difficulties include our ability to cost-effectively acquire new customers, retain existing customers, and expand the scope of the platform we sell to new and existing customers. Furthermore, in pursuit of our growth strategy, we may enter into new partnerships to further penetrate our targeted markets and adoption of our solutions, but it is uncertain whether these efforts will be successful. If we fail to address the risks and difficulties that we may face, including those associated with the challenges listed above, our business, prospects, financial condition, and operating results may be materially and adversely harmed. It is difficult to predict our future revenues and appropriately budget for our expenses, and we have limited insight into trends that may emerge and affect our business. In the event that actual results differ from our estimates, or we adjust our estimates in future periods, our operating results and financial position could be materially affected.</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growth rate depends on existing customers renewing and maintaining or expanding their subscriptions, and if we fail to retain our customers at current or expanded subscriptions, our business will be harmed.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customers have no obligation to renew their subscriptions for our product offerings after the expiration of their subscription periods. Our customers may not renew. Our renewal and reactivation rates may decline because of a number of factors, including, among other things, customer dissatisfaction, customers’ spending levels, decreased return on investment, increased competition, or pricing changes. If our customers do not renew their subscriptions or downgrade the products purchased under their subscriptions, our revenue may decline, and our business may be harmed. We also face customer retention issues associated with mergers and acquisitions. Acquiring businesses and integrating acquired businesses presents significant business risk, including the risk of lost customers. In the past, we have seen varying customer renewal rates, and our forecast for future customer renewals may not materialize. Our future success also depends in part on existing customers expanding their subscriptions. If our efforts to sell upgrades to our customers are not successful, it may decrease our revenue growth 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on a cost-effective basis, our business will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grow our business, we must continue to grow our customer base in a cost-effective manner. Increasing our customer base and achieving broader market acceptance of our product offerings will depend, to a significant extent, on our ability to effectively expand our sales and marketing activities. We may not be able to recruit qualified personnel, train them to perform, and achieve an acceptable level of sales production from them on a timely basis or at all. In addition, the cost to attract new customers may increase as we market our existing and new products to different market segments. If we are unable to maintain effective sales and marketing activities, our ability to attract new customers could be harmed, our sales and marketing expenses could increase substantially, and our business may be harmed. Further, to the extent there is a sustained general economic downturn and our customers and potential customers experience delays or reductions in general customer engagement technology spending, potential customers may be unwilling to take on the additional cost associated with adopting our product offerings as an alternative to their existing products or service providers, and if they choose to adopt our products, they may not purchase additional products and services in the future due to budget limitations.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our business, results of operations, and financial condition would likely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to continue to experience growth in our headcount and operations, which will continue to place significant demands on our management and our administrative, operational, and financial reporting resources. Our growth will require hiring additional employees and making significant expenditures, particularly in sales and marketing but also in our technology, professional services, finance, and administration teams. Our recent acquisitions also present significant business risk, including the risk of lost customers and revenue, and the risk of increased legal, management, and regulatory expenses. Our ability to effectively manage our growth will require the allocation of management and employee resources along with improvements to operational and financial controls and reporting procedures and systems. Our expenses may increase more than we plan, and we may fail to hire qualified personnel, expand our customer base, enhance our existing products, develop new products, integrate any acquisitions, satisfy the requirements of our existing customers, respond to competitive challenges, or otherwise execute our strategies. If we are unable to effectively manage our growth, our business, results of operations, and financial condition would likely be harmed.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successfully execute on our growth initiatives, business strategies, or operating plans.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continually executing on growth initiatives, strategies, and operating plans designed to enhance our business and extend our existing and future offerings to address evolving needs. The anticipated benefits from these efforts are based on several assumptions that may prove to be inaccurate. Moreover, we may not be able to successfully complete these growth initiatives, strategies, and operating plans and realize all of the benefits, including growth targets and cost savings, that we expect to achieve, or it may be more costly to do so than we anticipate. A variety of risks could cause us not to realize some or all of the expected benefits. These risks include, among others, delays in the anticipated timing of activities related to such growth initiatives, strategies, and operating plans, increased difficulty, and cost in implementing these efforts, including difficulties in complying with new regulatory requirements, the incurrence of other unexpected costs associated with operating our business, and lack of acceptance by our customers. Moreover, our continued implementation of these programs may disrupt our operations and performance. As a result, we cannot assure you that we will realize these benefits. If, for any reason, the benefits we realize are less than our estimates or the implementation of these growth initiatives, strategies, and operating plans adversely affect our operations or cost more or take longer to effectuate than we expect, or if our assumptions prove inaccurate, our business may be harmed.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forecasts, projections, or outlook we may provide are based upon certain assumptions, analyses, and estimates. If these assumptions, analyses, or estimates prove to be incorrect or inaccurate, our actual results may differ materially from those forecasted or projected.</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Any forecasts, projections, or outlook, including projected annual recurring revenue, revenue growth, cost of goods sold, operating expense, gross margin, and anticipated organic and inorganic growth, are subject to significant uncertainty and are based on certain assumptions, analyses, and estimates, including with reference to third-party forecasts, any, or all of which may prove to be incorrect or inaccurate. These may include assumptions, analyses, and estimates about future pricing, and future costs, all of which are subject to a wide variety of business, regulatory, and competitive risks, and uncertainties. If these assumptions, analyses, or estimates prove to be incorrect or inaccurate, our actual results may differ materially from those forecasted or projected and may adversely affect the value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and retain qualified personnel, our business could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large part on our ability to attract, integrate, motivate, and retain highly qualified personnel at a reasonable cost on the terms we desire, particularly sales and marketing personnel, software developers, and technical and customer support. Competition for skilled personnel, particularly in the technology industry, is intense and we may not be successful in attracting, motivating, and retaining needed personnel. We also may be unable to attract or integrate into our operations qualified personnel on the schedule we desire. We have from time to time experienced, and we expect to continue to experience, difficulty in attracting, integrating, motivating, and retaining highly qualified personnel, which could harm our business. In addition, dealing with the loss of the services of our executive officers or other key personnel and the process to replace any of our executive officers or other key personnel may involve significant time and expense, take longer than anticipated, and significantly delay or prevent the achievement of our business objectives, which may harm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a limited history working together operating the Company and, as a result, our past results may not be indicative of future operating performance.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limited history working together operating the Company, which makes it difficult to forecast our future results. Our strategy of acquiring and integrating new operating businesses further compounds this risk. You should not rely on our past quarterly operating results as indicators of future performance. In addition, you should consider and evaluate our prospects in light of the risks and uncertainties frequently encountered by companies in rapidly evolving markets like ours, as well as the information included in this prospectus.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successfully develop or introduce new and enhanced products that achieve market acceptance, or successfully integrate acquired products or services with our existing products, and our business could be harmed, and our revenue could suffer as a result.</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attract new customers and increase revenue from existing customers will likely depend upon the successful development, introduction, and customer acceptance of new and enhanced versions of our product offerings and on our ability to integrate any products and services that we may acquire, as well as our ability to add new functionality and respond to technological advancements. Moreover, if we are unable to expand our product offerings, our customers could migrate to competitors. Our business could be harmed if we fail to deliver new versions, upgrades, or other enhancements to our existing products to meet customer needs on a timely and cost-effective basis. Unexpected delays in releasing new or enhanced versions of our product offerings, or errors following their release, could result in loss of sales, delay in market acceptance, or customer claims against us, any of which could harm our business. The success of any new product depends on several factors, including timely completion, adequate quality testing, and market acceptance. We may not be able to develop new products successfully or to introduce and gain market acceptance of new solutions in a timely manner, or at all. If we are unable to develop new applications or products that address our customers’ needs, or to enhance and improve our product offerings in a timely manner, we may not be able to maintain or increase customer use of our products.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introduce new products and features is dependent on adequate development resources. If we do not adequately fund our development efforts, we may not be able to compete effectively, and our business and operating results may be harmed.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remain competitive, we must continue to develop new product offerings, applications, features, and enhancements to our existing product offerings. Maintaining adequate development personnel and resources to meet the demands of the market is essential. If we are unable to develop our product offerings internally due to certain constraints, such as high employee turnover, lack of management ability, or a lack of other research and development resources, we may miss market opportunities. Further, many of our competitors expend a considerably greater amount of funds on their development programs, and those that do not may be acquired by larger companies that would allocate greater resources to our competitors’ development programs. Our failure to maintain adequate development resources or to compete effectively with the development programs of our competitors could materially adversely affect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acquisitions of, and investments in, other businesses, products, or technologies may not yield expected benefits and our inability to successfully integrate acquisitions may negatively impact our business, financial condition, and results of operations.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past, we have pursued acquisitions of technology and expertise to enhance the products and services we offer, including OpenReel in 2024, Vidello in 2025 and ConnectAndSell in 2026. We anticipate that we will continue to make acquisitions of or investments in businesses, products, and technologies in the future. We may not realize the anticipated benefits, or any benefits, from our past or future acquisitions. In addition, if we finance acquisitions by incurring debt or by issuing equity or convertible or other debt securities, our then-existing stockholders may be diluted, or we could face constraints related to the repayment of indebtedness. To the extent that the acquisition consideration is paid in the form of an earnout on future financial results, the success of such an acquisition will not be fully realized by us for a period of time as it is shared with the sellers. Further, if we fail to properly evaluate and execute acquisitions or investments, our business and prospects may be harmed, and the value of your investment may decline. For us to realize the benefits of past and future acquisitions, we must successfully integrate the acquired businesses, products, or technologies with ours. Some of the challenges to successful integration of our acquisitions include:</w:t>
      </w:r>
    </w:p>
    <w:p>
      <w:pPr>
        <w:spacing w:after="0" w:line="188"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or liabilities resulting from our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 from acquired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operations, personnel, technologies, or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from existing business operations and strategy;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resources that are needed in other parts of our business, including integration of other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maintain relationships with customers and partners of the acquired businesses;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of transitioning acquired technology and related infrastructures into our existing product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maintaining security and privacy standards of acquired technology consistent with our existing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financial and credit risks associated with the acquired businesses or their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internal controls, procedures, and policies at the acquired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additional laws and regulations applicable to the acquired businesses;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income and indirect tax impacts of any such acquisitions.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and investments could cause us to fail to realize the anticipated benefits of such acquisitions or investments and negatively impact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find attractive targets for future acquisitions.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strategy of growing by acquiring and integrating businesses may prove to be more challenging due to market conditions including lack of attractive acquisition targets, challenges financing acquisitions, challenges negotiating acceptable terms for acquisitions, and challenges working with present management of newly acquired businesses. There is no guarantee we will be able to make future acquisitions or if we do, that we will be able to successfully integrate them into our other product offerings, or will be operated effectively under new management. This could adversely impact our business and our stock price.</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both established and new companies offering marketing, sales, and engagement software and other related applications, as well as internally developed software, which may harm our ability to add new customers, retain existing customers, and grow our business.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marketing, sales, customer service, operations, and engagement software market is evolving, highly competitive, and significantly fragmented. With the introduction of new technologies and the potential entry of new competitors into the market, we expect competition to persist and intensify in the future, which could harm our ability to increase sales, maintain or increase renewals, and maintain our prices.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face intense competition from other software companies that develop marketing, sales, customer service, operations, and engagement management software and from marketing services companies that provide interactive marketing services. Competition could significantly impede our ability to sell subscriptions to our products on terms favorable to us. Our current and potential competitors may develop and market new technologies that render our existing or future products less competitive or obsolete. In addition, if these competitors develop products with similar or superior functionality to our platform, we may need to decrease the prices or accept less favorable terms for our platform subscriptions in order to remain competitive. If we are unable to maintain our pricing due to competitive pressures, our margins will be reduced, and our operating results will be negatively affected.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competitors include:</w:t>
      </w:r>
    </w:p>
    <w:p>
      <w:pPr>
        <w:spacing w:after="0" w:line="225"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Vimeo, Zoom, and GoToWebinar with respect to video platforms;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Mailchimp and Constant Contact with respect to email marketing; and</w:t>
      </w:r>
    </w:p>
    <w:p>
      <w:pPr>
        <w:spacing w:after="0" w:line="225" w:lineRule="exact"/>
        <w:rPr>
          <w:rFonts w:ascii="Times New Roman" w:cs="Times New Roman" w:eastAsia="Times New Roman" w:hAnsi="Times New Roman"/>
          <w:sz w:val="18"/>
          <w:szCs w:val="18"/>
          <w:color w:val="auto"/>
        </w:rPr>
      </w:pPr>
    </w:p>
    <w:p>
      <w:pPr>
        <w:ind w:left="5540" w:right="4940" w:hanging="5208"/>
        <w:spacing w:after="0" w:line="409" w:lineRule="auto"/>
        <w:tabs>
          <w:tab w:leader="none" w:pos="662"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Marketo, Hubspot, and Braze with respect to marketing automation platforms.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compete across five distinct categories within the B2B (as defined below) MarTech landscape: digital events and webinars, demand generation, creative development, engagement platforms and marketing automation, and measurement and attribution. Our current and potential competitors within any or all of such categories may have significantly more financial, technical, marketing, and other resources than we have, be able to devote greater resources to the development, promotion, sale, and support of their products and services, may have more extensive customer bases and broader customer relationships than we have, and may have longer operating histories and greater name recognition than we have. As a result, these competitors may respond faster to new technologies and undertake more extensive marketing campaigns for their products. In a few cases, these vendors may also be able to offer additional software at little or no additional cost by bundling it with their existing suite of applications. To the extent any of our competitors has existing relationships with potential customers for either marketing software or other applications, those customers may be unwilling to purchase our products because of their existing relationships with our competitor. If we are unable to compete with such companies, the demand for our product offerings could substantially decline.</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one or more of our competitors were to merge or partner with another of our competitors, our ability to compete effectively could be adversely affected. Our competitors may also establish or strengthen cooperative relationships with our current or future strategic distribution and technology partners or other parties with whom we have relationships, thereby limiting our ability to promote and implement our product offerings. We may not be able to compete successfully against current or future competitors, and competitive pressures may harm our business.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financial condition may fluctuate on a quarterly and annual basis, which may result in a decline in our stock price if such fluctuations result in a failure to meet any projections that we may provide or the expectations of securities analysts or investors.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results have in the past and could in the future vary significantly from quarter-to-quarter and year-to-year and may fail to match our past performance, our projections, or the expectations of securities analysts because of a variety of factors, many of which are outside of our control and, as a result, should not be relied upon as an indicator of future performance. As a result, we may not be able to accurately forecast our operating results and growth rate. Any of these events could cause the market price of Class A Common Stock to fluctuate. Factors that may contribute to the variability of our operating results include:</w:t>
      </w:r>
    </w:p>
    <w:p>
      <w:pPr>
        <w:spacing w:after="0" w:line="183"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existing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condition of our current and potential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sales and implementation cycles;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expansions of our product offerings, or challenges with their introduction;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or fee structures or those of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of new offering introductions by us or our competitors or any other change in the competitive landscape of our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that we may incur to grow and expand our operations and to remain competitive;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of information security or privacy;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stock-based compensation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costs and capital expenditures related to the expansion of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potential outcomes of ongoing or future regulatory investigations or examinations, or of future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accurate accounting estimates and appropriately recognize revenue for our existing and future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guidance, interpretations, or principles;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financial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 and international;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global financial markets;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instability, including terrorist activities and outbreaks of public health threats, such as coronavirus, influenza, or other highly communicable diseases or viruses, and any disruption these events may cause to the global economy;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business or macroeconomic conditions.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impact of one or more of the foregoing and other factors may cause our operating results to vary significantly. As such, we believe that quarter-to-quarter and year-to-year comparisons of our operating results may not be meaningful and should not be relied upon as an indication of future performance.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Since we recognize revenue from subscriptions for our product offerings over the terms of the subscriptions, our financial results in any period may not be indicative of our financial health and future performance.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generally recognize revenue from subscription fees paid by customers ratably over the terms of their subscription agreements. As a result, most of the subscription revenue we report in each quarter is the result of agreements entered into during previous quarters. Consequently, a decline in new or renewed subscriptions in any one quarter will not be fully reflected in our revenue results for that quarter. Any such decline, however, will negatively affect our revenue in future quarters. Our subscription model also makes it difficult for us to rapidly increase our revenue through additional sales in any period, as subscription revenue from new customers must be recognized over the applicable subscription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cycle can be lengthy and unpredictable, which may cause our operating results to vary significantly.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sales cycle, which is the time between initial contact with a potential new customer and the ultimate sale to that customer, is often lengthy and unpredictable. Potential new customers typically spend significant time and resources evaluating product offering solutions, which requires us to expend substantial time, effort, and money educating them about the value of our platform. Accordingly, it is difficult for us to forecast when or if a sale will close or the size of any specific sales to new customers. In addition, customers may delay their purchases from one quarter to another as they wait for us to develop new features, assess their budget constraints, or forecast future business activity. Any delay in closing, or failure to close, sales in a particular quarter or year could significantly harm our projected growth rates and could cause our operating results to vary significantly.</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Covenant restrictions in our existing or future debt instruments may limit our flexibility to operate and grow our business, and if we are not able to comply with such covenants or pay amounts when due, our lenders could accelerate our indebtedness, proceed against certain collateral, or exercise other remedies, which could have a material adverse effect on us.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party to, and may in the future enter into, debt and other financing instruments that contain operating and financial covenants and other restrictions, and such instruments may also include equity-linked features, such as warrants. These covenants and restrictions, subject to certain exceptions, may limit our ability to, among other things, incur additional indebtedness, pay dividends or make distributions, redeem or repurchase our securities, make certain investments, grant liens on our assets, sell or dispose of material assets, or engage in acquisitions, mergers, or other strategic transactions. As a result, covenant restrictions in our existing or future debt instruments may limit our flexibility to operate and grow our business. In addition, these arrangements may include affirmative covenants that require us to take, or cause to be taken, specific actions by specified dates, and our ability to comply with such covenants depends on our future operating performance and other factors, including events outside of our control. In the past, we have been required to seek waivers, amendments, or forbearance from lenders or other counterparties, and we may be required to do so again in the future. There can be no assurance that any such waivers, amendments, or forbearance will be obtained on acceptable terms, or at all.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Complying with these covenants, as well as those that may be contained in any future debt agreements, may limit our ability to finance our future operations or working capital needs or to take advantage of future business opportunities. If we fail to comply with applicable covenants, reporting requirements, or other terms and conditions, and any default is not cured or waived, our lenders could accelerate our indebtedness, proceed against certain collateral, or exercise other remedies. If amounts are accelerated, we may not have sufficient liquidity to repay the obligations when due, and we may not be able to obtain additional financing or refinancing on acceptable terms, or at all. Any of the foregoing could materially and adversely affect our liquidity, business, results of operations, and financial condition.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impacts of geopolitical, macroeconomic, and market conditions, including pandemics, epidemics, and other public health crises, have had, and may continue to have, a significant effect on our industry, which in turn affects how we and our customers are operating our respective businesses. Our business is susceptible to declines or disruptions in the demand for meetings and events, including those due to economic downturns, natural disasters, geopolitical upheaval, and global pandemics.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macroeconomic impacts of geopolitical events, such as pandemics, inflation, labor shortages, lack of access to capital, lack of consumer confidence, supply chain disruptions, and market volatility can pose risks to our and our customers’ business. Uncertainty about the duration of these negative macroeconomic conditions has impacted fiscal and monetary policy, including increases in interest rates, increased labor costs, and decreased corporate and consumer spending. The effects from a broadening or protracted extension of these conditions could result in a decrease in overall economic activity, hinder economic growth, or cause a recession in the United States or in the global economy. We sell our products throughout the United States and in other countries to commercial and non-profit customers. As a result, our business may be harmed by factors in the United States and other countries such as disruptions in financial markets; reductions in spending, or downturns in economic activity in specific countries or regions, or in the various industries in which we operate; social, political, or labor conditions in specific countries or regions; or adverse changes in the availability and cost of capital, interest rates, tax rates, or regulations. Further economic weakness and uncertainty may result in significantly decreased spending on our event marketing and management solutions, which may adversely affect our business.</w:t>
      </w:r>
    </w:p>
    <w:p>
      <w:pPr>
        <w:spacing w:after="0" w:line="194"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business depends on discretionary corporate spending. Negative macroeconomic conditions may adversely affect our customers’ businesses and reduce our customers’ operating expense budgets, which could result in reduced demand for our product offerings or cancellations, increased demands for pricing accommodations or higher rates of delays in collection of, or losses on, our accounts receivable, which could adversely affect our results of operations and financial position. During periods of economic slowdown and recession, consumers have historically reduced their discretionary spending, and our ability to sign new customers, and to upsell to and renew contracts with our existing customers may be significantly impacted. Additionally, challenging economic conditions also may impair the ability of our customers to pay for products and services they have purchased. As a result, our cash flow may be negatively impacted and our allowance for credit losses and write-offs of accounts receivable may increase. If we are unable to offset any decrease in revenue by increasing sales to new or existing customers, or otherwise offset higher costs through price increases, our revenue may decline. The extent to which the ongoing impacts of these negative macroeconomic conditions will impact our business, results of operations, and financial position is uncertain and will depend on political, social, economic, and regulatory factors that are outside of our control, including actions that may be taken by regulators and businesses (including our customers) in response to the macroeconomic uncertainty. Our business and financial performance may be unfavorably impacted in future periods if a significant number of our customers are unable to continue as viable businesses or they significantly reduce their operating budgets, or if there is a reduction in business confidence and activity, a decrease in government, corporate and consumer spending, or a decrease in growth in the overall market, among other factors.</w:t>
      </w:r>
    </w:p>
    <w:p>
      <w:pPr>
        <w:spacing w:after="0" w:line="19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financial performance are affected by the health of the worldwide meetings and events industry. Meetings and events are sensitive to business-related discretionary spending levels and tend to grow more slowly or even decline during economic downturns. Decreased expenditures by marketers and participants could also result in decreased demand for our product offerings, thereby causing a reduction in our sales. The impact of economic slowdowns on our business is difficult to predict but has and may continue to result in reductions in events and our ability to generate revenue.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Cybersecurity and data security breaches and ransomware attacks may create financial liabilities for us, damage our reputation, and harm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customers provide us with information that our solutions store, some of which is confidential information. In addition, we store personal information about our employees. We have security systems and information technology infrastructure designed to protect against unauthorized access to such information and money, but we may not be successful in protecting against all security breaches and cyber-attacks. Threats to and breaches of our information technology security can take various forms, including viruses, worms, ransomware, and other malicious software programs, or actions or omissions by an employee. Significant cybersecurity or data security breaches could result in the loss of business, litigation, regulatory investigations, loss of customers, and penalties that could damage our reputation and adversely affect the growth of our business.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some cases, we must rely on the safeguards put in place by third parties to protect against security threats. These third parties, including vendors that provide products and services for our operations and our network of business application providers, could also be a source of security risk to us in the event of a failure of their own security systems and infrastructure, whether unintentionally or through a malicious backdoor. We do not review the software code included in third-party integrations in all instances.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the techniques used to obtain unauthorized access, sabotage systems, or otherwise access data and/or data backups change frequently and generally are not recognized until launched against a target, we or these third parties have been and, in the future, may be unable to anticipate these techniques or to implement adequate preventative measures. With the increasing frequency of cyber-related frauds to obtain inappropriate payments, we need to ensure our internal controls related to authorizing the transfer of funds are adequate. We may also be required to expend resources to remediate cyber-related incidents or to enhance and strengthen our cybersecurity. Any of these occurrences could create liability for us, put our reputation in jeopardy, and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security laws and regulations could impose additional costs and reduce demand for our solutions.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store and transmit personal information relating to our employees, customers, prospective customers, and other individuals, and our customers use our technology platform to store and transmit a significant amount of personal information relating to their customers, vendors, employees, and other industry participants. Federal, state, and foreign government bodies and agencies have adopted, and are increasingly adopting, laws and regulations regarding the collection, use, processing, storage, and disclosure of personal or identifying information obtained from customers and other individuals. These obligations have and will likely continue to increase the cost and complexity of delivering our services.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government regulation, privacy advocates and industry groups may propose various self-regulatory standards that may legally or contractually apply to our business. As new laws, regulations, and industry standards take effect, and as we offer new services in new markets, market segments and, potentially, new industries, we will need to understand and comply with various new requirements, which may impede our plans for growth or result in significant additional costs. These laws, regulations, and industry standards have had, and will likely continue to have, negative effects on our business, including by increasing our costs and operating expenses, and/or delaying or impeding our deployment of new or existing core functionality. Failure to comply with these laws, regulations, and industry standards could result in negative publicity, subject us to fines or penalties, expose us to litigation, or result in demands that we modify or cease existing business practices. Furthermore, privacy and data security concerns may cause our customers’ customers, vendors, employees, and other industry participants to resist providing the personal information necessary to allow our customers to use our applications effectively, which could reduce overall demand for our product offerings. Any of these outcomes could harm our business.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offerings, solutions, and internal systems, as well as external internet infrastructure, may be subject to disruption that could harm our reputation and future sales or result in claims against us.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our operations involve delivering engagement solutions to our customers through a cloud-based software platform, our continued growth depends in part on the ability of our platform and related computer equipment, third-party data centers, infrastructure, and systems to continue to support our product offerings. In addition, in delivering our products to customers, we are reliant on internet infrastructure limitations. In the past, we have experienced temporary and limited platform disruptions, outages in our product functionality, and degraded levels of performance due to human and software errors, file corruption, and first and third-party capacity constraints associated with the number of customers accessing our products simultaneously. While our past experiences have not materially impacted us, in the future we may face more extensive disruptions, outages, or performance problems. In addition, malicious third parties may also conduct attacks designed to sabotage, impede the performance, or temporarily deny customers access to, our product offerings. If an actual or perceived disruption, outage, performance problem, or attack occurs, it could harm our reputation and the market perception of our product offerings; divert the efforts of our technical and management personnel; impair our ability to operate our business; cause us to lose customer information; or harm our customers’ businesses. Any of these events may increase non-renewals, limit our ability to acquire new customers, result in delayed or withheld payments from customers, or result in claims against us.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Undetected defects in our product offerings could harm our reputation or decrease market acceptance of our product offerings, which would harm our business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product offerings may contain undetected defects, such as errors or bugs. We have experienced such defects in the past in connection with new solutions and solution upgrades, and we expect that such defects may be found from time to time in the future. Despite testing by us, defects may not be found in our product offerings until they are deployed to or used by our customers. In the past, we have discovered software defects in our product offerings after they have been deployed to customers.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Defects, disruptions in service, or other performance problems may damage our customers’ business and could hurt our reputation. We may be required, or may choose, for customer relations or other reasons, to expend additional resources to correct actual or perceived defects in our product offerings. If defects are detected or perceived to exist in our product offerings, we may experience negative publicity, loss of competitive position, or diversion of the attention of our key personnel; our customers may delay or withhold payment to us or elect not to renew their subscriptions; other significant customer relations problems may arise; or we may be subject to liability claims for damages. A material liability claim or other occurrence that harms our reputation or decreases market acceptance of our product offerings may harm our business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internet infrastructure, bandwidth providers, data center providers, other third parties, and our own systems for providing solutions to our customers, and any failure or interruption in the services provided by these third parties or our own systems could expose us to litigation and negatively impact our relationships with customers, adversely affecting our brand and our 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ability to deliver our solutions is dependent on the development and maintenance of the infrastructure of the Internet and other telecommunications services by third parties. We currently host our technology platform, serve our customers and members, and support our operations primarily using third-party data centers and telecommunications solutions, including cloud infrastructure services such as Amazon Web Services (“AWS”) and Google Cloud. We do not have control over the operations of the facilities of our data center providers, AWS, or Google Cloud. These facilities are vulnerable to damage or interruption from earthquakes, hurricanes, floods, fires, cybersecurity attacks, terrorist attacks, power losses, telecommunications failures, and other events. The occurrence of a natural disaster or an act of terrorism, a decision to close the facilities without adequate notice, or other unanticipated problems could result in lengthy interruptions in our product offerings. The facilities also could be subject to break-ins, computer viruses, sabotage, intentional acts of vandalism, and other misconduct. Any errors, failures, interruptions, or delays experienced in connection with these third-party technologies and information services, or our own systems could negatively impact our relationships with customers and harm our business and could expose us to third-party liabilities.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some of these services, we may not maintain redundant systems or facilities. Our technology platform’s continuing and uninterrupted performance is critical to our success. Members may become dissatisfied by any system failure that interrupts our ability to provide our solutions to them. We may not be able to easily switch our AWS and Google Cloud operations to another cloud service provider if there are disruptions or interference with our use of AWS or Google Cloud. Sustained or repeated system failures would reduce the attractiveness of our technology platform to customers and members and result in contract terminations, thereby reducing revenue. Moreover, negative publicity arising from these types of disruptions could damage our reputation and may adversely impact use of our existing and future offerings. We may not carry sufficient business interruption insurance to compensate us for losses that may occur as a result of any events that cause interruptions in our service. Neither our third-party data and call center providers nor AWS or Google Cloud have an obligation to renew their agreements with us on commercially reasonable terms, or at all. If we are unable to renew our agreements with these providers on commercially reasonable terms, if our agreements with our providers are prematurely terminated, or if in the future we add additional data or call center providers or cloud service providers, we may experience costs or downtime in connection with the transfer to, or the addition of, new providers. If these providers were to increase the cost of their services, we may have to increase the price of our existing and future offerings. Any such increased costs or pricing may have a negative effect on our customer relationships and may adversely affect our business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maintain and enhance our brands, our business may suffer.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continuing to strengthen our brands will be critical to achieving widespread acceptance of our product offerings and will require continued focus on active marketing efforts. Our brand awareness efforts will require continued investment across our business, particularly as we introduce new solutions that we develop or acquire and as we continue to expand in new markets. Brand promotion activities may not yield increased revenue, and even if they do, any increased revenue may not offset the expenses incurred in building our brand. If we fail to promote and maintain our brands, or if we incur substantial expense in an unsuccessful attempt to promote and maintain our brand, our business could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offer high-quality customer support services could adversely affect our relationships with our customers and our operating results.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customers depend on our support to assist with their needs. We may be unable to accurately predict our customers’ demand for services or respond quickly enough to accommodate short-term increases in customer or member demand for services. Increased customer demand for our product offerings, without a corresponding increase in productivity or revenue, could increase costs and adversely affect our operating results. Any failure to maintain high-quality customer support, or a market perception that we do not maintain high-quality customer support, could adversely affect our reputation, our ability to sell our product offerings to existing and prospective customers, our relationships with third parties and our ability to form new partnerships, and our business and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to offset future taxable income may be subject to certain limitations.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incurred substantial losses during our history and do not expect to become profitable in the near future and may never achieve profitability. Under current U.S. federal income tax law, unused losses for the tax year ended December 31, 2017 and prior tax years will carry forward to offset future taxable income, if any, until such unused losses expire, and unused federal losses generated after December 31, 2017 will not expire and may be carried forward indefinitely, but will be only deductible to the extent of 80% of current year taxable income in any given year. Many states have similar laws.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both current and future unused net operating loss (“NOL”) carryforwards and other tax attributes may be subject to limitation under Sections 382 and 383 of the Code, if a corporation undergoes an “ownership change,” generally defined as a greater than 50 percentage point change (by value) in equity ownership by certain stockholders over a rolling three-year period. Additional ownership changes in the future could result in additional limitations on our NOL carryforwards. Consequently, even if we achieve profitability, we may not be able to utilize a material portion of our NOL carryforwards and other tax attributes, which could have a material adverse effect on cash flow and results of operations.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make significant investments in software development and equipment to improve our business.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improve the scalability, security, performance, efficiency, availability, and failover aspects of our product offerings, and to support the expansion of our product offerings and stay competitive, we may need to make significant capital equipment expenditures and also invest in additional software and infrastructure development. If we experience increasing demand in subscriptions, we may not be able to augment our infrastructure quickly enough to accommodate such increasing demand. To reach the goal of supporting the increasing demand, we will need additional capital to make the investments in software development and equipment either through operations or through financing. Additionally, we are continually updating our software, creating expenses for us. We may also need to review or revise our software architecture and user experience as we grow, which may require significant resources and investments. Any of these factors could negatively impact our business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litigation results could have a material adverse impact on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have been, and may be involved in regulatory and government investigations and other proceedings, involving competition, intellectual property, data security and privacy, bankruptcy, tax and related compliance, labor and employment, commercial disputes, and other matters. Such claims, suits, actions, regulatory and government investigations, and other proceedings can impose a significant burden on management and employees, could prevent us from offering one or more of our products, services, or features to customers, could require us to change our technology or business practices, or could result in monetary damages, fines, civil or criminal penalties, reputational harm, or other adverse consequences. Adverse outcomes in some or all of these claims may result in significant monetary damages or injunctive relief that could adversely affect our ability to conduct our business. Litigation and other claims are subject to inherent uncertainties and management’s view of the materiality or likely outcome of any such matters may change in the future. A material adverse impact in our consolidated financial statements could occur for the period in which the effect of an unfavorable outcome becomes probable and reasonably estimable.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or enforce our intellectual property rights could harm our business and results of operations.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We believe that our intellectual property is an essential asset of our business. If we do not adequately protect our intellectual property, our brand and reputation could be harmed and competitors may be able to use our technologies and erode or negate any competitive advantage we may have, which could harm our business, negatively affect our position in the marketplace, limit our ability to commercialize our technology, and delay or render impossible our achievement of profitability. A failure to protect our intellectual property in a cost-effective and meaningful manner could have a material adverse effect on our ability to compete. We regard the protection of our intellectual property as critical to our success.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strive to protect our intellectual property rights by relying on federal, state, and common law rights and other rights provided under foreign laws. These laws are subject to change at any time and could further restrict our ability to protect or enforce our intellectual property rights. In addition, the existing laws of certain foreign countries in which we operate may not protect our intellectual property rights to the same extent as do the laws of the United States.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enter into confidentiality and invention assignment agreements with our employees and contractors, and confidentiality agreements with other parties, with whom we conduct business in order to limit access to, and disclosure and use of, our proprietary information. However, we may not be successful in executing these agreements with every party who has access to our confidential information or contributes to the development of our intellectual property.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agreements that we execute may be breached, and we may not have adequate remedies for any such breach. These contractual arrangements and the other steps we have taken to protect our intellectual property may not prevent the misappropriation of our intellectual property or deter independent development of similar intellectual property by others.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Obtaining and maintaining effective intellectual property rights is expensive, including the costs of monitoring unauthorized use of our intellectual property and defending our rights. We make business decisions about when to seek patent protection for a particular technology and when to rely upon trade secret protection, and the approach we select may ultimately prove to be inadequate. We strive to protect certain of our intellectual property rights through filing applications for trademarks, patents, and domain names in a number of jurisdictions, a process that is expensive and may not be successful in all jurisdictions. However, we do not seek such protection on all intellectual property and when we do apply for such protection there is no assurance that any resulting patents or other intellectual property rights will adequately protect such intellectual property, or provide us with any competitive advantages. Moreover, we cannot guarantee that any of our patent or trademark applications will issue or be approved. Even where we have intellectual property rights, if any, they may later be found to be unenforceable or have a limited scope of enforceability. In addition, we may not seek to pursue such protection in every jurisdiction. The United States Patent and Trademark Office also requires compliance with a number of procedural, documentary, fee payment, and other similar provisions during the patent application process and after a patent has issued. Noncompliance with such requirements and processes may result in abandonment or lapse of the patent or patent application, resulting in partial or complete loss of patent rights in the relevant jurisdiction, if previously issued. In such an event, our competitors might be able to develop and commercialize substantially similar and competing applications, which would harm our business.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believe it is important to maintain, protect, and enhance our brands. Accordingly, we pursue the registration of domain names and our trademarks and service marks in the United States. Third parties may challenge our use of our trademarks, oppose our trademark applications, or otherwise impede our efforts to protect our intellectual property in certain jurisdictions. In the event that we are unable to register our trademarks in certain jurisdictions, we could be forced to rebrand our solutions, which would result in loss of brand recognition and could require us to devote resources to advertising and marketing new brands. Our competitors and others could also attempt to capitalize on our brand recognition by using domain names or business names similar to ours. Domain names similar to ours have been registered in the United States and elsewhere. We may be unable to prevent third parties from acquiring or using domain names and other trademarks that infringe on, are similar to, or otherwise decrease the value of, our brands, trademarks, or service marks. We also may incur significant costs in enforcing our trademarks against those who attempt to imitate our brand and other valuable trademarks and service marks.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these rights. We may not be able to detect infringement or unauthorized use of our intellectual property rights, and defending or enforcing our intellectual property rights, even if successfully detected, prosecuted, enjoined, or remedied, could result in the expenditure of significant financial and managerial resources. Litigation has in the past and may be necessary in the future to enforce our intellectual property rights, protect our proprietary rights, or determine the validity and scope of proprietary rights claimed by others. Any litigation of this nature, regardless of outcome or merit, could result in substantial costs and diversion of management and technical resources, any of which could harm our business. Furthermore, our efforts to enforce our intellectual property rights may be met with defenses, counterclaims, countersuits, and adversarial proceedings such as oppositions, inter partes review, post-grant review, re-examination, or other post-issuance proceedings, that attack the validity and enforceability of our intellectual property rights. An adverse determination of any litigation proceeding could adversely affect our ability to protect the intellectual property associated with our product offerings. Further, because of the substantial amount of discovery required in connection with intellectual property litigation, there is a risk that some of our confidential or sensitive information could be compromised by disclosure in the event of litigation. In addition, during the course of litigation there could be public announcements of the results of hearings, motions, or other interim proceedings or developments. If securities analysts or investors perceive these results to be negative, it could have a substantial adverse effect on the price of Class A Common Stock. If we fail to maintain, protect, and enhance our intellectual property rights, our business may be harmed and the market price of Class A Common Stock could decline.</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competitors also may independently develop similar technology that does not infringe on or misappropriate our intellectual property rights. The laws of some foreign countries may not be as protective of intellectual property rights as those in the United States, and mechanisms for enforcement of intellectual property rights may be inadequate. Effective patent, trademark, copyright, and trade secret protection may not be available to us in every country in which our solutions or technology are developed. Further, legal standards relating to the validity, enforceability, and scope of protection of intellectual property rights are uncertain. The laws in the United States and elsewhere change rapidly, and any future changes could adversely affect us and our intellectual property. Our failure to meaningfully protect our intellectual property could result in competitors offering solutions that incorporate our most technologically advanced features, which could seriously reduce demand for existing and future offerings.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or otherwise violating their intellectual property rights, the outcome of which would be uncertain and could harm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develop and commercialize our offerings and use our proprietary technology without infringing the intellectual property or proprietary rights of third parties. Intellectual property disputes can be costly to defend and may cause our business, operating results, and financial condition to suffer. As the MarTech industry in the United States expands and more patents are issued, the risk increases that there may be patents issued to third parties that relate to our offerings and technology of which we are not aware or that we must challenge to continue our operations as currently contemplated. Whether merited or not, we may face allegations that we, our partners, our licensees, or parties indemnified by us have infringed or otherwise violated the patents, trademarks, copyrights, or other intellectual property rights of third parties. Such claims may be made by competitors seeking to obtain a competitive advantage or by other parties.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Additionally, in recent years, individuals and groups have begun purchasing intellectual property assets for the purpose of making claims of infringement and attempting to extract settlements from companies like ours. We may also face allegations that our employees have misappropriated the intellectual property or proprietary rights of their former employers or other third parties. It may in the future be necessary for us to initiate litigation to defend ourselves in order to determine the scope, enforceability, and validity of third-party intellectual property or proprietary rights, or to establish our respective rights. Regardless of whether claims that we are infringing patents or other intellectual property rights have merit, such claims can be time-consuming, divert management’s attention and financial resources, and can be costly to evaluate and defend. Results of any such litigation are difficult to predict and may require us to stop commercializing or using our solutions or technology, obtain licenses, modify our solutions and technology while we develop non-infringing substitutes, or incur substantial damages, settlement costs, or face a temporary or permanent injunction prohibiting us from marketing or providing the affected solutions. If we require a third-party license, it may not be available on reasonable terms or at all, and we may have to pay substantial royalties, upfront fees, or grant cross-licenses to intellectual property rights for our solutions. We may also have to redesign our solutions so that they do not infringe third-party intellectual property rights, which may not be possible or may require substantial monetary expenditures and time, during which our technology and solutions may not be available for commercialization or use. Even if we have an agreement to indemnify us against such costs, the indemnifying party may be unable to uphold its contractual obligations. If we cannot or do not obtain a third-party license to the infringed technology, license the technology on reasonable terms, or obtain similar technology from another source, our revenue and earnings could be adversely impacted.</w:t>
      </w:r>
    </w:p>
    <w:p>
      <w:pPr>
        <w:spacing w:after="0" w:line="19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From time to time, we have been and may be subject to legal proceedings and claims in the ordinary course of business with respect to intellectual property. Some third parties may be able to sustain the costs of complex litigation more effectively than we can because they have substantially greater resources. 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material adverse effect on the price of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open source software could adversely affect our ability to offer our solutions and subject us to possible litigation.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use open source software in connection with our existing offerings and may continue to use open source software in connection with our future offerings. Some of these licenses contain requirements that we make available source code for modifications or derivative works we create based upon the open source software, and that we license such modifications or derivative works under the terms of a particular open source license or other license granting third-parties certain rights of further use. By the terms of certain open source licenses, we could be required to release the source code of our proprietary software and to make our proprietary software available under open source licenses, if we combine and/or distribute our proprietary software with open source software in certain manners. Although we monitor our use of open source software, we cannot be sure that all open source software is reviewed prior to use in our proprietary software, that our programmers have not incorporated open source software into our proprietary software, or that they will not do so in the future. Additionally, the terms of many open source licenses to which we are subject have not been interpreted by U.S. or foreign courts.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There is a risk that open source software licenses could be construed in a manner that imposes unanticipated conditions or restrictions on our ability to provide our existing and future offerings to our customers and members. In addition, the terms of open source software licenses may require us to provide software that we develop using such open source software, to others, including our competitors, on unfavorable license terms. As a result of our current or future use of open source software, we may face claims or litigation, be required to release our proprietary source code, pay damages for breach of contract, re-engineer our technology, discontinue sales in the event re-engineering cannot be accomplished on a timely basis, or take other remedial action that may divert resources away from our development efforts, any of which could harm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order to support the growth of our business and repay our indebtedness, we will need to seek capital through new equity or debt or incur additional indebtedness under our credit facilities, which sources of additional capital may not be available to us on acceptable terms or at all.</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we intend to continue to make significant investments to support our business growth, respond to business challenges or opportunities, develop new applications and solutions, enhance our existing product offerings, enhance our operating infrastructure, and acquire complementary businesses and technologies. For example, for the six months ended June 30, 2026 and 2025, our net cash used in operating activities was $9.4 million and $9.0 million, respectively. For the years ended December 31, 2025 and 2024, our net cash used in operating activities was $15.7 million and $9.6 million, respectively. As of June 30, 2026, December 31, 2025, and December 31, 2024, we had $0.6 million, $0.3 million, and $1.1 million of cash, respectively, which were held for working capital purposes, and as of June 30, 2026, December 31, 2025, and December 31, 2024, we had borrowings totaling $6.7 million, $10.6 million, and $12.4 million, respectively, outstanding under our term loans and promissory notes.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future capital requirements may be significantly different from previous estimates and will depend on many factors, including the need to:</w:t>
      </w:r>
    </w:p>
    <w:p>
      <w:pPr>
        <w:spacing w:after="0" w:line="22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unanticipated working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enhance our technological infrastructure and our existing product offerings;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strategic relationships, including joint ventures and co-investments;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 additional implementation engagements;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pressures;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complementary businesses, technologies, products, or services.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Accordingly, we may need to engage in equity or debt financing to secure additional funds. We entered into the Standby Equity Purchase Agreement (“SEPA”) with an entity managed by Yorkville to provide liquidity to us after the Business Combination, but there can be no guarantee that we will be able to affect any advances under the SEPA or to secure additional financing on favorable terms, or at all. To the extent that cash on hand and cash generated from operations are not sufficient to fund capital requirements, or if we do not meet the conditions to sell shares to Yorkville under the SEPA, we may require proceeds from asset sales, additional debt, equity financing, or alternative financing structures. Additional financing may not be available on favorable terms, or at all.</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raise additional funds through further issuances of equity or convertible debt securities, including shares of Class A Common Stock issued in connection with advances under the SEPA or upon exercise of the GEM Warrant, our existing stockholders could suffer significant dilution, and any new equity securities we issue could have rights, preferences, and privileges superior to those of holders of shares of our Class A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when we need or want it, it could harm our business.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shares of Class A Common Stock may depress the stock price.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Future sales of shares of Class A Common Stock in the public market, including the resale of shares pursuant to our effective registration statements or pursuant to Rule 144, could depress the stock price.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Sales of a substantial number of shares of Class A Common Stock in the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market pursuant to our registration statements could reduce the market price of Class A Common Stock.</w:t>
      </w:r>
      <w:r>
        <w:rPr>
          <w:rFonts w:ascii="Times New Roman" w:cs="Times New Roman" w:eastAsia="Times New Roman" w:hAnsi="Times New Roman"/>
          <w:sz w:val="18"/>
          <w:szCs w:val="18"/>
          <w:color w:val="auto"/>
        </w:rPr>
        <w:t>” below.</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Issuances of shares of our Class A Common Stock pursuant to any equity lines of credit, the conversion or settlement of amounts outstanding under convertible notes, or the exercise of warrants may result in substantial dilution of our stockholders and may have a negative impact on the market price of our Class A Common Stock.</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have outstanding equity lines of credit, convertible notes, and warrants, pursuant to which we may issue shares of our Class A Common Stock from time to time. The issuance of shares of our Class A Common Stock pursuant to any of these securities could be substantial and would increase the number of shares of our Class A Common Stock outstanding, which could result in significant dilution to our existing stockholders and could have a negative impact on the market price of our Class A Common Stock. The extent of any such dilution will depend on the number of shares issued, the price at which such shares are issued, and other factors, many of which are beyond our control. These transactions are described in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Equity </w:t>
      </w:r>
      <w:r>
        <w:rPr>
          <w:rFonts w:ascii="Times New Roman" w:cs="Times New Roman" w:eastAsia="Times New Roman" w:hAnsi="Times New Roman"/>
          <w:sz w:val="18"/>
          <w:szCs w:val="18"/>
          <w:color w:val="auto"/>
        </w:rPr>
        <w:t>to the consolidated financial statements elsewhere in our 2025 Annual Report.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we will sell under certain of our outstanding equity facilities, or the actual gross proceeds resulting from those sales. Further, we may not have access to the full amount available under such facilities.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an ATM Agreement and a SEPA, which is similar to an equity line of credit, under which we can sell shares of our Class A Common Stock. Under the SEPA, Yorkville has committed to purchase up to $100 million of Class A Common Stock during the SEPA Commitment Period, subject to the terms and conditions of the SEPA. Under the ATM Agreement, we may sell shares of our Class A Common Stock up to an aggregate market value of $7,525,033, subject to the terms and conditions of the ATM Agreement.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we generally have the right to control the timing and amount of any sales of shares of Class A Common Stock under the SEPA and the ATM Agreement, there are various terms and conditions that may limit our ability to utilize these agreements when needed. For example, under the SEPA, we may only sell shares to Yorkville if there is an effective Resale Registration Statement filed with the SEC for the resale under the Securities Act, and if there are Yorkville promissory notes outstanding, Yorkville may require us to issue shares of our Class A Common Stock in satisfaction of amounts outstanding thereunder.</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Future sales of Class A Common Stock under the SEPA and under the ATM Agreement, will depend upon market conditions and other factors to be determined by us, and we may ultimately elect to utilize less than the full amounts available under the respective programs.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because the purchase price per share for shares that we may elect to sell under the SEPA or the ATM Agreement fluctuates based on the market price of our Class A Common Stock, it is not possible for us to predict the number of shares we will ultimately sell or the aggregate gross proceeds from such sales, and the gross proceeds we receive may be substantially less than the amounts available to us under the SEPA or the ATM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stock is subject to requirements to remain listed on Nasdaq, including a minimum bid price requirement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equity requirement, and may be delisted if it does not maintain or regain, as applicable, compliance with those requirements.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Nasdaq Marketplace Rule 5550(a)(2) requires a minimum bid price of $1.00 per share for primary equity securities listed on Nasdaq (the “Minimum Bid Price Requirement”). To regain compliance with the Minimum Bid Price Requirement, we effected the September Reverse Stock Split on September 19, 2024, the July Reverse Stock Split on July 8, 2025, the May 2026 Reverse Stock Split on May 8, 2026, and the October 2026 Reverse Stock Split on October 27, 2026. Following the October 2026 Reverse Stock Split, the bid price of our Class A Common Stock surpassed $1.00 per share.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2026, we received a letter (the “Notice”) from the Listing Qualifications Department (the “Staff”) of The Nasdaq Stock Market LLC (“Nasdaq”) notifying the Company that the closing bid price of the Company’s listed securities had been below $1.00 per share for 30 consecutive business days, from September 15, 2026 through October 26, 2026, and that the Company therefore was not in compliance with Nasdaq Listing Rule 5550(a)(2) (the “Bid Price Rule”), which requires a minimum bid price of $1.00 per share for continued listing on Nasdaq. Under Nasdaq Listing Rule 5810(c)(3)(A), a company that fails to meet the Bid Price Rule is normally afforded a 180-calendar-day compliance period in which to regain compliance. However, the Notice states that, pursuant to Nasdaq Listing Rule 5810(c)(3)(A)(iv), the Company is not eligible for any such compliance period because it has effected a reverse stock split over the prior one-year period or one or more reverse stock splits over the prior two-year period with a cumulative ratio of 250 shares or more to one. The 1-for-10 July Reverse Stock Split, the 1-for-20 May 2026 Reverse Stock Split and the 1-for-10 October 2026 Reverse Stock Split resulted in a cumulative reverse stock split ratio of 1-for-2,000 over the prior two-year period.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Accordingly, the Staff issued a Staff Delisting Determination in the Notice, notifying the Company that its securities are subject to delisting from Nasdaq. As permitted, the Company timely requested an appeal of the Staff Delisting Determination to a Nasdaq Hearings Panel (the “Panel”), with the hearing request and confirmation of payment of the $20,000 hearing fee received by Nasdaq’s Hearings Department, which stayed the suspension of the Company’s securities and the filing of Form 25-NSE pending the Panel’s decision.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hearing, which is scheduled for December 3, 2026, the Company intends to present a plan to regain compliance with the Bid Price Rule, including the 1-for-10 reverse stock split effected on October 27, 2026. There can be no assurance that the Panel will grant the Company’s request for continued listing or that the Company will be able to regain compliance with the Bid Price Rule within any additional period of time that may be granted by the Panel. Our Class A common stock continues to trade on Nasdaq under the symbol “PARA”, subject to the scheduled suspension and hearing process described above.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Class A Common Stock ceases to be listed for trading on Nasdaq, we expect that our Class A Common Stock would be traded on one of the three tiered marketplaces of the OTC Markets Group. If Nasdaq were to delist our Class A Common Stock, it would be more difficult for our stockholders to dispose of our Class A Common Stock and more difficult to obtain accurate price quotations on our Class A Common Stock. Our ability to issue additional securities for financing or other purposes, or otherwise to arrange for any financing we may need in the future, may also be materially and adversely affected if our Class A Common Stock or warrants are not listed on a national securities exchange.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may delist our securities from trading on its exchange, which could limit investors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make transactions in our securities and subject us to additional trading restrictions.</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Since October 31, 2024, our Class A Common Stock trades on Nasdaq, under the symbol, PARA. There can be no assurance that we will be able to maintain compliance with Nasdaq listing standards.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for any reason, we fall out of compliance again or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176"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number of institutional and general investors that will consider investing in our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number of market makers for our Class A Common stock and the number of broker-dealers willing to execute trades in shares of our Class A Common Stock;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subject to regulation in each state in which we offer our securities.</w:t>
      </w:r>
    </w:p>
    <w:p>
      <w:pPr>
        <w:sectPr>
          <w:pgSz w:w="11900" w:h="16838" w:orient="portrait"/>
          <w:cols w:equalWidth="0" w:num="1">
            <w:col w:w="11240"/>
          </w:cols>
          <w:pgMar w:left="320" w:top="22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If our Class A Common Stock ceases to be listed on a national securities exchange it will become subject to the so-called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penny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rules that impose restrictive sales practice requirements.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we are unable to maintain the listing of our Class A Common Stock on Nasdaq or another national securities exchange, our Class A Common Stock could become subject to the so-called “penny stock” rules if the shares have a market value of less than $5.00 per share. The SEC has adopted regulations that define a penny stock to include any stock that has a market price of less than $5.00 per share, subject to certain exceptions, including an exception for stock traded on a national securities exchange. The SEC regulations impose restrictive sales practice requirements on broker-dealers who sell penny stocks to persons other than established customers and accredited investors. For transactions covered by this rule, the broker-dealer must make a special suitability determination for the purchaser and must have received the purchaser’s written consent to the transaction prior to sale. This means that if we are unable maintain the listing of our Class A Common Stock on a national securities exchange, the ability of stockholders to sell their common stock in the secondary market could be adversely affected. If a transaction involving a penny stock is not exempt from the SEC’s rule, a broker-dealer must deliver a disclosure schedule relating to the penny stock market to each investor prior to a transaction. The broker-dealer also must disclose the commissions payable to both the broker-dealer and its registered representative, current quotations for the penny stock, and, if the broker-dealer is the sole market-maker, the broker-dealer must disclose this fact and the broker-dealer’s presumed control over the market. Finally, monthly statements must be sent disclosing recent price information for the penny stock held in the customer’s account and information on the limited market in penny stocks.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 class common stock structure has the effect of concentrating significant voting power with our Chief Executive Officer and Co-Founder, Joseph Davy, which may limit an investor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influence the outcome of important transactions, including a change in control.</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Shares of our Class B Common Stock, par value $0.0001 per share (the “Class B Common Stock,” together with the Class A Common Stock, the “Common Stock”), have 10 votes per share, while shares of our Class A Common Stock have one vote per share. Mr. Davy, who is our Chief Executive Officer and is Legacy Banzai’s Co-Founder, including his affiliates and permitted transferees, holds all of the issued and outstanding shares of Class B Common Stock. Accordingly, Mr. Davy held, directly or indirectly, approximately 7% of our outstanding voting power as of November 4, 2026, and therefore may be able to significantly influence matters submitted to our stockholders for approval, including the election of directors, amendments of our organizational documents and any merger, consolidation, sale of all or substantially all of our assets or other major corporate transactions. Mr. Davy may have interests that differ from yours and may vote in a way with which you disagree, and which may be adverse to your interests. This significant concentration of voting power may have the effect of delaying, preventing, or deterring a change in control, could deprive our stockholders of an opportunity to receive a premium for their capital stock as part of a sale, and might ultimately affect the market price of Class A Common Stock.</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is likely to continue to be, highly volatile, and you may lose some or all of your investment.</w:t>
      </w:r>
    </w:p>
    <w:p>
      <w:pPr>
        <w:spacing w:after="0" w:line="15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has fluctuated, and may continue to fluctuate, significantly due to a number of factors, some of which may be beyond our control, including those factors discussed in this “Risk Factors” section and many others, such as:</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 including fluctuations in its quarterly and annual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involving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performance and the performance of its competitors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its other public announcements and its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and departures of key personnel;</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partnerships, joint ventures or capital commitments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estimates and projections of the investment community or that it may otherwise provide to the public;</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Class A Common Stock by us or our stockholders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Class A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requirements of Nasdaq;</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natural disasters, pandemics, epidemics, or other public health emergencies;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 other events or factors, many of which are beyond our control;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in the price of our Class A Common Stock could subject us to securities class action litigation.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If we face such litigation, it could result in substantial costs and a diversion of management’s attention and resources, which could harm our business.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then our stock price and trading volume could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Class A Common Stock will depend, in part, on the research and reports that securities or industry analysts publish about us. We do not have any control over these analysts. If our financial performance fails to meet analyst estimates or one or more of the analysts who cover us downgrade our Class A Common Stock or change their opinion, then the market price of our Class A Common Stock would likely decline. If one or more of these analysts cease coverage of us or fail to regularly publish reports on us, we could lose visibility in the financial markets, which could cause the market price of our Class A Common Stock or trading volume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and demands upon management as a result of complying with the laws and regulations affecting public companies, which could adversely affect our business, results of operations, and financial condition.</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listing standards of Nasdaq,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and engaged outside consultants to assist us in complying with these requirements, we will need to hire more employees in the future or may need to engage additional outside consultants, which will increase our operating expenses.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These factors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particularly to serve on our audit committee and compensation committee, and qualified executive officers. As a result of disclosure of information in this prospectus and in our other public filings, our business and financial condition will become more visible, which may result in pricing pressure from customers or an increased risk of threatened or actual litigation, including by competitors and other third parties. If such claims are successful, our business and results of operations could be harmed, and even if the claims do not result in litigation or are resolved in our favor, these claims, and the time and resources necessary to resolve them, could divert the resources of its management and harm our business.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in the past. If we are unable to remediate these material weaknesses, or if we identify additional material weaknesses in the future or otherwise fail to maintain an effective system of internal controls, we may not be able to accurately or timely report our financial condition or results of operations, which may adversely affect our business and stock price.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the closing of the Business Combination, Legacy Banzai was a private company with limited accounting personnel to adequately execute its accounting processes and limited supervisory resources with which to address its internal control over financial reporting. In connection with the audit of Legacy Banzai’s financial statements as of and for the year ended December 31, 2022 and continuing through the year ended December 31, 2024, the Company identified material weaknesses in its internal control over financial reporting; the Company has also identified material weaknesses in 2025. A material weakness is a deficiency or a combination of deficiencies, in internal control over financial reporting, such that there is a reasonable possibility that a material misstatement of Legacy Banzai’s annual or interim financial statements will not be prevented or detected on a timely basis.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Legacy Banzai did not design or maintain an effective control environment under the rules and regulations of the SEC. Accordingly and specifically,</w:t>
      </w:r>
    </w:p>
    <w:p>
      <w:pPr>
        <w:spacing w:after="0" w:line="27" w:lineRule="exact"/>
        <w:rPr>
          <w:sz w:val="20"/>
          <w:szCs w:val="20"/>
          <w:color w:val="auto"/>
        </w:rPr>
      </w:pPr>
    </w:p>
    <w:p>
      <w:pPr>
        <w:jc w:val="both"/>
        <w:ind w:firstLine="8"/>
        <w:spacing w:after="0" w:line="252" w:lineRule="auto"/>
        <w:tabs>
          <w:tab w:leader="none" w:pos="2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does not have appropriate IT general controls in place over change management, user access, cybersecurity, and reviews of service organizations, (ii) management does not have suitable entity level controls in place in accordance with the criteria set forth by the Committee of Sponsoring Organizations of the Treadway Commission in Internal Control - Integrated Framework (2013) (“COSO”), including reviews of the financial statements, and certain entity level controls were not performed by management, and (iii) pervasive transactional and account level reconciliations and analyses are not performed, or not performed with sufficient detail to prevent or detect a material weakness. These issues related to management’s controls over the review of complex significant transactions, complex debt and equity, income and sales taxes, and revenue recognition.</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taken certain steps, such as recruiting additional personnel, in addition to utilizing third-party consultants and specialists, to supplement our internal resources, to enhance our internal control environment and plans to take additional steps to remediate the material weaknesses. Although we plan to complete this remediation process as quickly as possible, we cannot at this time estimate how long it will take. We cannot assure you that the measures taken to date and to be taken in the future, will be sufficient to remediate the control deficiencies that led to Legacy Banzai’s material weakness in internal control over financial reporting or that it will prevent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Any failure to remediate existing material weaknesses, or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 We will not be required to comply with the SEC rules that implement Section 404 of the Sarbanes-Oxley Act of 2002 (the “Sarbanes-Oxley Act”) and will therefore not be required to make a formal assessment of the effectiveness of control over financial reporting for that purpose. As a public company, we will be required to provide an annual management report on the effectiveness of our internal control over financial reporting commencing with our second annual report on Form 10-K. Our independent registered public accounting firm will not be required to formally attest to the effectiveness of our internal control over financial reporting until after we are no longer a “smaller reporting company” and a “non-accelerated filer” as defined in Item 10(f)(1) of Regulation S-K, and Rule 12b-2 of the Exchange Act, respectively.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have an adverse effect on our business and results of operations and could cause a decline in the price of our Class A Common Stock.</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not currently anticipated that we will pay dividends on shares of our Class A Common Stock, and, consequently, your ability to achieve a return on your investment will depend on appreciation, if any, in the market price of Class A Common Stock.</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It is currently anticipated that we will retain future earnings for the development, operation, and expansion of the business, and we do not anticipate declaring or paying any cash dividends for the foreseeable future. Any return to our stockholders will therefore be limited to the appreciation of their shares of Class A Common Stock. There is no guarantee that shares of Class A Common Stock will appreciate in value or even maintain the price at which stockholders have purchased their shares of Class A Common Stock.</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DGCL and our Charter and Bylaws contain certain provisions, including anti-takeover provisions, that limit the ability of stockholders to take certain actions and could delay or discourage takeover attempts that stockholders may consider favorable.</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Charter, our Bylaws and the DGCL contain provisions that could have the effect of rendering more difficult, delaying, or preventing an acquisition deemed undesirable by the Board and therefore depress the trading price of our Class A Common Stock. These provisions could also make it difficult for stockholders to take certain actions, including electing directors who are not nominated by the current members of the Board or taking other corporate actions, including effecting changes in our management. Among other things, our Charter and/or Bylaws include provisions regarding:</w:t>
      </w:r>
    </w:p>
    <w:p>
      <w:pPr>
        <w:spacing w:after="0" w:line="180"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shares of our Class B Common Stock are entitled to 10 votes per share;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issue shares of Preferred Stock, $0.0001 par value per share (“Preferred Stock”), including “blank check” preferred stock and to determine the price and other terms of those shares, including preferences and voting rights, without stockholder approval, which could be used to significantly dilute the ownership of a hostile acquirer;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stockholders to take action by written consent in lieu of a meeting;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our directors and officers;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of the entire Board, the chairperson of the Board or the Chief Executive Officer which could delay the ability of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and stockholder meetings;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Board to amend the Bylaws, which may allow the Board to take additional actions to prevent an unsolicited takeover and inhibit the ability of an acquirer to amend the Bylaws to facilitate an unsolicited takeover attempt;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the Board or to propose matters to be acted upon at a stockholders’ meeting, which could preclude stockholders from bringing matters before annual or special meetings of stockholders and delay changes in the Board, and also may discourage or deter a potential acquirer from conducting a solicitation of proxies to elect the acquirer’s own slate of directors or otherwise attempting to obtain control of us.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Likewise, because our principal executive offices are located in Washington, the anti-takeover provisions of the Washington Business Corporation Act (the “WBCA”) may apply to us under certain circumstances now or in the future. These provisions prohibit a “target corporation” from engaging in any of a broad range of business combinations with any stockholder constituting an “acquiring person” for a period of five years following the date on which the stockholder became an “acquiring person.”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the Board or our management.</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our Charter includes a provision substantially similar to Section 203 of the DGCL, which may prohibit certain stockholders holding 15% or more of our outstanding capital stock from engaging in certain business combinations with us for a specified period of time.</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Charter designates the Court of Chancery of the State of Delaware and, to the extent enforceable, the federal district courts of the United States of America as the exclusive forums for substantially all disputes between us and our stockholders, which restricts our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ability to choose the judicial forum for disputes with us or our directors, officers, or employees.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Charter provides that the Court of Chancery of the State of Delaware is the exclusive forum for the following types of claims or causes of action under Delaware statutory or common law: any derivative claims or causes of action brought on our behalf; any claims or causes of action asserting a breach of a fiduciary duty; any action asserting a claim against us arising pursuant to the DGCL, our Charter, or our Bylaws; or any action asserting a claim against us that is governed by the internal affairs doctrine. In addition, our Charter provides that the federal district courts of the United States of America will be the exclusive forum for resolving any complaint asserting a cause of action arising under the Securities Act. These choice of forum provisions will not apply to suits brought to enforce a duty or liability created by the Exchange Act or any other claim for which the federal courts have exclusive jurisdiction. Such provisions are intended to benefit and may be enforced by us and our officers and directors, employees and agents.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These choice of forum provisions may limit a stockholder’s ability to bring a claim in a judicial forum that it finds favorable for disputes with us or our directors, officers, or other employees, which may discourage lawsuits with respect to such claims or make such lawsuits more costly for stockholders, although our stockholders will not be deemed to have waived our compliance with federal securities laws and the rules and regulations thereunder.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either choice of forum provisions contained in our Charter to be inapplicable or unenforceable in an action, we may incur additional costs associated with resolving such action in other jurisdictions.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We cannot be certain whether the reduced disclosure requirements applicable to smaller reporting companies will make our common stock less attractive to investors or otherwise limit our ability to raise additional funds.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“smaller reporting company” under applicable securities regulations. A smaller reporting company is a company that, as of the last business day of its most recently completed fiscal quarter, has an aggregate market value of the company’s voting stock held by non-affiliates, or public float, of less than $250 million, or has annual revenues less than $100 million and either no public float or public float less than $750 million. SEC rules provide that companies with a non-affiliate public float of less than $75 million may only sell shares under a Form S-3 shelf registration statement, during any 12-month period, in an amount less than or equal to one-third of the public float. If we do not meet this public float requirement, any offering by us under a Form S-3 will be limited to raising an aggregate of one-third of our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$70 million, and has certain other reduced disclosure obligations in their SEC filings, including, among other things, only being required to provide two years of audited financial statements in annual reports. Reduced disclosure in our SEC filings due to our status as a smaller reporting company may make it harder for investors to analyze its results of operations and financial prospects.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amounts reported in the financial statements and accompanying notes. We will base our estimates on historical experience, known trends and events, and various other factors that we believe to be reasonable under the circumstances, as provided in the section titled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Operations-Critical Accounting Estimates</w:t>
      </w:r>
      <w:r>
        <w:rPr>
          <w:rFonts w:ascii="Times New Roman" w:cs="Times New Roman" w:eastAsia="Times New Roman" w:hAnsi="Times New Roman"/>
          <w:sz w:val="18"/>
          <w:szCs w:val="18"/>
          <w:color w:val="auto"/>
        </w:rPr>
        <w:t>.” The results of these estimates form the basis for making judgments about the carrying values of assets and liabilities that are not readily apparent from other sources. Significant assumptions and estimates used in preparing our financial statements include, but are not limited to, estimates of impairment on goodwill, recognition and measurement of convertible notes, warrants and SAFEs, including the valuation of the bifurcated embedded derivatives liabilities, and recognition and measurement of stock-based compensation.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we will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issue additional shares of Common Stock or Preferred Stock, including under our equity incentive plan. Any such issuances would dilute the interest of our stockholders and likely present other risks.</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issue a substantial number of additional shares of Common Stock or Preferred Stock, including under our 2023 equity incentive plan. Any such issuances of additional shares of Common Stock or Preferred Stock:</w:t>
      </w:r>
    </w:p>
    <w:p>
      <w:pPr>
        <w:spacing w:after="0" w:line="16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significantly dilute the equity interests of our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subordinate the rights of holders of Common Stock if preferred stock is issued with rights senior to those afforded our Common Stock;</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cause a change in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adversely affect prevailing market prices for our Common Stock and/or Public Warrants.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Class A Common Stock in the public market pursuant to our registration statements could reduce the market price of Class A Common Stock.</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Sales of a substantial number of shares of Class A Common Stock in the public market pursuant to our resale registration statements (collectively, the “Resale Registration Statements”) could occur at any time. These sales, or the perception in the market that the holders of a large number of shares of Class A Common Stock intend to sell shares, could reduce the market price of Class A Common Stock. In particular, until such time as it is no longer effective, the Resale Registration Statements permit the resale of shares held by Mr. Joseph Davy, including shares of both Class A Common Stock and Class B Common Stock, subject, in each case, to the applicable lock-up periods. The resale, or expected or potential resale, of a substantial number of shares of our Class A Common Stock in the public market could adversely affect the market price for Class A Common Stock and make it more difficult for you to sell your holdings at times and prices that you determine are appropriate. Furthermore, we expect that, because there is a large number of shares registered pursuant to the Resale Registration Statements, the selling securityholders will continue to offer the securities covered thereby pursuant to the Resale Registration Statements or pursuant to Rule 144 for a significant period of time, the precise duration of which cannot be predicted. Accordingly, the adverse market and price pressures resulting from an offering pursuant to any of our registration statements may continue for an extended period of time. We may also file additional registration statements in connection with the possible sale of other securities.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convertible promissory notes have certain rights upon an event of default under their respective agreements that could harm our business, financial condition and results of operations and could require us to curtail or cease our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past, we have issued, and in the future we may issue, convertible promissory notes or other convertible debt instruments. These instruments may include terms that provide the holders with certain rights and remedies upon an event of default, which could require us to make cash payments, issue shares of our Class A Common Stock, take other actions that could be costly or restrictive, or otherwise harm our business, financial condition and results of operations.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example, we issued senior secured convertible notes on June 27, 2025, August 19, 2025, and October 8, 2025 for an aggregate original principal amount of $6.9 million. Events of default under convertible promissory notes and similar instruments are defined in the applicable transaction documents, and may include, among other things, failures to pay amounts when due (subject to any applicable cure periods), failures to meet certain filing, reporting, or registration-related deadlines, defaults on other indebtedness above specified thresholds, certain bankruptcy- or insolvency-related events, failures to timely deliver shares upon conversion, and suspensions of trading or listing of our Class A Common Stock for specified periods, among other events.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an event of default were to occur under any such instruments, holders may have rights that could include requiring redemption or repayment (potentially at a premium), exercising other contractual remedies, and/or converting amounts due into shares of our Class A Common Stock on terms that may be unfavorable to us. The exercise of any of the above rights upon an event of default could substantially harm our financial condition and force us to curtail or even cease our operations.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to the consolidated financial statements and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Capital Resources</w:t>
      </w:r>
      <w:r>
        <w:rPr>
          <w:rFonts w:ascii="Times New Roman" w:cs="Times New Roman" w:eastAsia="Times New Roman" w:hAnsi="Times New Roman"/>
          <w:sz w:val="18"/>
          <w:szCs w:val="18"/>
          <w:color w:val="auto"/>
        </w:rPr>
        <w:t>” for additional information regarding these notes and the related arrangements.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exclusive forum clause set forth in the Warrant Agreement may have the effect of limiting an investor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rights to bring legal action and could limit the investor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obtain a favorable judicial forum.</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Warrant Agreement, dated December 22, 2020, with Continental Stock Transfer &amp; Trust Company, as warrant agent (the “Warrant Agreement”), provides that (i) any action, proceeding or claim against us arising out of or relating in any way to the Warrant Agreement will be brought and enforced in the courts of the State of New York or the United States District Court for the Southern District of New York and (ii) we irrevocably submit to such jurisdiction, which jurisdiction will be exclusive. We have waived or will waive any objection to such exclusive jurisdiction and that such courts represent an inconvenient forum. However, there is uncertainty as to whether a court would enforce these provisions and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Section 27 of the Exchange Act creates exclusive federal jurisdiction over all suits brought to enforce any duty or liability created by the Exchange Act or the rules and regulations thereunder. Any person or entity purchasing or otherwise acquiring any interest in any of the Public Warrants shall be deemed to have notice of and to have consented to the forum provisions in the Warrant Agreement. If any action, the subject matter of which is within the scope of the forum provisions of the Warrant Agreement, is filed in a court other than a court of the State of New York or the United States District Court for the Southern District of New York (a “foreign action”) in the name of any holder of the Public Warrants, such holder shall be deemed to have consented to: (x) the personal jurisdiction of the state and federal courts located within the State of New York or the United States District Court for the Southern District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This choice-of-forum provision may limit a warrant holder’s ability to bring a claim in a judicial forum that it finds favorable, which may discourage such lawsuits. Alternatively, if a court were to find this provision of the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our Board.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Outstanding warrants to purchase shares of our Class A Common Stock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Legacy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may never be in the money and they may expire worthless and therefore we may not receive cash proceeds from the exercise of the Legacy Warrants. The terms of the Warrants may be amended in a manner adverse to a holder if holders of at least 50% of the then outstanding applicable Warrants approve of such amendment.</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prospectus, we have outstanding warrants, including Public Warrants and warrants issued to other investors in connection with various financings that the Company has completed (collectively with the Public Warrants, the “Legacy Warrants”).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exercise of Legacy Warrants, and any proceeds we may receive from their exercise, are highly dependent on the price of our Class A Common Stock and the spread between the exercise price of the Legacy Warrant and the price of our Class A Common Stock at the time of exercise. There can be no assurance that our Legacy Warrants will be in the money prior to their expiration.</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Public Warrants under certain conditions, as described in the Warrant Agreement, are redeemable by us at a price of $0.01 per warrant. The GEM Warrant is not redeemable and, like some of the other outstanding Legacy Warrants, is exercisable on a cash or cashless basis; if such Warrants are exercised on a “cashless basis,” whether or not they are in the money, we will not receive cash for such exercise. As such, it is possible that we may never generate any cash proceeds from the exercise of our Legacy Warrants.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Warrant Agreement for the Public Warrants permits amendments to the terms of the Public Warrants in certain circumstances. In particular, subject to the terms of the Warrant Agreement, amendments that affect the interests of holders of the Public Warrants may be approved by holders of at least 50% of the then outstanding Public Warrants, which could allow the Public Warrants to be amended in a manner adverse to a holder, including by increasing the exercise price, shortening the exercise period, or decreasing the number of shares purchasable upon exercise of a Public Warrant.</w:t>
      </w:r>
    </w:p>
    <w:p>
      <w:pPr>
        <w:spacing w:after="0" w:line="17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to the consolidated financial statements in our Annual Report for additional information regarding the Legacy Warrants, including the number of shares underlying the Legacy Warrants, exercise prices and expiration dates.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Public Warrants prior to their exercise at a time that is disadvantageous to the holder, thereby making the Public Warrants worthless.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the ability to redeem the outstanding Public Warrants at any time after they become exercisable and prior to their expiration, at a price of $0.01 per warrant if, among other things, the last reported sale price of the underlying Class A Common Stock for any 20 trading days within a 30-trading day period ending on the third trading day prior to the date on which the Company sends the notice of redemption to the warrant holders equals or exceeds $1,800,000 per share (as adjusted for stock splits, stock dividends, rights issuances, subdivisions, reorganizations, recapitalizations and the like). Redemption of the outstanding Public Warrants as described above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the Company expects would be substantially less than the market value of your warrants. Shares of Class A Common Stock have never traded above $1,800,000 per share.</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 obligation to notify holders of the Public Warrants that they have become eligible for redemption. However, pursuant to the Warrant Agreement, in the event we decide to redeem the Public Warrants, we are required to mail notice of such redemption to the registered warrant holders not less than 30 days prior to the redemption date. The warrants may be exercised any time after notice of redemption is given and prior to the redemption date.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use the net proceeds in ways with which you disagree.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and could spend the proceeds in ways that do not improve our results of operations or enhance the value of our securities. You will be relying on the judgment of our management with regard to the use of these net proceeds, and you will not have the opportunity, as part of your investment decision, to assess whether the net proceeds are being used appropriately. The failure by our management to apply these funds effectively could result in financial losses that could have a material adverse effect on our business, results of operations and cash flows, and cause the price of our securities to decline. Pending the application of these funds, we may invest the net proceeds from this offering in a manner that does not produce income or that loses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are speculative in nature and holders of our Warrants will not have any rights of stockholders until such Warrants are exercised.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Warrants offered hereby do not confer any rights of Class A Common Stock ownership on their holders, such as voting rights or the right to receive dividends, but rather merely represent the right to acquire shares of Class A Common Stock at an initial exercise price that is subject to the exercise price resets and other adjustments described below. Specifically, commencing on the Issuance Date, holders of the Warrants may acquire shares of Class A Common Stock at an assumed exercise price equal to 250% of the public offering price of each Unit sold in this offering, subject to certain adjustments. Moreover, following this offering, the market value of the Warrants is uncertain and there can be no assurance as to the market value of the Warrants.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Warrants being offered in this offering and we do not expect one to develop.</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is presently no established public trading market for the Warrants being offered in this offering and we do not expect a market to develop. In addition, we do not intend to apply to list the Warrants on any securities exchange or nationally recognized trading system, including Nasdaq. Without an active trading market, the liquidity of the Warrants will be limited.</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offering price in this offering will be set by our Board and does not necessarily indicate the actual or market value of our Class A Common Stock.</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or a committee designated by the Board, will approve the public offering price and other terms of this offering after considering, among other things: the current market price of our Class A Common Stock; trading prices of our Class A Common Stock over time; the volatility of our Class A Common Stock; our current financial condition and the prospects for our future cash flows; the availability of and likely cost of capital of other potential sources of capital; the characteristics of interested investors and market and economic conditions at the time of the offering. The public offering price is not intended to bear any relationship to the book value of our assets or our past operations, cash flows, losses, financial condition, net worth or any other established criteria used to value securities. The public offering price may not be indicative of the fair value of our Class A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or dilution of our equity, including the issuance of shares from Warrant exercises which will result in severe dilution, could adversely affect the market price of our Class A Common Stock.</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market price of our Class A Common Stock could decline as a result of actual or anticipated future issuances, including the issuance of shares from Warrant exercises, which will result in substantial dilution to existing stockholders. The perception of potential dilution from future issuances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Warrants include exercise price reset provisions and a zero cash exercise option, both of which will result in the issuance of a significantly higher number of shares upon exercise. Specifically, the Warrants will be exercisable at any time on or after the Issuance Date and may be exercisable until 5:00 p.m. (New York City time) on the five (5) year anniversary of the Issuance Date at an assumed exercise price equal to 250% of the public offering price per Unit. The Warrants also contain certain mechanisms for cashless exercise, including a zero cash exercise option pursuant to which holders of the Warrants have the option, upon exercise and for no additional cash consideration, to receive an aggregate number of shares of Class A Common Stock equal to the product of (x) the aggregate number of shares of Class A Common Stock that would be issuable upon a cash exercise of the Warrant and (y) 0.9.</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an example, for each Unit that an investor purchases in this offering at the offering price of $2.72 per Unit, the investor will receive one share of Class A Common Stock or, in lieu thereof, one Pre-Funded Warrant to purchase one share of Class A Common Stock, and two Warrants, each Warrant exercisable for one share of Class A Common Stock at an assumed exercise price of $6.80 per share. Giving effect solely to the adjustment on the First Reset Time and not giving effect to the zero cash exercise option, on the First Reset Time, the Warrants will become exercisable for a maximum of 10 shares of Class A Common Stock at an exercise price of $1.36 per share. If such Warrant is then exercised at such time based on the zero cash exercise option, the Warrant would be exercisable into 9 shares of Class A Common Stock. Because the Warrants do not terminate upon full exercise prior to the Second Reset Time, a holder who has exercised all Warrant Shares issuable following the First Reset Time will remain entitled to receive any additional Warrant Shares resulting from the adjustment at the Second Reset Time. Giving effect solely to the potential adjustment on the Second Reset Time and not giving effect to the zero cash exercise option, on the Second Reset Time, the Warrants will become exercisable for a maximum of 16 shares of Class A Common Stock at an exercise price of $0.816 per share. If such Warrants are then exercised at such time based on the zero cash exercise option, the Warrants would be exercisable into 15 shares of Class A Common Stock. Accordingly, if all of the Warrants offered to investors in this offering are exercised on a zero cash basis following the Second Reset Time, a maximum of 74,448,525 shares could be issued upon such zero cash exercise, without payment to the Company of any additional cash.</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the terms of the Warrants, it is likely that the price of our Class A Common Stock will be reduced considerably because of each of the resets and the zero cash exercise option. Accordingly, holders of Class A Common Stock are likely to suffer substantial dilution and see a significant decrease in the value of their shares of Class A Common Stock as a result of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Warrants and Pre-Funded Warrants will not be listed or quoted on any exchange.</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or Warrants being offered in this offering, and we do not expect a market to develop. In addition, we do not intend to apply to list the Pre-Funded Warrants or Warrants on any national securities exchange or other nationally recognized trading system, including Nasdaq. Without an active market, the liquidity of the Pre-Funded Warrants and Warrants will be limited.</w:t>
      </w:r>
    </w:p>
    <w:p>
      <w:pPr>
        <w:spacing w:after="0" w:line="172" w:lineRule="exact"/>
        <w:rPr>
          <w:sz w:val="20"/>
          <w:szCs w:val="20"/>
          <w:color w:val="auto"/>
        </w:rPr>
      </w:pPr>
    </w:p>
    <w:p>
      <w:pPr>
        <w:jc w:val="both"/>
        <w:ind w:firstLine="324"/>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Except as otherwise provided in the Warrants and Pre-Funded Warrants, holders of Warrants and Pre-Funded Warrants purchased in this offering will have no rights as stockholders until such holders exercise their Warrants or Pre-Funded Warrants and acquire our Class A Common Stock.</w:t>
      </w:r>
    </w:p>
    <w:p>
      <w:pPr>
        <w:spacing w:after="0" w:line="1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the Warrants and Pre-Funded Warrants, until holders of Warrants or Pre-Funded Warrants acquire our Class A Common Stock upon exercise of the Warrants or Pre-Funded Warrants, holders of Warrants and Pre-Funded Warrants will have no rights with respect to our Class A Common Stock underlying such Warrants and Pre-Funded Warrants. Upon exercise of the Warrants and Pre-Funded Warrants, the holders will be entitled to exercise the rights of a holder of our Class A Common Stock only as to matters for which the record date occurs after the exercise date.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$12.1 million from this offering (assuming the sale of all Units offered at the public offering price of $2.72 per Unit), after deducting underwriter discounts and commissions and estimated offering expenses payable by us. We will not receive any proceeds from the exercise of the Warrants if they are exercised on a cashless basis. Although we do not expect the holders to exercise on a cash basis, if all the Warrants are exercised on a cash basis at the initial exercise price of $6.80 per share, we could receive up to $67,499,996.</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other general corporate purposes, which may include funding operations, sales and marketing activities, product development, capital expenditures, and repayment of indebtedness.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These expected uses represent our intentions based upon our current plans and business conditions, which could change in the future as our plans and business conditions evolve. The amounts and timing of our actual expenditures may vary significantly depending on numerous factors, including the factors described in “Risk Factors” in this prospectus. As a result, 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 uses described above, we plan to invest the net proceeds from this offering in short-term, investment-grade, interest-bearing securities.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$1.00 increase (decrease) in the assumed public offering price per Unit set forth above would increase (decrease) the net proceeds to us from this offering by approximately $4.6 million, assuming the number of Units offered by us, as set forth on the cover of this prospectus, remains the same and after deducting underwriter discounts and commissions and estimated expenses payable by us. An increase (decrease) of one million Units sold by us in this offering would increase (decrease) the net proceeds to us from this offering by approximately $2.5 million, assuming the public offering price per Unit described above remains the same and after deducting underwriter discounts and commissions and estimated expenses payable by us. The information in this paragraph is illustrative only and will change based on the actual public offering price and other terms of this offering determined at the pricing of this offering.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cash, as well as our capitalization, as of June 30, 2026 (dollar amounts in thousands unless otherwise stated):</w:t>
      </w:r>
    </w:p>
    <w:p>
      <w:pPr>
        <w:spacing w:after="0" w:line="225"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adjusted basis to give effect to the following transactions between July 1, 2026 and the date of this prospectus:</w:t>
      </w:r>
    </w:p>
    <w:p>
      <w:pPr>
        <w:spacing w:after="0" w:line="27"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913"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ConnectAndSell Asset Purchase. The purchase consideration included: $750 cash paid at Closing; First and Second Deferred Cash Payments of $1,500 and $3,063, respectively; 29,492 shares of Class A Common Stock and 168,518 Pre-Funded Warrants totaling $5.9 million; Employee Indebtedness Note of $1.6 million; and Base Earn-Out consideration of $370;</w:t>
      </w:r>
    </w:p>
    <w:p>
      <w:pPr>
        <w:spacing w:after="0" w:line="1"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Financing with an aggregate debt principal amount of $2.1 million, for net cash proceeds of $2.0 million after fees;</w:t>
      </w:r>
    </w:p>
    <w:p>
      <w:pPr>
        <w:spacing w:after="0" w:line="9" w:lineRule="exact"/>
        <w:rPr>
          <w:rFonts w:ascii="Times New Roman" w:cs="Times New Roman" w:eastAsia="Times New Roman" w:hAnsi="Times New Roman"/>
          <w:sz w:val="18"/>
          <w:szCs w:val="18"/>
          <w:color w:val="auto"/>
        </w:rPr>
      </w:pPr>
    </w:p>
    <w:p>
      <w:pPr>
        <w:ind w:left="660" w:hanging="4"/>
        <w:spacing w:after="0" w:line="250" w:lineRule="auto"/>
        <w:tabs>
          <w:tab w:leader="none" w:pos="98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 and Aegis Public Offering equity transactions resulting in issuance of an aggregate of 1,532,727 shares of Class A Common Stock, for approximately $7.5 million, for net cash proceeds of $7.1 million after fees;</w:t>
      </w:r>
    </w:p>
    <w:p>
      <w:pPr>
        <w:ind w:left="960" w:hanging="304"/>
        <w:spacing w:after="0"/>
        <w:tabs>
          <w:tab w:leader="none" w:pos="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Evergreen Convertible Note Financing for approximately $3.3 million, for net cash proceeds of $2.0 million after fees and discounts;</w:t>
      </w:r>
    </w:p>
    <w:p>
      <w:pPr>
        <w:spacing w:after="0" w:line="9" w:lineRule="exact"/>
        <w:rPr>
          <w:rFonts w:ascii="Times New Roman" w:cs="Times New Roman" w:eastAsia="Times New Roman" w:hAnsi="Times New Roman"/>
          <w:sz w:val="18"/>
          <w:szCs w:val="18"/>
          <w:color w:val="auto"/>
        </w:rPr>
      </w:pPr>
    </w:p>
    <w:p>
      <w:pPr>
        <w:ind w:left="660" w:hanging="4"/>
        <w:spacing w:after="0" w:line="250" w:lineRule="auto"/>
        <w:tabs>
          <w:tab w:leader="none" w:pos="9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issuances with various lenders including Agile, 1800 Diagonal, 3i, LP, UCAP, GMFunding and CFG Funding totaling approximately $2.9 million, for net cash proceeds of $2.6 million after fees and discounts;</w:t>
      </w:r>
    </w:p>
    <w:p>
      <w:pPr>
        <w:ind w:left="960" w:hanging="304"/>
        <w:spacing w:after="0"/>
        <w:tabs>
          <w:tab w:leader="none" w:pos="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payoff of Note held by 3i, LP totaling $600;</w:t>
      </w:r>
    </w:p>
    <w:p>
      <w:pPr>
        <w:spacing w:after="0" w:line="9"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20,000 shares to Dune Equity Consulting for consulting services;</w:t>
      </w:r>
    </w:p>
    <w:p>
      <w:pPr>
        <w:spacing w:after="0" w:line="9"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conversions of debt held by 3i, LP totaling $726;</w:t>
      </w:r>
    </w:p>
    <w:p>
      <w:pPr>
        <w:spacing w:after="0" w:line="9" w:lineRule="exact"/>
        <w:rPr>
          <w:sz w:val="20"/>
          <w:szCs w:val="20"/>
          <w:color w:val="auto"/>
        </w:rPr>
      </w:pPr>
    </w:p>
    <w:p>
      <w:pPr>
        <w:ind w:left="1060" w:hanging="404"/>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exercises of 14,000 pre-funded warrants by ConnectAndSell, Inc.;</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12,724 shares related to exercises of PA warrants; and</w:t>
      </w:r>
    </w:p>
    <w:p>
      <w:pPr>
        <w:spacing w:after="0" w:line="9"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1,645 shares for payment to Verista.</w:t>
      </w:r>
    </w:p>
    <w:p>
      <w:pPr>
        <w:spacing w:after="0" w:line="207" w:lineRule="exact"/>
        <w:rPr>
          <w:sz w:val="20"/>
          <w:szCs w:val="20"/>
          <w:color w:val="auto"/>
        </w:rPr>
      </w:pPr>
    </w:p>
    <w:p>
      <w:pPr>
        <w:jc w:val="both"/>
        <w:ind w:left="66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as further adjusted basis to give further effect to the sale by us of all of the Units offered in this offering, at a public offering price of $2.72 per Unit, assuming (i) no exercise of the Warrants, and (ii) no exercise of the Underwriter’s over-allotment option, and after deducting the underwriter discount and commissions and other estimated offering expenses payable by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As Further</w:t>
            </w:r>
          </w:p>
        </w:tc>
        <w:tc>
          <w:tcPr>
            <w:tcW w:w="0" w:type="dxa"/>
            <w:vAlign w:val="bottom"/>
          </w:tcPr>
          <w:p>
            <w:pPr>
              <w:spacing w:after="0" w:line="20" w:lineRule="exact"/>
              <w:rPr>
                <w:sz w:val="1"/>
                <w:szCs w:val="1"/>
                <w:color w:val="auto"/>
              </w:rPr>
            </w:pPr>
          </w:p>
        </w:tc>
      </w:tr>
      <w:tr>
        <w:trPr>
          <w:trHeight w:val="430"/>
        </w:trPr>
        <w:tc>
          <w:tcPr>
            <w:tcW w:w="6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80" w:type="dxa"/>
            <w:vAlign w:val="bottom"/>
            <w:gridSpan w:val="2"/>
            <w:vMerge w:val="continue"/>
          </w:tcPr>
          <w:p>
            <w:pPr>
              <w:spacing w:after="0"/>
              <w:rPr>
                <w:sz w:val="20"/>
                <w:szCs w:val="20"/>
                <w:color w:val="auto"/>
              </w:rPr>
            </w:pPr>
          </w:p>
        </w:tc>
        <w:tc>
          <w:tcPr>
            <w:tcW w:w="182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17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Adjusted</w:t>
            </w: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Adjusted</w:t>
            </w:r>
          </w:p>
        </w:tc>
        <w:tc>
          <w:tcPr>
            <w:tcW w:w="0" w:type="dxa"/>
            <w:vAlign w:val="bottom"/>
          </w:tcPr>
          <w:p>
            <w:pPr>
              <w:spacing w:after="0"/>
              <w:rPr>
                <w:sz w:val="1"/>
                <w:szCs w:val="1"/>
                <w:color w:val="auto"/>
              </w:rPr>
            </w:pPr>
          </w:p>
        </w:tc>
      </w:tr>
      <w:tr>
        <w:trPr>
          <w:trHeight w:val="209"/>
        </w:trPr>
        <w:tc>
          <w:tcPr>
            <w:tcW w:w="6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19,071</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32,511</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32,511</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75,000,000 shares authorized, 0 shares</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issued and outstanding</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6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275,000,000 shares (250,000,000 Class A</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and 25,000,000 Class B Common Stock) authorized; 269,058</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(265,672 Class A Common Stock and 3,386 Class B Common Stock)</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actual, and 524,103 shares (509,120 Class A Common</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and 14,983 Class B Common Stock) issued and outstanding, as adjusted</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126,445</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140,627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152,695</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(114,154)</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(115,100)</w:t>
            </w: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(115,100)</w:t>
            </w:r>
          </w:p>
        </w:tc>
        <w:tc>
          <w:tcPr>
            <w:tcW w:w="0" w:type="dxa"/>
            <w:vAlign w:val="bottom"/>
          </w:tcPr>
          <w:p>
            <w:pPr>
              <w:spacing w:after="0"/>
              <w:rPr>
                <w:sz w:val="1"/>
                <w:szCs w:val="1"/>
                <w:color w:val="auto"/>
              </w:rPr>
            </w:pPr>
          </w:p>
        </w:tc>
      </w:tr>
      <w:tr>
        <w:trPr>
          <w:trHeight w:val="223"/>
        </w:trPr>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as adjusted and as further adjusted information above is illustrative only, and our capitalization following the closing of this offering will be adjusted based on the actual public offering price and other terms of this offering determined at pricing. The information set forth in the table above should be read in conjunction with, and is qualified in its entirety by, reference to our audited and unaudited financial statements and the notes thereto included elsewhere in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 FOR CLASS A COMMON STOCK AND DIVIDEND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November 4, 2026, our Class A Common Stock is listed on Nasdaq under the symbol “PARA”. Our Public Warrants are currently listed on Nasdaq under the symbol “PARAW.” As of November 4, 2026, there were 58 holders of record of our Class A Common Stock and one holder of record of our Public Warrants. These numbers do not include beneficial owners whose securities were held in street name.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May 2026, following receipt of the necessary shareholder and Nasdaq approval, we implemented a reverse stock split of our Class A and Class B Common Stock at a 1:20 ratio, which went effective on May 8, 2026. Following the split, we have a new CUSIP number 06682J605. In October 2026, following receipt of the necessary shareholder and Nasdaq approval, we implemented a reverse stock split of our Class A and Class B Common Stock at a 1:10 ratio, which went effective on October 27, 2026. Following the split, our CUSIP number 06682J803.</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color w:val="auto"/>
        </w:rPr>
        <w:t>See, Risk Factor – “</w:t>
      </w:r>
      <w:r>
        <w:rPr>
          <w:rFonts w:ascii="Times New Roman" w:cs="Times New Roman" w:eastAsia="Times New Roman" w:hAnsi="Times New Roman"/>
          <w:sz w:val="18"/>
          <w:szCs w:val="18"/>
          <w:b w:val="1"/>
          <w:bCs w:val="1"/>
          <w:i w:val="1"/>
          <w:iCs w:val="1"/>
          <w:color w:val="auto"/>
        </w:rPr>
        <w:t>Our stock is subject to requirements to remain listed on Nasdaq, including a minimum bid price requirement and stockholders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equity requirement, and may be delisted if it does not maintain or regain, as applicable, compliance with those requirements.”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we have not declared or paid any cash dividends on our Common Stock. We expect to retain future earnings, if any, for future operations, expansion and debt repayment and have no plans to declare or pay cash dividends on our Common Stock for the foreseeable future. Any decision to declare and pay dividends in the future will be made at the discretion of the Board and will depend on, among other things, our results of operations, financial condition, cash requirements, contractual restrictions, and other factors that the Board may deem relevant. In addition, our ability to pay dividends may be limited by covenants of any existing and future outstanding indebtedness we or our subsidiaries incur.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equity securities authorized for issuance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Remaining</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Available for</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Future Issuance</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Under Equity</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Securities To Be</w:t>
            </w:r>
          </w:p>
        </w:tc>
        <w:tc>
          <w:tcPr>
            <w:tcW w:w="12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Issued Upon</w:t>
            </w:r>
          </w:p>
        </w:tc>
        <w:tc>
          <w:tcPr>
            <w:tcW w:w="12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Plans</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2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(excluding</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of Outstanding</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securities</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Options,</w:t>
            </w:r>
          </w:p>
        </w:tc>
        <w:tc>
          <w:tcPr>
            <w:tcW w:w="120" w:type="dxa"/>
            <w:vAlign w:val="bottom"/>
          </w:tcPr>
          <w:p>
            <w:pPr>
              <w:spacing w:after="0"/>
              <w:rPr>
                <w:sz w:val="18"/>
                <w:szCs w:val="18"/>
                <w:color w:val="auto"/>
              </w:rPr>
            </w:pPr>
          </w:p>
        </w:tc>
        <w:tc>
          <w:tcPr>
            <w:tcW w:w="16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r>
      <w:tr>
        <w:trPr>
          <w:trHeight w:val="216"/>
        </w:trPr>
        <w:tc>
          <w:tcPr>
            <w:tcW w:w="5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20" w:type="dxa"/>
            <w:vAlign w:val="bottom"/>
          </w:tcPr>
          <w:p>
            <w:pPr>
              <w:spacing w:after="0"/>
              <w:rPr>
                <w:sz w:val="18"/>
                <w:szCs w:val="18"/>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Warrants and</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column (a)) (c)</w:t>
            </w:r>
          </w:p>
        </w:tc>
      </w:tr>
      <w:tr>
        <w:trPr>
          <w:trHeight w:val="238"/>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Rights (a)</w:t>
            </w:r>
          </w:p>
        </w:tc>
        <w:tc>
          <w:tcPr>
            <w:tcW w:w="120" w:type="dxa"/>
            <w:vAlign w:val="bottom"/>
          </w:tcPr>
          <w:p>
            <w:pPr>
              <w:spacing w:after="0"/>
              <w:rPr>
                <w:sz w:val="20"/>
                <w:szCs w:val="20"/>
                <w:color w:val="auto"/>
              </w:rPr>
            </w:pPr>
          </w:p>
        </w:tc>
        <w:tc>
          <w:tcPr>
            <w:tcW w:w="16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Rights (b)</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r>
      <w:tr>
        <w:trPr>
          <w:trHeight w:val="209"/>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shareholders</w:t>
            </w: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315,518.00</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shareholders</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315,518.00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2,432 shares available pursuant to our 2023 Equity Incentive Plan and 6 shares available pursuant to our Employee Stock Purchase Plan. The total number of securities remaining available for future issuance indicated above reflects the expansion of shares available under the 2023 EIP Plan, to 5,000 shares, which Parabolic’s shareholders approved on February 28, 2025.</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you invest in our Common Stock, your interest will be diluted immediately to the extent of the difference between the public offering price per share, as applicable, and the adjusted net tangible book value per share of our Common Stock after this offering.</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net tangible book value on June 30, 2026 was approximately ($17.2) million, or ($64.73) per share. “Net tangible book value” is total assets minus the sum of liabilities and intangible assets. “Net tangible book value per share” is net tangible book value divided by the total number of shares outstanding.</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After giving effect to (i) the sale of 4,963,235 Units at the public offering price of $2.72 per Unit (the closing sale price of our common stock on Nasdaq on November 3, 2026, assuming no exercise of the Warrants issued in connection with this offering and assuming no exercise of the underwriter’s over-allotment option), after deducting the underwriting discounts and commissions and estimated offering expenses payable by us our as-adjusted pro forma net tangible book value as of June 30, 2026 would have been approximately ($5.1) million, or ($0.98) per share. This represents an immediate increase in net tangible book value of $63.75 per share to our existing stockholders and an immediate dilution of $3.66 per share to new investors purchasing Units in this offering. Therefore, the assumed public offering price used throughout this prospectus may not be indicative of the final public offering price. The following table illustrates this calculation on a per share basis: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7"/>
        </w:trPr>
        <w:tc>
          <w:tcPr>
            <w:tcW w:w="1280" w:type="dxa"/>
            <w:vAlign w:val="bottom"/>
            <w:tcBorders>
              <w:top w:val="single" w:sz="8" w:color="0000EE"/>
            </w:tcBorders>
          </w:tcPr>
          <w:p>
            <w:pPr>
              <w:spacing w:after="0"/>
              <w:rPr>
                <w:sz w:val="20"/>
                <w:szCs w:val="20"/>
                <w:color w:val="auto"/>
              </w:rPr>
            </w:pPr>
          </w:p>
        </w:tc>
        <w:tc>
          <w:tcPr>
            <w:tcW w:w="50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23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tangible book value per share as of June 30, 2026</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(64.73)</w:t>
            </w:r>
          </w:p>
        </w:tc>
        <w:tc>
          <w:tcPr>
            <w:tcW w:w="8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per share attributable to this offering</w:t>
            </w:r>
          </w:p>
        </w:tc>
        <w:tc>
          <w:tcPr>
            <w:tcW w:w="23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63.75</w:t>
            </w:r>
          </w:p>
        </w:tc>
        <w:tc>
          <w:tcPr>
            <w:tcW w:w="880" w:type="dxa"/>
            <w:vAlign w:val="bottom"/>
            <w:shd w:val="clear" w:color="auto" w:fill="CCEEFF"/>
          </w:tcPr>
          <w:p>
            <w:pPr>
              <w:spacing w:after="0"/>
              <w:rPr>
                <w:sz w:val="18"/>
                <w:szCs w:val="18"/>
                <w:color w:val="auto"/>
              </w:rPr>
            </w:pPr>
          </w:p>
        </w:tc>
      </w:tr>
      <w:tr>
        <w:trPr>
          <w:trHeight w:val="216"/>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net tangible book value per share after this offering</w:t>
            </w:r>
          </w:p>
        </w:tc>
        <w:tc>
          <w:tcPr>
            <w:tcW w:w="23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(0.98)</w:t>
            </w:r>
          </w:p>
        </w:tc>
        <w:tc>
          <w:tcPr>
            <w:tcW w:w="880" w:type="dxa"/>
            <w:vAlign w:val="bottom"/>
          </w:tcPr>
          <w:p>
            <w:pPr>
              <w:spacing w:after="0"/>
              <w:rPr>
                <w:sz w:val="18"/>
                <w:szCs w:val="18"/>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w:t>
            </w:r>
          </w:p>
        </w:tc>
        <w:tc>
          <w:tcPr>
            <w:tcW w:w="238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above discussion and table are based on 265,672 shares of our Common Stock outstanding as of June 30, 2026.</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any of our outstanding options or warrants are exercised, we grant additional options or other awards under our stock incentive plan or issue additional warrants, or we issue additional shares of Common Stock in the future, there may be further dilution.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Each $1.00 increase (decrease) in the assumed public offering price of $2.72 per Unit would increase (decrease) the as-adjusted pro forma net tangible book value per share after this offering by approximately $0.87 per share and the dilution per share to new investors purchasing Units in this offering by approximately $0.13 per share, assuming the number of Units offered by us, as set forth on the cover page of this prospectus, remains the same, and after deducting estimated underwriter discounts and commissions and estimated offering expenses payable by us. An increase (decrease) of 1.0 million Units in the number of Units offered by us would increase (decrease) the as-adjusted pro forma net tangible book value per share after this offering by approximately $0.56 per share and increase (decrease) the dilution per share to new investors participating in this offering by approximately ($0.56) per share, assuming no change in the assumed public offering price of $2.72 per Unit and after deducting estimated underwriter discounts and commissions and estimated offering expenses payable by us.</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information above assumes that the underwriter does not exercise its over-allotment option. If the underwriter exercises its over-allotment option in full, the pro forma as adjusted net tangible book value (deficit) for the offering will increase to $0.64 per Unit, representing an immediate increase to existing shareholders of $1.62 per share and an immediate dilution of ($1.62) per Unit to new investors.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 the extent that our outstanding warrants are exercised, you could experience further dilution. To the extent that we raise additional capital through the sale of additional equity, the issuance of any of our shares of common stock could result in further dilution to our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audited financial statements and related notes, and our interim condensed consolidated financial statements and related notes, that appear elsewhere in this prospectus, as well as the section entitled “Business.” In addition to historical consolidated financial information,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particularly in the section titled “Risk Factors” and elsewhere in this prospectus.</w:t>
      </w:r>
    </w:p>
    <w:p>
      <w:pPr>
        <w:spacing w:after="0" w:line="18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Certain figures, such as interest rates and other percentages, included in this section have been rounded for ease of presentation. Percentage figures included in this section have not in all cases been calculated on the basis of such rounded figures but on the basis of such amounts prior to rounding. For this reason, percentage amounts in this section may vary slightly from those obtained by performing the same calculations using the figures in our consolidated financial statements or in the associated text. Certain other amounts that appear in this section may similarly not sum due to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Marketing Technology (MarTech) company that produces data-driven marketing and sales solutions for businesses of all sizes. Our mission is to help our customers accomplish their mission - by enabling better marketing, sales, and customer engagement outcomes. We endeavor to acquire companies strategically positioned to enhance our product and service offerings, increasing the value provided to current and prospective customers.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Effective on August 6, 2026, we began doing business under the trade name “Parabolic.” In connection with the rebrand, the trading symbols for our Class A common stock and redeemable warrants on Nasdaq changed from “BNZI” and “BNZIW” to “PARA” and “PARAW,” respectively, effective on August 7, 2026. The rebranding reflects the evolution of the Company’s vision from a marketing technology point-solution provider to a cost efficient platform that invests in and grows companies offering AI-powered solutions to the B2B channel across the full customer lifecycle. Throughout this Report, we may refer to the Company as Banzai or Parabolic. Effective October 27, 2026, our company name changed from Banzai International, Inc. to Parabolic Technologies, Inc. following approval by our shareholders.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founded in 2015. The first product we launched was Reach, a SaaS and managed services offering designed to increase registration and attendance of marketing events, followed by the acquisition of Demio, a SaaS solution for webinars designed for marketing, sales, and customer success teams, in 2021 and the launch of Boost, a SaaS solution for social sharing designed to increase attendance for Demio-hosted events by enabling easy social sharing by event registrants, in 2023. We acquired OpenReel in 2024, both Vidello and the assets of Superblocks in 2025, and the assets of ConnectAndSell in 2026, further expanding our platform and customer base.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customer base comes from a variety of industries, including (among others) healthcare, financial services, e-commerce, technology and media, in over 90 countries. Our customers range in size from solo entrepreneurs and small businesses to Fortune 500 companies. No single customer represents more than 10% of our revenue. Since 2021, we have focused on increasing mid-market and enterprise customers for Demio.</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our products using a recurring subscription license model typical in SaaS businesses. Pricing tiers for our main product, Demio, are based on the number of host-capable users, desired feature sets, and maximum audience size. Boost pricing tiers are based on the Demio plan to which the customer subscribes. Reach pricing is based on the number of event campaigns a customer has access to run simultaneously or the maximum number of registrations a customer is allowed to generate per subscription period. Our customer contracts vary in term length from single months to multiple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Quarter 2026 Financial and Operational Highlights</w:t>
      </w:r>
    </w:p>
    <w:p>
      <w:pPr>
        <w:spacing w:after="0" w:line="229"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27.3% to $2.3 million for second quarter 2026 compared to second quarter 2025. Total cost of revenue decreased by 18.8% quarter over quarter.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$1.8 million for second quarter 2026, compared to $2.6 million in second quarter 2025. Gross margin was 80.2% in second quarter 2026 compared to 82.3% in second quarter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to $5.0 million for second quarter 2026, compared to $7.9 million in second quarter 2025, which represents a $3.0 million improvement quarter over quarter.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increased to $12.2 million as of June 30, 2026; we converted $0.6 million of debt to equity, which included paying off the Yorkville convertible notes, and raised an additional $1.2 million from the SEPA during second quarter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Full Year 2025 Financial and Operational Highlights</w:t>
      </w:r>
    </w:p>
    <w:p>
      <w:pPr>
        <w:spacing w:after="0" w:line="229" w:lineRule="exact"/>
        <w:rPr>
          <w:sz w:val="20"/>
          <w:szCs w:val="20"/>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grew 168.6% to $12.2 million for full year 2025 compared to 2024. Total cost of revenue increased only 53.8% year over year, resulting in improved gross profit.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reached $10.0 million for full year 2025, compared to $3.1 million in 2024. Gross profit was 82.0% in full year 2025 compared to 68.6% in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decreased to $22.5 million for full year 2025, compared to $31.5 million in 2024, which represents a $9.0 million improvement year over year.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increased $10.8 million to $8.1 million as of December 31, 2025. The company made substantial improvements to the balance sheet during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a payoff and debt conversion agreement for approximately $4.3 million in outstanding senior secured debt. The decision by senior debt holders to convert into equity reflects a strong vote of confidence in our vision and trajectory.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an $11 million debt facility in June 2025 with an institutional investor to support ongoing operations and solidify the foundation for future growth.</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our customer base to over 150,000 cumulative total customers that have used Parabolic products as of December 31, 2025. Customers include blue chip names across healthcare, financial services, e-commerce, technology, and media, with customers in over 90 countries.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Vidello, a suite of products for 3D video creation, royalty free music, and video marketing. Vidello offers a comprehensive video hosting and marketing suite that provides entrepreneurs, startups, agencies, and online businesses with tools to grow their businesses.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the assets of Superblocks, an agentic AI platform for developing and hosting SEO-optimized websites, landing pages, and registration pages. The platform allows marketers to create and host websites using conversational AI, addressing problems that traditionally required rigid template-based site builders or extensive web development expertise.</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institutional investor increased their direct equity stake to 18.7% following the exercise of warrants. We believe this demonstrates their confidence in our long-term strategy.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strong pipeline focused on the BFSI (banking, financial services, insurance, and FinTech) segment with multiple seven-figure deals. We are seeing substantial improvements in our pipeline, especially for mid-market and enterprise customers.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shifted CreateStudio revenue model from one-time license to recurring subscription revenue. The vast majority of CreateStudio revenue is now recurring, with a very effective customer upsell program running.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entered into a Repurchase Agreement with an institutional investor (the “Investor”), on October 20, 2026 (the “Repurchase Agreement”), pursuant to which, upon the closing of a public offering (the “Offering”), the Company shall repurchase certain common stock purchase warrants that allow the Investor to purchase up to 166,286 shares of the Company’s common stock (the “Existing Warrants”), par value $0.0001 per share (the “Common Stock”), for $1.5 million in cash (the “Warrant Repurchase Price”). Upon payment of the Warrant Repurchase Price, the Existing Warrants shall be cancelled and be of no further force or effect.</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Previously, on June 27, 2025, the Company and the Investor entered into that certain Securities Purchase Agreement, (as amended, supplemented or otherwise modified from time to time, the “Securities Purchase Agreement”), pursuant to which, among other things, the Company issued to the Investor:</w:t>
      </w:r>
    </w:p>
    <w:p>
      <w:pPr>
        <w:ind w:right="20" w:firstLine="8"/>
        <w:spacing w:after="0" w:line="260" w:lineRule="auto"/>
        <w:tabs>
          <w:tab w:leader="none" w:pos="21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secured convertible note, dated August 12, 2026, (the “Existing Note”) and (ii) the Existing Warrants, which have a current exercise price equal to $12.45 per share.</w:t>
      </w:r>
    </w:p>
    <w:p>
      <w:pPr>
        <w:spacing w:after="0" w:line="1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the Repurchase Agreement, the Investor has a right to participate in the Offering in an amount not less than $6 million, or such lesser amount as the Company may specify, subject to the procedures and conditions in the Repurchase Agreement. Additionally, the Investor agreed to a standstill period regarding the Existing Note for a period of eighteen trading days commencing on, and including, the date of the public filing of the registration statement for the Offering and to waive certain provisions included in the Securities Purchase Agreement and the Existing Note.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agreed to pay the Investor’s legal fees of $20,000 associated with the drafting and negotiation of the Repurchase Agreement. The foregoing description of the Repurchase Agreement does not purport to be complete and is qualified in its entirety by reference to the full text of the Repurchase Agreement, which is filed as Exhibit 10.0 to the Current Report on Form 8-K that was filed with the Securities and Exchange Commission on October 21,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Joseph Davy Subscription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25, 2026, the Company entered into a subscription agreement (the “Subscription Agreement”) with Joseph Davy, the Company’s Chief Executive Officer and Chairman of the Board of Directors, pursuant to which Mr. Davy agreed to purchase 11,597 shares of the Company’s Class B Common Stock, par value $0.0001 per share, for an aggregate purchase price of $81,176, payable in cash. The purchase price was $7.00 per share, which is equal to the consolidated closing bid price of the Company’s Class A Common Stock on Nasdaq immediately preceding the execution of the Subscription Agreement. Following the purchase, Mr. Davy held a 25.6% voting interest in the Company’s voting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Evergreen Convertible Note Financing</w:t>
      </w:r>
    </w:p>
    <w:p>
      <w:pPr>
        <w:spacing w:after="0" w:line="22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On September 4, 2026, the Company entered into a Securities Purchase Agreement (the “Purchase Agreement”) with an accredited investor (the “Purchaser”), pursuant to which the Company agreed to sell, in a private placement (the “Private Placement”), (i) a convertible promissory note (the “Note”) in an initial principal amount of $2,142,857 (subject to increase up to $3,571,429), bearing interest at 10% per annum with a 30% original issue discount and maturing on June 4, 2027, convertible into shares of Common Stock at $27.50 per share, and (ii) a warrant (the “Common Warrant”) to purchase up to 77,922 shares of Common Stock (subject to increase in connection with subsequent tranche fundings) at an exercise price of $27.50 per share, exercisable immediately and expiring five years from issuance. The Purchaser’s subscription amount is payable in up to three tranches, with $1.5 million paid at the initial closing. Aegis Capital Corp. acted as the exclusive placement agent for the Private Placement. In connection with the Private Placement, the Company’s directors, executive officers, and stockholders holding at least 10% of the outstanding shares of Common Stock entered into lock-up agreements restricting dispositions for 90 calendar days from the date of the Purchase Agreement.</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Since entering into the Purchase Agreement, the Company and the Purchaser have revised some of the terms of the Purchase Agreement and related instruments via two letter agreements and an amended and restated Note and a second amended and restated Note. Most notably, the revised terms dictate that the threshold amount for cross defaults under the Note shall be set at $250,000. Additionally, the Purchaser now has a 25% participation right in the Company’s future financings, with some noted exceptions, until the later of September 18, 2027 and the date that Aegis ceases to act as the Company’s investment bank. The parties also agreed to revise the $500,000 Tranche 2 funding into two separate fundings of $190,000 and $310,000, rather than one lump sum payment. The two separate fundings were executed and funded on September 21, 2026, and September 28, 2026, respectively. The amended and restated Note consolidated the original Note and the interim notes issued in connection with the Tranche 2 fundings into a single Note with a principal amount of $2,857,143. The second amended and restated Note superseded that Note and reflects the funding of $300,000 of Tranche 3, increasing the principal amount to $3,285,714, with the remaining $200,000 payable within three business days after the public filing of the registration statement on Form S-1 (or any amendment thereto) relating to the Offering. Upon funding of that remaining amount, the principal amount will automatically increase by $285,714.</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Purchase Agreement, the Note, as amended and restated, the Common Warrant, the Lock-Up Agreements and the two letter agreements are qualified in their entirety by reference to the full text of such documents, which are filed as exhibits to this registration statement or incorporated herein by reference.</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Term Note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2026, the Company issued a subordinated secured promissory note (the “Agile Note #9”) for an aggregate principal amount of $360 thousand and received net proceeds of $342 thousand, after administrative agent fees of $18 thousand paid to Agile Funding. Agile Note #9 has a maturity date of March 2, 2027 and bears interest at a rate of 46%.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GMFunding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28, 2026, the Company issued a promissory note (“GMFunding Note”) for an aggregate principal amount of approximately $200 thousand and received net proceeds of approximately $188 thousand, after transaction fees. The note has a maturity date of March 12, 2027, and bears interest at 502%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CFG Funding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31, 2026, the Company issued a promissory note (“CFG Funding Note”) for an aggregate principal amount of approximately $200 thousand and received net proceeds of approximately $188 thousand, after transaction fees. The note has a maturity date of March 15, 2027, and bears interest at 502%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Note Issuances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2026, the Company issued a promissory note (“1800 Diagonal Note #14”) for an aggregate principal amount of approximately $135 thousand and received net proceeds of approximately $110 thousand, after discount and transaction fees. The note has a maturity date of April 15, 2027, and bears interest at 77.7% per annum.</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12, 2026, the Company issued a promissory note (“1800 Diagonal Note #15”) for an aggregate principal amount of approximately $144 thousand and received net proceeds of approximately $118 thousand, after discount and transaction fees. The note has a maturity date of May 15, 2027, and bears interest at 74.4% per annum.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12, 2026, the Company issued a promissory note (“1800 Diagonal Note #16”) for an aggregate principal amount of approximately $209 thousand and received net proceeds of approximately $182 thousand, after discount and transaction fees. The note has a maturity date of July 15, 2027, and bears interest at 74.4% per annum.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Note Conversions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5, 2026, August 14, 2026, August 17, 2026 and August 18, 2026, the Lender exercised its contractual conversion option under the December 1800 Diagonal Note and the January 1800 Diagonal Note, respectively, and received an aggregate of approximately 14 thousand shares of Class A Common Stock at conversion prices ranging from $10.875 to $13.05, in satisfaction of approximately $37 thousand and $174 thousand of the Company’s obligations under the December 1800 Diagonal Note and the January 1800 Diagonal Note,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UCAP LLC Convertible Note Issuance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5, 2026, the Company issued a 12% convertible redeemable note to UCAP LLC (“UCAP Note”) for an aggregate principal amount of approximately $556 thousand and received net proceeds of approximately $480 thousand, after discount and transaction fees. The note matures on August 5, 2027 and is convertible into shares of the Company’s Class A Common Stock at a variable conversion price based on the market price of the Company’s Class A Common Stock. The Company has elected to account for the note under fair value option.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Boot Capital Conversion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6, 2026, the Lender exercised its contractual conversion option under the Boot Capital Note and received an aggregate of approximately 2 thousand shares of Class A Common Stock at a conversion price of $13.05 in satisfaction of approximately $22 thousand of the Company’s obligations under the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Convertible Note Payoff</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7, 2026, the Company paid cash of approximately $600 thousand to 3i, LP, and the February 3i Note was fully repaid.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Convertible Note Issuance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12, 2026, the parties held an additional closing pursuant to the terms of the Purchase Agreement (the “August 2026 Closing”) and the Company issued an additional convertible note (the “3i Note #5”), additional buyer warrants (the “3i Note #5 Warrants”), and additional Financial Advisor warrants (the “3i Note #5 FA Warrants”).</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3i Note #5 has an original principal amount of $1.1 million, matures on August 12, 2027, and has a initial conversion price of $19.60 per share that is subject to a floor price of $3.50. Upon issuance, the Company received proceeds of approximately $1.0 million, net of OID and issuance fees and costs.</w:t>
      </w:r>
    </w:p>
    <w:p>
      <w:pPr>
        <w:spacing w:after="0" w:line="176"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The 3i Note #5 Warrants allow for the purchase of up to 11,253 shares of Common Stock at an initial exercise price of $19.60 per share, are exercisable immediately upon issuance, and expire on August 12, 2029. The 3i Note #5 FA Warrants allow for the purchase of up to 3,571 shares of Common Stock at an initial exercise price of $24.50 per share, are exercisable immediately upon issuance, and expire on August 12, 2031.</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Other than the specific terms described above, the 3i Note #5, the 3i Note #5 Warrants, and the 3i Note #5 FA Warrants have the same terms as the 3i, LP Private Placement Convertible Notes, the Private Placement Warrants and the Financial Advisor Warrants that are more fully described in </w:t>
      </w:r>
      <w:r>
        <w:rPr>
          <w:rFonts w:ascii="Times New Roman" w:cs="Times New Roman" w:eastAsia="Times New Roman" w:hAnsi="Times New Roman"/>
          <w:sz w:val="18"/>
          <w:szCs w:val="18"/>
          <w:i w:val="1"/>
          <w:iCs w:val="1"/>
          <w:color w:val="auto"/>
        </w:rPr>
        <w:t>Note 11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 xml:space="preserve"> 3i, LP Private Placement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Advanced Notice Settlements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Subsequent to June 30, 2026, the Company issued Advance Notices to Yorkville pursuant to the SEPA and requested aggregate purchases of 78,500 shares of the Company’s Class A Common Stock at an aggregate gross value and net proceeds of approximately $853 thousand and $817 thousand,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CP BF Letter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17, 2026, the Company, the Guarantors and CP BF entered into another letter agreement pursuant to which CP BF may not convert any portion of the Note, and the Company may not issue shares to CP BF thereunder, to the extent CP BF and its affiliates would beneficially own more than 9.99% of the Class A Common Stock outstanding after giving effect to such conversion or issuance.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Aegis Public Offering</w:t>
      </w:r>
    </w:p>
    <w:p>
      <w:pPr>
        <w:spacing w:after="0" w:line="22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18"/>
          <w:szCs w:val="18"/>
          <w:color w:val="auto"/>
        </w:rPr>
        <w:t>On July 14, 2026, we closed a previously announced underwritten public offering with gross proceeds to the Company of approximately $0.9 million, before deducting underwriting fees and other offering expenses payable by the Company. The offering consisted of the sale of 32,727 shares of Class A Common Stock. The public offering price per share was $27.50. We intend to use the net proceeds from the offering for working capital and other general corporate purposes. Solely to cover over-allotments, if any, the Company has granted Aegis Capital Corp. a 45-day option to purchase up to 3,636 additional shares of Common Stock. The purchase price to be paid per additional share of Common Stock will be equal to the public offering price of one Common Stock, less the underwriting discount. The aggregate market value of the shares of Class A Common Stock eligible for sale under the ATM Prospectus Supplement was approximately $0.1 million following the public offering on July 14, 2026, which is based on the limitations of General Instruction I.B.6 of Form S-3.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ConnectAndSell Asset Purchase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2, 2026, we completed the acquisition of substantially all assets of and certain specified liabilities of ConnectAndSell, Inc., an AI sales acceleration platform. ConnectAndSell serves approximately 250 B2B organizations such as Intuit, RingCentral, Truckstop, and SAP across financial services, healthcare, technology, and other industries. ConnectAndSell’s FY 2025 revenue was $14.7 million, with a gross margin of 86%.</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Asset Purchase Agreement (“APA”), total consideration was $13.2 million, comprised of: closing consideration of $750 thousand in cash, 29,492 shares of Class A Common Stock and 168,518 Pre-Funded Warrants (together valued at $5.9 million), and a one year promissory note (“C&amp;S Note”) for $1.8 million issued at Closing bearing interest at 8% per annum, repayable in quarterly payments; deferred consideration totaling $4.75 million; and earn-out payments tied to revenue performance in the twelve months following closing.</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deferred consideration consists of a first deferred cash payment of $1.5 million due no later than 10 days after closing, and a second deferred cash payment of $3.25 million payable within three (3) business days following the earlier of (x) the date that the SEC declares effective the registration statement covering the securities issued in the Private Placement (as defined below) and (y) December 31, 2026, provided that if the second deferred cash payment becomes due and payable after September 30, 2026, the amount will be increased by simple interest at a rate of 8% per annum from September 30, 2026 until repaid.</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Shares of Common Stock with an aggregate value of $1.34 million (based on the Closing VWAP) will be withheld by the Company at the Closing and retained for a period of twelve (12) months following the Closing as security for ConnectAndSell’s indemnification obligations under the APA (“Holdback Shares”). Subject to certain limited exceptions, ConnectAndSell’s aggregate indemnification liability for breaches of representations and warranties is limited to the Holdback Shares, subject to a deductible equal to one percent (1.0%) of the purchase price. The Holdback Shares will be released to ConnectAndSell within five (5) business days after the expiration of the survival period, less any shares retained in satisfaction of or reserved for pending indemnification claims.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APA contains ownership limitations whereby the Company may not issue shares to ConnectAndSell that would result in ConnectAndSell and its affiliates beneficially owning more than 9.99% of the Common Stock outstanding immediately following the Closing (the “Beneficial Ownership Limitation”), or more than 19.99% of the Common Stock and Class B common stock outstanding immediately prior to the Closing. The Company will issue Pre-Funded Warrants one for one at an exercise price of $0.0001 in lieu of shares if restricted by Beneficial Ownership Limitations.</w:t>
      </w:r>
    </w:p>
    <w:p>
      <w:pPr>
        <w:sectPr>
          <w:pgSz w:w="11900" w:h="16838" w:orient="portrait"/>
          <w:cols w:equalWidth="0" w:num="1">
            <w:col w:w="11240"/>
          </w:cols>
          <w:pgMar w:left="320" w:top="229"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must obtain stockholder approval for the issuance of shares of Common Stock (including shares underlying the Pre-Funded Warrants) to the extent required to comply with Nasdaq Listing Rule 5635 (the “CAS Stockholders’ Approval”). The Company’s board of directors has approved the APA and recommends that the Company’s stockholders vote to approve the share issuance. If the CAS Stockholders’ Approval is not obtained within 120 days following the Closing (or such longer period as mutually agreed by the parties in writing), the Company will be required to pay ConnectAndSell in cash an amount equal to the Closing Non-Cash Consideration (as defined in the APA) within 30 days thereafter, upon which ConnectAndSell will surrender to the Company for cancellation the Pre-Funded Warrants (or portions thereof) corresponding to such cash payment.</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Closing, the Company’s CEO and Chairman of the Board, Joe Davy, executed a Voting and Support Agreement requiring him to vote all the shares beneficially owned by him in favor of issuing Shares of Common Stock and Pre-Funded Warrants contemplated by the APA to meet Nasdaq listing standards.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Closing, the Company entered into a registration rights agreement with ConnectAndSell, pursuant to which the Company will agree to register for resale the shares of Common Stock and the Pre-Funded Warrants issued pursuant to the APA, and the shares of Common Stock issuable upon exercise of the Pre-Funded Warrants. The Company has agreed to file a registration statement within thirty (30) days following the Closing and to use commercially reasonable efforts to cause such registration statement to be declared effective within ninety (90) days following the Closing (or one hundred twenty (120) days if the SEC reviews and has written comments to the registration statement), and to use commercially reasonable efforts to maintain the effectiveness of the registration statement, subject to liquidated damages if these obligations are not met.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the addition of ConnectAndSell strengthens our position as a provider of integrated marketing and sales technology solutions while creating meaningful cross-sell opportunities across the combined company’s customer base. The transaction also furthers our strategy of building a powerful platform of revenue-generating software solutions. The majority of ConnectAndSell’s thirty-eight team members will join Parabolic as part of the transaction, bringing their substantial AI experience to us. We expect to recognize additional financial synergies through cost consolidation by the end of 2026.</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acquisition is expected to materially affect our results of operations going forward. Because the acquisition closed on July 2, 2026, its results of operations will be included in our consolidated results prospectively from that date; historical periods presented in this prospectus do not reflect ConnectAndSell’s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July 1, 2026 (the “Effective Date”),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spacing w:after="0" w:line="19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our recent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Superblocks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Vidello</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31, 2025, we acquired Vidello, a platform of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OpenReel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18, 2024, we acquired OpenReel, a leading enterprise video creation and management solution that empowers companies to create high-quality content at scale and on brand. OpenReel enables businesses of all sizes to cut down on the time- and resource-intensive process of video creation and scale content creation initiatives efficiently, effectively, and securely. OpenReel is trusted by a wide range of customers from small businesses to Fortune 500 companies. OpenReel is based in New York, with its team distributed worldwide. OpenReel’s enterprise customer base includes global organizations, such as Bristol Myers Squibb, Ingram Micro, DXC Technology, Insider Inc., and US Steel.</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acquisitions are a key part of our vision to build a comprehensive suite of AI-powered marketing tools that make marketers’ lives faster and easier.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Terminated Act-On Merger</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entered into an Agreement and Plan of Merger, dated January 22, 2025, with Act-On Software, Inc., a Delaware corporation (“Act-On”). Although the Company worked diligently to complete all closing conditions of the Plan of Merger, due to market conditions, on June 6, 2025, Act-On served Parabolic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and $882,030 in additional interest and extension fees associated with one of Act-On’s outstanding debts that the Company had intended to payoff in connection with the merger. As of December 31, 2025, the Company had paid the total amount owed of approximately $1,382,030 to Act-On.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Compliance</w:t>
      </w:r>
    </w:p>
    <w:p>
      <w:pPr>
        <w:spacing w:after="0" w:line="229" w:lineRule="exact"/>
        <w:rPr>
          <w:sz w:val="20"/>
          <w:szCs w:val="20"/>
          <w:color w:val="auto"/>
        </w:rPr>
      </w:pPr>
    </w:p>
    <w:p>
      <w:pPr>
        <w:jc w:val="both"/>
        <w:ind w:firstLine="396"/>
        <w:spacing w:after="0" w:line="266" w:lineRule="auto"/>
        <w:rPr>
          <w:sz w:val="20"/>
          <w:szCs w:val="20"/>
          <w:color w:val="auto"/>
        </w:rPr>
      </w:pPr>
      <w:r>
        <w:rPr>
          <w:rFonts w:ascii="Times New Roman" w:cs="Times New Roman" w:eastAsia="Times New Roman" w:hAnsi="Times New Roman"/>
          <w:sz w:val="18"/>
          <w:szCs w:val="18"/>
          <w:color w:val="auto"/>
        </w:rPr>
        <w:t>As more fully described herein, we effected a 1-for-10 reverse stock split of our Class A Common Stock as of July 8, 2025, a 1-for-20 reverse stock split of our Class A Common Stock as of May 8, 2026 and a 1-for-10 reverse stock split of our Class A Common Stock as of October 27, 2026 in an effort to remain compliant with Nasdaq Rule 5550(a)(2), which pertains to the minimum required bid price of our Class A Common Stock.</w:t>
      </w:r>
    </w:p>
    <w:p>
      <w:pPr>
        <w:spacing w:after="0" w:line="176" w:lineRule="exact"/>
        <w:rPr>
          <w:sz w:val="20"/>
          <w:szCs w:val="20"/>
          <w:color w:val="auto"/>
        </w:rPr>
      </w:pPr>
    </w:p>
    <w:p>
      <w:pPr>
        <w:jc w:val="both"/>
        <w:ind w:firstLine="396"/>
        <w:spacing w:after="0" w:line="253" w:lineRule="auto"/>
        <w:rPr>
          <w:sz w:val="20"/>
          <w:szCs w:val="20"/>
          <w:color w:val="auto"/>
        </w:rPr>
      </w:pPr>
      <w:r>
        <w:rPr>
          <w:rFonts w:ascii="Times New Roman" w:cs="Times New Roman" w:eastAsia="Times New Roman" w:hAnsi="Times New Roman"/>
          <w:sz w:val="18"/>
          <w:szCs w:val="18"/>
          <w:color w:val="auto"/>
        </w:rPr>
        <w:t>On October 27, 2026, Parabolic Technologies, Inc. (the “Company”) received a notice from Nasdaq indicating that the Company was not in compliance with Nasdaq’s $1.00 minimum bid price requirement for 30 consecutive business days. The Company’s 1-for-10 reverse stock split effected on July 8, 2025, 1-for-20 reverse stock split effected on May 8, 2026 and 1-for-10 reverse stock split effected on October 27, 2026 collectively resulted in a 1-for-2,000 reverse stock split ratio over the preceding two years. Due to these reverse stock splits, the Company is ineligible for the customary 180-day compliance period and received a Staff Delisting Determination. Accordingly, Nasdaq issued a Staff Delisting Determination in the Notice, notifying the Company that its securities are subject to delisting from Nasdaq. Following the Company’s timely request to appeal the Staff Delisting Determination, the determination has been stayed, pending a final decision by the Nasdaq Hearings Panel; a hearing is scheduled for December 3, 2026 at which the Company will present a plan to regain compliance. There can be no assurance that Nasdaq will accept the plan or that the Company will regain compliance or maintain its Nasdaq listing. If the Nasdaq Hearings Panel does not agree with the Company’s plan, the listing of our Common Stock will most likely be suspended or delisted. As of the date hereof, our Common Stock continues to trade on Nasdaq under the symbol “PARA.” (See Risk Factor – “</w:t>
      </w:r>
      <w:r>
        <w:rPr>
          <w:rFonts w:ascii="Times New Roman" w:cs="Times New Roman" w:eastAsia="Times New Roman" w:hAnsi="Times New Roman"/>
          <w:sz w:val="18"/>
          <w:szCs w:val="18"/>
          <w:b w:val="1"/>
          <w:bCs w:val="1"/>
          <w:i w:val="1"/>
          <w:iCs w:val="1"/>
          <w:color w:val="auto"/>
        </w:rPr>
        <w:t>Our stock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subject to requirements to remain listed on Nasdaq, including a minimum bid price requirement and stockholders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equity requirement, and may be delisted if it does not maintain or regain, as applicable, compliance with those requirements.”</w:t>
      </w:r>
      <w:r>
        <w:rPr>
          <w:rFonts w:ascii="Times New Roman" w:cs="Times New Roman" w:eastAsia="Times New Roman" w:hAnsi="Times New Roman"/>
          <w:sz w:val="18"/>
          <w:szCs w:val="18"/>
          <w:b w:val="1"/>
          <w:bCs w:val="1"/>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 and Public Company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Due to the Business Combination with 7GC in 2023, we became the successor to an SEC-registered and Nasdaq-listed company, which required Parabolic to hire additional personnel and implement procedures and processes to address public company regulatory requirements and customary practices. We incurred and expect to incur additional annual expenses as a public company for, among other things, directors’ and officers’ liability insurance, director fees and additional internal and external accounting, legal and administrative resources, including increased audit and legal fees. We are classified as a “smaller reporting company.” As a result, we have been provided with certain disclosure and regulatory relief. Our future results of operations and financial position may not be comparable to Legacy Parabolic’s historical results of operations and financial position as a result of the Business Combination.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Six Months Ended June 30, 2026 and 2025</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6"/>
          </w:tcPr>
          <w:p>
            <w:pPr>
              <w:jc w:val="right"/>
              <w:ind w:right="701"/>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60" w:type="dxa"/>
            <w:vAlign w:val="bottom"/>
          </w:tcPr>
          <w:p>
            <w:pPr>
              <w:spacing w:after="0"/>
              <w:rPr>
                <w:sz w:val="20"/>
                <w:szCs w:val="20"/>
                <w:color w:val="auto"/>
              </w:rPr>
            </w:pP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9"/>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4,969</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6,506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(1,537)</w:t>
            </w:r>
          </w:p>
        </w:tc>
        <w:tc>
          <w:tcPr>
            <w:tcW w:w="5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1,160</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189</w:t>
            </w:r>
          </w:p>
        </w:tc>
        <w:tc>
          <w:tcPr>
            <w:tcW w:w="5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r>
      <w:tr>
        <w:trPr>
          <w:trHeight w:val="209"/>
        </w:trPr>
        <w:tc>
          <w:tcPr>
            <w:tcW w:w="470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14,546</w:t>
            </w:r>
          </w:p>
        </w:tc>
        <w:tc>
          <w:tcPr>
            <w:tcW w:w="3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990</w:t>
            </w:r>
          </w:p>
        </w:tc>
        <w:tc>
          <w:tcPr>
            <w:tcW w:w="5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547</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0"/>
        </w:trPr>
        <w:tc>
          <w:tcPr>
            <w:tcW w:w="470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3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09"/>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(138)</w:t>
            </w:r>
          </w:p>
        </w:tc>
        <w:tc>
          <w:tcPr>
            <w:tcW w:w="5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895</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499</w:t>
            </w:r>
          </w:p>
        </w:tc>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55.8%</w:t>
            </w: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2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(4,489)</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(3,774)</w:t>
            </w:r>
          </w:p>
        </w:tc>
        <w:tc>
          <w:tcPr>
            <w:tcW w:w="5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issuance</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235</w:t>
            </w:r>
          </w:p>
        </w:tc>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53.0%</w:t>
            </w: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2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837</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(761)</w:t>
            </w:r>
          </w:p>
        </w:tc>
        <w:tc>
          <w:tcPr>
            <w:tcW w:w="5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1,770</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1,712</w:t>
            </w:r>
          </w:p>
        </w:tc>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96.7%</w:t>
            </w: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28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266</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(913)</w:t>
            </w:r>
          </w:p>
        </w:tc>
        <w:tc>
          <w:tcPr>
            <w:tcW w:w="58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(343.2%)</w:t>
            </w:r>
          </w:p>
        </w:tc>
      </w:tr>
      <w:tr>
        <w:trPr>
          <w:trHeight w:val="198"/>
        </w:trPr>
        <w:tc>
          <w:tcPr>
            <w:tcW w:w="470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fair value of financial instruments – related</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4"/>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party</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8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238</w:t>
            </w:r>
          </w:p>
        </w:tc>
        <w:tc>
          <w:tcPr>
            <w:tcW w:w="3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789</w:t>
            </w:r>
          </w:p>
        </w:tc>
        <w:tc>
          <w:tcPr>
            <w:tcW w:w="580" w:type="dxa"/>
            <w:vAlign w:val="bottom"/>
          </w:tcPr>
          <w:p>
            <w:pPr>
              <w:spacing w:after="0"/>
              <w:rPr>
                <w:sz w:val="18"/>
                <w:szCs w:val="18"/>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331.5%</w:t>
            </w:r>
          </w:p>
        </w:tc>
      </w:tr>
      <w:tr>
        <w:trPr>
          <w:trHeight w:val="216"/>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747</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520</w:t>
            </w:r>
          </w:p>
        </w:tc>
        <w:tc>
          <w:tcPr>
            <w:tcW w:w="5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69.6%</w:t>
            </w:r>
          </w:p>
        </w:tc>
      </w:tr>
      <w:tr>
        <w:trPr>
          <w:trHeight w:val="230"/>
        </w:trPr>
        <w:tc>
          <w:tcPr>
            <w:tcW w:w="47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9"/>
                <w:szCs w:val="19"/>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1,211</w:t>
            </w:r>
          </w:p>
        </w:tc>
        <w:tc>
          <w:tcPr>
            <w:tcW w:w="360" w:type="dxa"/>
            <w:vAlign w:val="bottom"/>
          </w:tcPr>
          <w:p>
            <w:pPr>
              <w:spacing w:after="0"/>
              <w:rPr>
                <w:sz w:val="19"/>
                <w:szCs w:val="19"/>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437</w:t>
            </w:r>
          </w:p>
        </w:tc>
        <w:tc>
          <w:tcPr>
            <w:tcW w:w="580" w:type="dxa"/>
            <w:vAlign w:val="bottom"/>
          </w:tcPr>
          <w:p>
            <w:pPr>
              <w:spacing w:after="0"/>
              <w:rPr>
                <w:sz w:val="19"/>
                <w:szCs w:val="19"/>
                <w:color w:val="auto"/>
              </w:rPr>
            </w:pPr>
          </w:p>
        </w:tc>
        <w:tc>
          <w:tcPr>
            <w:tcW w:w="9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36.1%</w:t>
            </w:r>
          </w:p>
        </w:tc>
      </w:tr>
      <w:tr>
        <w:trPr>
          <w:trHeight w:val="209"/>
        </w:trPr>
        <w:tc>
          <w:tcPr>
            <w:tcW w:w="47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47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10"/>
        </w:trPr>
        <w:tc>
          <w:tcPr>
            <w:tcW w:w="47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23"/>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The percentage changes included in the tables herein present favorable period-over-period amounts and percentages as positive and unfavorable as negative, and percentages not considered meaningful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2026 and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w w:val="99"/>
              </w:rPr>
              <w:t>Six Months Ended June 30,</w:t>
            </w: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bottom w:val="single" w:sz="8" w:color="CCEEFF"/>
            </w:tcBorders>
          </w:tcPr>
          <w:p>
            <w:pPr>
              <w:spacing w:after="0"/>
              <w:rPr>
                <w:sz w:val="19"/>
                <w:szCs w:val="19"/>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from Banzai Operating, OpenReel and Vidello decreased by approximately $135, $416, and $986 respectively, for the six months ended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3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12"/>
              <w:spacing w:after="0"/>
              <w:rPr>
                <w:sz w:val="20"/>
                <w:szCs w:val="20"/>
                <w:color w:val="auto"/>
              </w:rPr>
            </w:pPr>
            <w:r>
              <w:rPr>
                <w:rFonts w:ascii="Times New Roman" w:cs="Times New Roman" w:eastAsia="Times New Roman" w:hAnsi="Times New Roman"/>
                <w:sz w:val="17"/>
                <w:szCs w:val="17"/>
                <w:color w:val="auto"/>
                <w:w w:val="70"/>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Cost of revenue from Banzai Operating, OpenReel and Vidello decreased by approximately $4, $33, and $152, respectively, for the six months ended June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vMerge w:val="restart"/>
          </w:tcPr>
          <w:p>
            <w:pPr>
              <w:spacing w:after="0"/>
              <w:rPr>
                <w:sz w:val="24"/>
                <w:szCs w:val="24"/>
                <w:color w:val="auto"/>
              </w:rPr>
            </w:pPr>
          </w:p>
        </w:tc>
        <w:tc>
          <w:tcPr>
            <w:tcW w:w="25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w w:val="99"/>
              </w:rPr>
              <w:t>Six Months Ended June 30,</w:t>
            </w: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CEEFF"/>
            </w:tcBorders>
            <w:vMerge w:val="continue"/>
          </w:tcPr>
          <w:p>
            <w:pPr>
              <w:spacing w:after="0"/>
              <w:rPr>
                <w:sz w:val="18"/>
                <w:szCs w:val="18"/>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440" w:type="dxa"/>
            <w:vAlign w:val="bottom"/>
            <w:tcBorders>
              <w:bottom w:val="single" w:sz="8" w:color="auto"/>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Gross profit from Banzai Operating, OpenReel and Vidello decreased by approximately $131, $383 and $834, respectively, for the six months ended June 30,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60" w:type="dxa"/>
            <w:vAlign w:val="bottom"/>
          </w:tcPr>
          <w:p>
            <w:pPr>
              <w:spacing w:after="0"/>
              <w:rPr>
                <w:sz w:val="24"/>
                <w:szCs w:val="24"/>
                <w:color w:val="auto"/>
              </w:rPr>
            </w:pP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w w:val="94"/>
              </w:rPr>
              <w:t>2026</w:t>
            </w:r>
          </w:p>
        </w:tc>
        <w:tc>
          <w:tcPr>
            <w:tcW w:w="5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14,164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operating expenses remained essentially flat compared to the prior period. Salaries, taxes and benefits, as well as stock-based compensation expense increased during the six months ended June 30, 2026 driven by Banzai Operating and OpenReel. These were partially offset by decreases in marketing expenses and technology expenses during six months ended June 30, 2026 at Banzai Operating and OpenReel,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w w:val="99"/>
              </w:rPr>
              <w:t>Six Months Ended June 30,</w:t>
            </w: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bottom w:val="single" w:sz="8" w:color="CCEEFF"/>
            </w:tcBorders>
          </w:tcPr>
          <w:p>
            <w:pPr>
              <w:spacing w:after="0"/>
              <w:rPr>
                <w:sz w:val="19"/>
                <w:szCs w:val="19"/>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net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w:t>
            </w: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2026, we reported total other expenses, net of approximately $3.3 million. The change in other expenses, net was primarily driven by the following:</w:t>
      </w:r>
    </w:p>
    <w:p>
      <w:pPr>
        <w:spacing w:after="0" w:line="162" w:lineRule="exact"/>
        <w:rPr>
          <w:sz w:val="20"/>
          <w:szCs w:val="20"/>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expense of approximately $0.5 million recognized during the six months ended June 30, 2026 compared to $0.9 million during the six months ended June 30,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liabilities of approximately $0.7 million recognized during the six months ended June 30, 2026 compared to $4.5 million recognized during the six months ended June 30,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debt of approximately $0.2 million during the six months ended June 30, 2026 compared to $0.4 million during the six months ended June 30, 2025.</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Private Placement Issuance of debt of approximately $1.6 million during the six months ended June 30, 2026 compared to $0.8 million during the six months ended June 30,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net of approximately $58 thousand during the six months ended June 30, 2026 compared to $1.8 million during the six months ended June 30,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change in fair value of financial instruments and convertible notes of approximately $0.7 million (loss) during the six months ended June 30, 2026 compared to $0.6 million (loss) during the six months ended June 30,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SEPA advances to Yorkville of approximately $0.2 million during the six months ended June 30, 2026 compared to $0.7 million six months ended June 30,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expense was approximately $0.8 million expense during the six months ended June 30, 2026 compared to approximately $1.2 million expense during the six months ended June 30,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2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4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40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w w:val="93"/>
              </w:rPr>
              <w:t>%</w:t>
            </w:r>
          </w:p>
        </w:tc>
        <w:tc>
          <w:tcPr>
            <w:tcW w:w="160" w:type="dxa"/>
            <w:vAlign w:val="bottom"/>
            <w:tcBorders>
              <w:bottom w:val="single" w:sz="8" w:color="CCEEFF"/>
            </w:tcBorders>
          </w:tcPr>
          <w:p>
            <w:pPr>
              <w:spacing w:after="0"/>
              <w:rPr>
                <w:sz w:val="19"/>
                <w:szCs w:val="19"/>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(157)</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w:t>
            </w: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2026, we had no unrecognized tax benefits that would impact our effective tax rate if 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critical accounting estimates are described in our Annual Report on Form 10-K for the year ended December 31, 2025. There were no material changes to those critical accounting estimates during the three months ended June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Six Months Ended June 30, 2026 and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60" w:type="dxa"/>
            <w:vAlign w:val="bottom"/>
          </w:tcPr>
          <w:p>
            <w:pPr>
              <w:spacing w:after="0"/>
              <w:rPr>
                <w:sz w:val="24"/>
                <w:szCs w:val="24"/>
                <w:color w:val="auto"/>
              </w:rPr>
            </w:pP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bottom w:val="single" w:sz="8" w:color="CCEEFF"/>
            </w:tcBorders>
          </w:tcPr>
          <w:p>
            <w:pPr>
              <w:spacing w:after="0"/>
              <w:rPr>
                <w:sz w:val="19"/>
                <w:szCs w:val="19"/>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w:t>
            </w:r>
          </w:p>
        </w:tc>
      </w:tr>
      <w:tr>
        <w:trPr>
          <w:trHeight w:val="432"/>
        </w:trPr>
        <w:tc>
          <w:tcPr>
            <w:tcW w:w="44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Adjusted EBITDA decrease is primarily attributable to increased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to Adjusted EBITDA Reconciliation</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60" w:type="dxa"/>
            <w:vAlign w:val="bottom"/>
          </w:tcPr>
          <w:p>
            <w:pPr>
              <w:spacing w:after="0"/>
              <w:rPr>
                <w:sz w:val="24"/>
                <w:szCs w:val="24"/>
                <w:color w:val="auto"/>
              </w:rPr>
            </w:pP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tcPr>
          <w:p>
            <w:pPr>
              <w:spacing w:after="0"/>
              <w:rPr>
                <w:sz w:val="18"/>
                <w:szCs w:val="18"/>
                <w:color w:val="auto"/>
              </w:rPr>
            </w:pPr>
          </w:p>
        </w:tc>
        <w:tc>
          <w:tcPr>
            <w:tcW w:w="9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396</w:t>
            </w: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895</w:t>
            </w:r>
          </w:p>
        </w:tc>
        <w:tc>
          <w:tcPr>
            <w:tcW w:w="3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499</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(157)</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608</w:t>
            </w: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547</w:t>
            </w:r>
          </w:p>
        </w:tc>
        <w:tc>
          <w:tcPr>
            <w:tcW w:w="3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2,479</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1,093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(1,386)</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2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tcPr>
          <w:p>
            <w:pPr>
              <w:spacing w:after="0"/>
              <w:rPr>
                <w:sz w:val="18"/>
                <w:szCs w:val="18"/>
                <w:color w:val="auto"/>
              </w:rPr>
            </w:pPr>
          </w:p>
        </w:tc>
        <w:tc>
          <w:tcPr>
            <w:tcW w:w="13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(4,489)</w:t>
            </w:r>
          </w:p>
        </w:tc>
        <w:tc>
          <w:tcPr>
            <w:tcW w:w="3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3,774</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235</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1,598</w:t>
            </w: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837</w:t>
            </w:r>
          </w:p>
        </w:tc>
        <w:tc>
          <w:tcPr>
            <w:tcW w:w="3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(761)</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1,770</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1,712</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1,179</w:t>
            </w: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266</w:t>
            </w:r>
          </w:p>
        </w:tc>
        <w:tc>
          <w:tcPr>
            <w:tcW w:w="3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(913)</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 – related party</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(551)</w:t>
            </w: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238</w:t>
            </w:r>
          </w:p>
        </w:tc>
        <w:tc>
          <w:tcPr>
            <w:tcW w:w="3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789</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227</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747</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520</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774</w:t>
            </w: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1,211</w:t>
            </w:r>
          </w:p>
        </w:tc>
        <w:tc>
          <w:tcPr>
            <w:tcW w:w="3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437</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29"/>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3,573</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6,421</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2,848</w:t>
            </w:r>
          </w:p>
        </w:tc>
        <w:tc>
          <w:tcPr>
            <w:tcW w:w="5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320" w:type="dxa"/>
            <w:vAlign w:val="bottom"/>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340.2</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 Transaction related expenses consist of:</w:t>
            </w: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0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4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360" w:type="dxa"/>
            <w:vAlign w:val="bottom"/>
          </w:tcPr>
          <w:p>
            <w:pPr>
              <w:spacing w:after="0"/>
              <w:rPr>
                <w:sz w:val="24"/>
                <w:szCs w:val="24"/>
                <w:color w:val="auto"/>
              </w:rPr>
            </w:pPr>
          </w:p>
        </w:tc>
        <w:tc>
          <w:tcPr>
            <w:tcW w:w="18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 audit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fees - legal</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228</w:t>
            </w:r>
          </w:p>
        </w:tc>
        <w:tc>
          <w:tcPr>
            <w:tcW w:w="300" w:type="dxa"/>
            <w:vAlign w:val="bottom"/>
          </w:tcPr>
          <w:p>
            <w:pPr>
              <w:spacing w:after="0"/>
              <w:rPr>
                <w:sz w:val="18"/>
                <w:szCs w:val="18"/>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176</w:t>
            </w:r>
          </w:p>
        </w:tc>
        <w:tc>
          <w:tcPr>
            <w:tcW w:w="3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accounting</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1,022</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(722)</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30"/>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study and M&amp;A support</w:t>
            </w:r>
          </w:p>
        </w:tc>
        <w:tc>
          <w:tcPr>
            <w:tcW w:w="280" w:type="dxa"/>
            <w:vAlign w:val="bottom"/>
          </w:tcPr>
          <w:p>
            <w:pPr>
              <w:spacing w:after="0"/>
              <w:rPr>
                <w:sz w:val="19"/>
                <w:szCs w:val="19"/>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2,642</w:t>
            </w:r>
          </w:p>
        </w:tc>
        <w:tc>
          <w:tcPr>
            <w:tcW w:w="300" w:type="dxa"/>
            <w:vAlign w:val="bottom"/>
          </w:tcPr>
          <w:p>
            <w:pPr>
              <w:spacing w:after="0"/>
              <w:rPr>
                <w:sz w:val="19"/>
                <w:szCs w:val="19"/>
                <w:color w:val="auto"/>
              </w:rPr>
            </w:pPr>
          </w:p>
        </w:tc>
        <w:tc>
          <w:tcPr>
            <w:tcW w:w="13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4,725</w:t>
            </w:r>
          </w:p>
        </w:tc>
        <w:tc>
          <w:tcPr>
            <w:tcW w:w="3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(2,083)</w:t>
            </w:r>
          </w:p>
        </w:tc>
        <w:tc>
          <w:tcPr>
            <w:tcW w:w="5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Six Months Ended June 30, 2026 and 2025</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June 30, 2026 we had cash of approximately $0.6 million. For the six months ended June 30, 2026, while we generated revenue of approximately $5.0 million, we used approximately $9.4 million in cash from operating activities and had a net loss of approximately $13.4 million. We have incurred recurring net losses from operations and negative cash flows from operating activities since inception. As of June 30, 2026, we had a working capital deficit of approximately $16.2 million and an accumulated deficit of approximately $114.2 million. These factors raise substantial doubt regarding the Company’s ability to continue as a going concern within one year of the date these financial statements were issued.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condensed consolidated financial statements have been prepared assuming Parabolic will continue as a going concern, which contemplates the realization of assets and satisfaction of liabilities in the normal course of business.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to our condensed consolidated financial statements in this Report.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and sources of liquidity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We may seek to raise additional capital through a combination of equity and debt financings, including continued use of our ATM facility and our SEPA to support our operations and expansion through acquisition.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to our condensed consolidated financial statements in this Report for further discussion of these arrangements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elsewhere in this Report,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related to our cash flows for the six months ended June 30, 2026 and 2025. See also our unaudited condensed consolidated statements of cash flows in this Report: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c>
          <w:tcPr>
            <w:tcW w:w="760" w:type="dxa"/>
            <w:vAlign w:val="bottom"/>
          </w:tcPr>
          <w:p>
            <w:pPr>
              <w:spacing w:after="0"/>
              <w:rPr>
                <w:sz w:val="20"/>
                <w:szCs w:val="20"/>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w w:val="99"/>
              </w:rPr>
              <w:t>Period-over-Period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32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Borders>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220" w:type="dxa"/>
            <w:vAlign w:val="bottom"/>
            <w:tcBorders>
              <w:bottom w:val="single" w:sz="8" w:color="CCEEFF"/>
            </w:tcBorders>
          </w:tcPr>
          <w:p>
            <w:pPr>
              <w:spacing w:after="0"/>
              <w:rPr>
                <w:sz w:val="19"/>
                <w:szCs w:val="19"/>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w:t>
            </w: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(9,366)</w:t>
            </w:r>
          </w:p>
        </w:tc>
        <w:tc>
          <w:tcPr>
            <w:tcW w:w="3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(9,023)</w:t>
            </w:r>
          </w:p>
        </w:tc>
        <w:tc>
          <w:tcPr>
            <w:tcW w:w="7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(343)</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(2,677)</w:t>
            </w:r>
          </w:p>
        </w:tc>
        <w:tc>
          <w:tcPr>
            <w:tcW w:w="7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2,677</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9,722</w:t>
            </w: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12,867</w:t>
            </w:r>
          </w:p>
        </w:tc>
        <w:tc>
          <w:tcPr>
            <w:tcW w:w="7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(3,145)</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387</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1,167</w:t>
            </w:r>
          </w:p>
        </w:tc>
        <w:tc>
          <w:tcPr>
            <w:tcW w:w="7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(780)</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300" w:type="dxa"/>
            <w:vAlign w:val="bottom"/>
          </w:tcPr>
          <w:p>
            <w:pPr>
              <w:spacing w:after="0"/>
              <w:rPr>
                <w:sz w:val="18"/>
                <w:szCs w:val="18"/>
                <w:color w:val="auto"/>
              </w:rPr>
            </w:pPr>
          </w:p>
        </w:tc>
        <w:tc>
          <w:tcPr>
            <w:tcW w:w="13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1,087</w:t>
            </w:r>
          </w:p>
        </w:tc>
        <w:tc>
          <w:tcPr>
            <w:tcW w:w="7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(828)</w:t>
            </w:r>
          </w:p>
        </w:tc>
        <w:tc>
          <w:tcPr>
            <w:tcW w:w="5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646</w:t>
            </w: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2,254</w:t>
            </w:r>
          </w:p>
        </w:tc>
        <w:tc>
          <w:tcPr>
            <w:tcW w:w="7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(1,608)</w:t>
            </w: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2026</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primarily driven by the net loss, and by working capital adjustments totaling $1.4 million (unfavorable), partially offset by adjustments for non-cash items totaling $5.4 million (favorable). The non-cash items primarily consisted of addbacks for stock-based compensation expense of approximately $2.5 million and depreciation and amortization of approximately $0.6 million, the net impact of debt-related transactions (loss on issuance of debt and non-cash interest expense) totaling $1.7 million favorable, and the net impact of change in fair value adjustments (including debt under the fair value option, warrants and derivatives) totaling $0.7 million favorable.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primarily driven by proceeds from issuance of shares under the SEPA totaling approximately $5.5 million, proceeds from issuances of debt (both convertible and term) totaling approximately $3.7 million, proceeds from issuances of shares and warrants totaling $2.7 million, partially offset by repayments of debt totaling $2.2 million.</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2025</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Net cash used in operating activities was approximately $9.0 million for the six months ended June 30, 2025. Net cash used in operating activities consists of net loss of approximately $11.4 million, offset by total adjustments of approximately $2.4 million for non-cash items and the effect of changes in working capital. Non-cash adjustments primarily included stock compensation expense of approximately $1.1 million, gain on extinguishment of liability of approximately $4.5 million, loss on issuances of debt of approximately $1.3 million, loss on extinguishment of term notes of approximately $1.8 million, non-cash interest expense of approximately $1.2 million, fair value adjustment of convertible promissory notes of approximately $0.2 million, fair value adjustment of term notes of approximately $0.3 million, consulting expenses paid via share issuance of approximately $0.2 million, depreciation and amortization of intangible assets of approximately $0.5 million and net of change in operating assets and liabilities of approximately $0.3 million.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approximately $2.7 million for the six months ended June 30, 2025 and was related to the net cash paid in the acquisition of Vidello.</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$12.9 million for the six months ended June 30, 2025, and was primarily related to proceeds from convertible debt financing of approximately $5.3 million, net proceeds from the issuance of term notes of approximately $4.3 million, proceeds from issuance of shares under the SEPA agreement of approximately $13.6 million, repayment of term notes of approximately $5.9 million, partial repayment of convertible notes with a related party of approximately $0.9 million, repayment of Yorkville convertible notes of approximately $3.6 million, and payment of the GEM commitment fee promissory note of approximately $0.2 million.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Structure, Debt Maturity Profile, Contractual Obligations and Commitments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 operating expenses to support the business, debt service (including principal and interest), and contractual obligations such as operating lease commitments. The timing of these requirements within the next twelve months and thereafter is summarized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Total Principal and</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100" w:type="dxa"/>
            <w:vAlign w:val="bottom"/>
          </w:tcPr>
          <w:p>
            <w:pPr>
              <w:spacing w:after="0"/>
              <w:rPr>
                <w:sz w:val="20"/>
                <w:szCs w:val="20"/>
                <w:color w:val="auto"/>
              </w:rPr>
            </w:pPr>
          </w:p>
        </w:tc>
        <w:tc>
          <w:tcPr>
            <w:tcW w:w="254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 Interest due in:</w:t>
            </w:r>
          </w:p>
        </w:tc>
        <w:tc>
          <w:tcPr>
            <w:tcW w:w="0" w:type="dxa"/>
            <w:vAlign w:val="bottom"/>
          </w:tcPr>
          <w:p>
            <w:pPr>
              <w:spacing w:after="0"/>
              <w:rPr>
                <w:sz w:val="1"/>
                <w:szCs w:val="1"/>
                <w:color w:val="auto"/>
              </w:rPr>
            </w:pPr>
          </w:p>
        </w:tc>
      </w:tr>
      <w:tr>
        <w:trPr>
          <w:trHeight w:val="174"/>
        </w:trPr>
        <w:tc>
          <w:tcPr>
            <w:tcW w:w="3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9"/>
              </w:rPr>
              <w:t>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i w:val="1"/>
                <w:iCs w:val="1"/>
                <w:color w:val="auto"/>
              </w:rPr>
              <w:t>Less than 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0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i w:val="1"/>
                <w:iCs w:val="1"/>
                <w:color w:val="auto"/>
              </w:rPr>
              <w:t>year</w:t>
            </w:r>
          </w:p>
        </w:tc>
        <w:tc>
          <w:tcPr>
            <w:tcW w:w="14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1 - 3 Years</w:t>
            </w:r>
          </w:p>
        </w:tc>
        <w:tc>
          <w:tcPr>
            <w:tcW w:w="0" w:type="dxa"/>
            <w:vAlign w:val="bottom"/>
          </w:tcPr>
          <w:p>
            <w:pPr>
              <w:spacing w:after="0"/>
              <w:rPr>
                <w:sz w:val="1"/>
                <w:szCs w:val="1"/>
                <w:color w:val="auto"/>
              </w:rPr>
            </w:pPr>
          </w:p>
        </w:tc>
      </w:tr>
      <w:tr>
        <w:trPr>
          <w:trHeight w:val="209"/>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15.5% CP BF convertible notes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 Agile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Private Placement convertible notes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 1800 Diagonal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697</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697</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Boot Capital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 TVT Capital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at June 30, 2026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6,550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 expenditure commitments and financing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arising subsequent to June 30, 2026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ConnectAndSell acquisition – Closing Consideration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ConnectAndSell acquisition – First Deferred Cash</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Payment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20"/>
                <w:szCs w:val="20"/>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w:t>
            </w:r>
          </w:p>
        </w:tc>
        <w:tc>
          <w:tcPr>
            <w:tcW w:w="14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ConnectAndSell acquisition – Second Deferred Cash</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3,250</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3,250</w:t>
            </w: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 C&amp;S Note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1,891</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Agile Note #8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3,024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 UCAP Note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1800 Diagonal Note #14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 1800 Diagonal Note #15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3i Note #5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 GMFunding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 CFG Funding</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 Agile Note #9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526</w:t>
            </w:r>
          </w:p>
        </w:tc>
        <w:tc>
          <w:tcPr>
            <w:tcW w:w="14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39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2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requirements arising subsequent to June 30, 2026</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12,034</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1,627</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13,686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13,064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requirements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16,519</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20,247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19,614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sectPr>
          <w:pgSz w:w="11900" w:h="16838" w:orient="portrait"/>
          <w:cols w:equalWidth="0" w:num="1">
            <w:col w:w="11240"/>
          </w:cols>
          <w:pgMar w:left="320" w:top="229"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an operating lease for office space. The lease term expires in October 2027. The lease liability balance as of June 30, 2026 represents the future minimum lease payments under non-cancellable leases as liabilities.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Contingent Items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the items included in the commitments and financing requirements table above, the Company has contingent obligations related to the ConnectAndSell acquisition, including earn-out payments of an undeterminable amount based on ConnectAndSell’s revenue performance through July 2027, and a potential cash payment of up to approximately $5.9 million if stockholder approval for the related share issuance is not obtained by approximately October 30, 2026, payable within 30 days thereafter.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Parabolic had no off-balance sheet arrangements as of June 30,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Years Ended December 31, 2025 and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6"/>
          </w:tcPr>
          <w:p>
            <w:pPr>
              <w:jc w:val="right"/>
              <w:ind w:right="801"/>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60" w:type="dxa"/>
            <w:vAlign w:val="bottom"/>
          </w:tcPr>
          <w:p>
            <w:pPr>
              <w:spacing w:after="0"/>
              <w:rPr>
                <w:sz w:val="20"/>
                <w:szCs w:val="20"/>
                <w:color w:val="auto"/>
              </w:rPr>
            </w:pPr>
          </w:p>
        </w:tc>
        <w:tc>
          <w:tcPr>
            <w:tcW w:w="18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3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Pr>
          <w:p>
            <w:pPr>
              <w:spacing w:after="0"/>
              <w:rPr>
                <w:sz w:val="19"/>
                <w:szCs w:val="19"/>
                <w:color w:val="auto"/>
              </w:rPr>
            </w:pPr>
          </w:p>
        </w:tc>
      </w:tr>
      <w:tr>
        <w:trPr>
          <w:trHeight w:val="210"/>
        </w:trPr>
        <w:tc>
          <w:tcPr>
            <w:tcW w:w="4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12,161</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4,528</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7,633</w:t>
            </w: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9"/>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1,423</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766</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r>
      <w:tr>
        <w:trPr>
          <w:trHeight w:val="210"/>
        </w:trPr>
        <w:tc>
          <w:tcPr>
            <w:tcW w:w="47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3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27,287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16,549</w:t>
            </w:r>
          </w:p>
        </w:tc>
        <w:tc>
          <w:tcPr>
            <w:tcW w:w="3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10,738</w:t>
            </w: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30"/>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1,150</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1,126</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4740" w:type="dxa"/>
            <w:vAlign w:val="bottom"/>
            <w:tcBorders>
              <w:bottom w:val="single" w:sz="8" w:color="CCEEFF"/>
            </w:tcBorders>
            <w:gridSpan w:val="2"/>
          </w:tcPr>
          <w:p>
            <w:pPr>
              <w:ind w:left="5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16,573</w:t>
            </w:r>
          </w:p>
        </w:tc>
        <w:tc>
          <w:tcPr>
            <w:tcW w:w="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3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(18,465</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expenses (income):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(200)</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1,228</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1,228</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8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1,157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3,047</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(1,890)</w:t>
            </w: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(4,489)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(681)</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(3,808)</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28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(973)</w:t>
            </w: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debt issuance</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444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(209)</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28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4,874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4,874</w:t>
            </w: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111</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28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153</w:t>
            </w: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198"/>
        </w:trPr>
        <w:tc>
          <w:tcPr>
            <w:tcW w:w="474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Loss on conversion and settlement of Alco promissory</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notes – related party</w:t>
            </w: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4,809</w:t>
            </w:r>
          </w:p>
        </w:tc>
        <w:tc>
          <w:tcPr>
            <w:tcW w:w="3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(4,809)</w:t>
            </w:r>
          </w:p>
        </w:tc>
        <w:tc>
          <w:tcPr>
            <w:tcW w:w="5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47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Loss on conversion and settlement of CP BF notes –</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related party</w:t>
            </w:r>
          </w:p>
        </w:tc>
        <w:tc>
          <w:tcPr>
            <w:tcW w:w="28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6,529</w:t>
            </w:r>
          </w:p>
        </w:tc>
        <w:tc>
          <w:tcPr>
            <w:tcW w:w="360" w:type="dxa"/>
            <w:vAlign w:val="bottom"/>
          </w:tcPr>
          <w:p>
            <w:pPr>
              <w:spacing w:after="0"/>
              <w:rPr>
                <w:sz w:val="20"/>
                <w:szCs w:val="20"/>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(6,529)</w:t>
            </w:r>
          </w:p>
        </w:tc>
        <w:tc>
          <w:tcPr>
            <w:tcW w:w="5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2,403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1,072</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1,331</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(1,244)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(626)</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(618)</w:t>
            </w: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(573)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571</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198"/>
        </w:trPr>
        <w:tc>
          <w:tcPr>
            <w:tcW w:w="474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Change in fair value of bifurcated embedded derivative</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assets – related party</w:t>
            </w:r>
          </w:p>
        </w:tc>
        <w:tc>
          <w:tcPr>
            <w:tcW w:w="280" w:type="dxa"/>
            <w:vAlign w:val="bottom"/>
          </w:tcPr>
          <w:p>
            <w:pPr>
              <w:spacing w:after="0"/>
              <w:rPr>
                <w:sz w:val="20"/>
                <w:szCs w:val="20"/>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0"/>
                <w:szCs w:val="20"/>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(1,987)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693</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(2,680)</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28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28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(81)</w:t>
            </w: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974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974</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Vidello earnout expense</w:t>
            </w:r>
          </w:p>
        </w:tc>
        <w:tc>
          <w:tcPr>
            <w:tcW w:w="28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486</w:t>
            </w: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Failed acquisition costs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1,382</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2,725</w:t>
            </w:r>
          </w:p>
        </w:tc>
        <w:tc>
          <w:tcPr>
            <w:tcW w:w="3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(2,725)</w:t>
            </w: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47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(727)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(815)</w:t>
            </w:r>
          </w:p>
        </w:tc>
        <w:tc>
          <w:tcPr>
            <w:tcW w:w="5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0"/>
        </w:trPr>
        <w:tc>
          <w:tcPr>
            <w:tcW w:w="47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3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3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474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60" w:type="dxa"/>
            <w:vAlign w:val="bottom"/>
            <w:tcBorders>
              <w:bottom w:val="single" w:sz="8" w:color="CCEEFF"/>
            </w:tcBorders>
          </w:tcPr>
          <w:p>
            <w:pPr>
              <w:spacing w:after="0"/>
              <w:rPr>
                <w:sz w:val="18"/>
                <w:szCs w:val="18"/>
                <w:color w:val="auto"/>
              </w:rPr>
            </w:pPr>
          </w:p>
        </w:tc>
      </w:tr>
      <w:tr>
        <w:trPr>
          <w:trHeight w:val="223"/>
        </w:trPr>
        <w:tc>
          <w:tcPr>
            <w:tcW w:w="47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18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3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The percentage changes included in the tables herein that are not considered meaningful are presented as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nm.</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229" w:right="339" w:bottom="1095" w:gutter="0" w:footer="0" w:header="0"/>
        </w:sect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095"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Comparison of years ended December 31, 2025 and 2024</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7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 Analysis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60" w:type="dxa"/>
            <w:vAlign w:val="bottom"/>
          </w:tcPr>
          <w:p>
            <w:pPr>
              <w:spacing w:after="0"/>
              <w:rPr>
                <w:sz w:val="24"/>
                <w:szCs w:val="24"/>
                <w:color w:val="auto"/>
              </w:rPr>
            </w:pPr>
          </w:p>
        </w:tc>
        <w:tc>
          <w:tcPr>
            <w:tcW w:w="18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09"/>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7,633</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revenue increase was primarily due to the acquisitions of OpenReel in December 2024 and Vidello in January 2025. Revenue from OpenReel and Vidello was approximately $5,473 thousand and $2,261 thousand, respectively, for the year ended December 31, 2025. Revenue from Banzai Operating increased by approximately $121 thousand.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Analysis</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cost of revenue increase was primarily due to the acquisitions of OpenReel and Vidello. Cost of revenue from OpenReel and Vidello was approximately $310 thousand and $402 thousand, respectively, for the year ended December 31, 2025. Cost of revenue from Banzai Operating increased by approximately $69 thousand.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Analysis</w:t>
            </w:r>
          </w:p>
        </w:tc>
        <w:tc>
          <w:tcPr>
            <w:tcW w:w="9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4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46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4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93"/>
              </w:rPr>
              <w:t>6,867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221.2%</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gross profit increase was primarily due to the acquisitions of OpenReel and Vidello as described above. Gross profit from OpenReel and Vidello was approximately $5,163 thousand and $1,860 thousand, respectively, for the year ended December 31, 2025, and Banzai Operating was approximately $52 thousand.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 Analysis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60" w:type="dxa"/>
            <w:vAlign w:val="bottom"/>
          </w:tcPr>
          <w:p>
            <w:pPr>
              <w:spacing w:after="0"/>
              <w:rPr>
                <w:sz w:val="24"/>
                <w:szCs w:val="24"/>
                <w:color w:val="auto"/>
              </w:rPr>
            </w:pPr>
          </w:p>
        </w:tc>
        <w:tc>
          <w:tcPr>
            <w:tcW w:w="18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5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28,437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Total operating expenses increased primarily due to the acquisitions of OpenReel and Vidello, which were approximately $6.1 million and $1.9 million, respectively, for the year ended December 31, 2025. Additionally the increase was due to an overall increase in salaries and related expenses of approximately $1.6 million primarily driven by stock-based compensation expense, marketing expenses by approximately $0.6 million, and costs associated with audit, technical accounting, and legal and other professional services of approximately $1.8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07"/>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474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Analysis</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4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60" w:type="dxa"/>
            <w:vAlign w:val="bottom"/>
          </w:tcPr>
          <w:p>
            <w:pPr>
              <w:spacing w:after="0"/>
              <w:rPr>
                <w:sz w:val="24"/>
                <w:szCs w:val="24"/>
                <w:color w:val="auto"/>
              </w:rPr>
            </w:pPr>
          </w:p>
        </w:tc>
        <w:tc>
          <w:tcPr>
            <w:tcW w:w="18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4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(14,077)</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-78.0%</w:t>
            </w: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we reported total other income of approximately $4.0 million. The change in other expenses (income), net was primarily driven by the following:</w:t>
      </w:r>
    </w:p>
    <w:p>
      <w:pPr>
        <w:spacing w:after="0" w:line="162" w:lineRule="exact"/>
        <w:rPr>
          <w:sz w:val="20"/>
          <w:szCs w:val="20"/>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interest expense of approximately $2.4 million recognized during the year ended December 31, 2025 compared to $3.0 million during the year ended December 31,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extinguishment of liabilities of approximately $4.5 million recognized during the year ended December 31, 2025 compared to $0.7 million recognized during the year ended December 31,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issuance of debt of approximately $0.4 million during the year ended December 31, 2025 compared to $0.7 million during the year ended December 31,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Private Placement Issuance of debt of approximately $4.9 million during the year ended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net of approximately $2.4 million during the year ended December 31, 2025 compared to $1.1 million during the year ended December 31,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convertible notes was a gain of approximately $2.0 million during the year ended December 31, 2025 compared to a loss of approximately $0.7 million during the year ended December 31,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SEPA advances to Yorkville of approximately $1.0 million during the year ended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the terminated Act-On acquisition of $1.4 million during the year ended December 31,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CP BF notes of approximately $6.5 million during the year ended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conversion and settlement of Alco promissory notes of approximately $4.8 million during the year ended December 31,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impairment loss associated with the OpenReel acquisition of approximately $2.7 million during the year ended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34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52"/>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1614.3%</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our history of losses since inception, there is not enough evidence at this time to support that we will generate future income of a sufficient amount and nature to utilize the benefits of our net deferred tax assets associated with the U.S. taxing jurisdiction. Accordingly, the U.S. deferred tax assets have been reduced by a full valuation allowance, since we cannot currently support that realization of our deferred tax assets is more likely than not.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2025, we had no unrecognized tax benefits that would impact our effective tax rate if recognized.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identifiable assets acquired in a business combination. Goodwill is reviewed for impairment at least annually, in December, or more frequently if a triggering event occurs between impairment testing dates. As of December 31, 2025, the Company had three operating segments, which were deemed to be its reporting units, for the purpose of evaluating goodwill impairment, and the annual impairment test is performed as of December 31.</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the annual impairment testing date of December 31, 2025, the Company performed a quantitative assessment by estimating the fair value of the Company using the market capitalization method of the market approach and an income valuation methodology, consisting of a discounted cash flow analysis and market valuation methodologies, consisting of the guideline public company and guideline transaction methods.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market capitalization method calculated the aggregate market value of the Company based on the total number of outstanding shares of common and preferred stock and the market prices of the shares as of the assessment date.</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discounted cash flow (“DCF”) estimated the present value of future cash flows. A DCF analysis requires significant judgment to model financial forecasts, which included revenue growth, cost of sales as a percentage of revenue, gross profit margin, operating expenses as a percentage of revenue, EBITDA margin, EBITDA growth, industry and economic trends, and other relevant considerations. For periods beyond those forecasted, a terminal value was estimated based on an assumed long-term growth rate, which was derived using the Gordon Growth Model. The discount rate applied to the forecasted cash flows was calculated using a build-up approach, which starts with the risk-free interest rate, which was then calibrated for market and small stock risk premiums, including a beta, equity risk, size, and small stock risk premiums to reflect risks and uncertainties in the financial market and in the Company’s business projections.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market approach for the guideline public company method utilizes observable market data from comparable public companies, including revenue multiples, to estimate the Company’s fair value. This approach also incorporates a control premium to represent the Company’s expectation of a hypothetical acquisition. The market approach for the guideline transaction method utilizes observable transactions of actual prices paid for target companies that operated in comparable industries or markets facing similar risks. Both methods of the market approach require judgment in the selection of comparable companies or comparable transactions and includes those with similar business activities, and related operating environments.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results of the quantitative assessment indicated that the fair value of each of the Company’s reporting units exceeded its carrying value, therefore no goodwill impairment was recognized for the year ended December 31, 2025.</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negative industry or economic trends, including declines in the market price of the Company’s stock, reduced estimates of future cash flows or business disruptions could result in impairments to goodwill in the future, which would result in recording an impairment loss. Any resulting impairment loss could have a material adverse impact on the Company’s financial condition and results of operations. Management evaluates the economic conditions in between reporting periods for triggering events.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business combinations under the acquisition method of accounting, which requires the recognition of acquired tangible and identifiable intangible assets and assumed liabilities at their acquisition date fair values. These fair values are a result of valuation techniques that use significant assumptions that are subject to a high degree of judgment. The excess of the acquisition price over the fair value of assets acquired and liabilities assumed is recorded as goodwill. Results of operations related to acquired entities are included prospectively beginning with the date of acquisition. Acquisition-related costs are expensed as incurred.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estimates under the Fair Value Option</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measures certain debt instruments at fair value on a recurring basis. Fair value is defined as the price that would be paid to transfer a liability in an orderly transaction between market participants at the measurement date. The determination of fair value requires management judgment, including the selection of valuation methodologies and the use of assumptions that may not be observable in the market.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the fair value option for certain debt instruments that contain conversion features. When the fair value option is elected, the note is measured at fair value at each reporting date as a single unit of account, and changes in fair value are recognized in earnings.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election of the fair value option results in recurring fair value measurements that are considered a critical accounting estimate due to the judgment required in estimating fair value and the sensitivity of the measurement to changes in assumptions. The fair value of these debt instruments are estimated using valuation techniques that incorporate inputs that may not be observable in the market and, accordingly, the fair value measurements are generally classified within Level 3 of the fair value hierarchy. Key assumptions used to estimate fair value may include, among other things, the Company’s credit risk, discount rates, the expected timing and amount of future cash flows, and assumptions related to the conversion feature, including the Company’s stock price and expected volatility. These assumptions are inherently subjective and may change from period to period. As a result, the estimated fair value could differ materially from amounts that would be paid to transfer the liability in a current market transaction, and changes in these assumptions could materially affect the Company’s consolidated financial statements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Non-GAAP Financial Measures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Years Ended December 31, 2025 and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that Adjusted EBITDA, a non-GAAP measure as defined below, is useful in evaluating our operational performance distinct and apart from certain irregular, non-cash, and non-operational expenses. We use this information for ongoing evaluation of operations and for internal planning purposes. We believe that non-GAAP financial information, when taken collectively with results under GAAP, may be helpful to investors in assessing our operating performance and comparing our performance with competitors and other comparable companies.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Non-GAAP measures should not be considered in isolation or as a substitute for analysis of our results as reported under GAAP. We endeavor to compensate for the limitation of Adjusted EBITDA, by also providing the most directly comparable GAAP measure, which is net loss, and a description of the reconciling items and adjustments to derive the non-GAAP measure. Some of these limitations are:</w:t>
      </w:r>
    </w:p>
    <w:p>
      <w:pPr>
        <w:spacing w:after="0" w:line="176"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consider the potentially dilutive impact of stock-based compensation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contractual commitments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impairment and restructuring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interest expense or other income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audit, legal, incremental accounting and other expenses tied to M&amp;A or the Business Combination;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companies in our own industry, may calculate Adjusted EBITDA differently from the way we do, limiting its usefulness as a comparative measure.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should only be considered alongside results prepared in accordance with GAAP, including various cash-flow metrics, net income (loss) and our other GAAP results and financial performance measures.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Analysis</w:t>
            </w: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480" w:type="dxa"/>
            <w:vAlign w:val="bottom"/>
            <w:tcBorders>
              <w:bottom w:val="single" w:sz="8" w:color="auto"/>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(Loss)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(7,267)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(6,506)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Adjusted EBITDA decrease is primarily attributable to increased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Income/(Loss) to Adjusted EBITDA Reconciliation</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jc w:val="right"/>
              <w:ind w:right="801"/>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60" w:type="dxa"/>
            <w:vAlign w:val="bottom"/>
          </w:tcPr>
          <w:p>
            <w:pPr>
              <w:spacing w:after="0"/>
              <w:rPr>
                <w:sz w:val="24"/>
                <w:szCs w:val="24"/>
                <w:color w:val="auto"/>
              </w:rPr>
            </w:pPr>
          </w:p>
        </w:tc>
        <w:tc>
          <w:tcPr>
            <w:tcW w:w="1800" w:type="dxa"/>
            <w:vAlign w:val="bottom"/>
            <w:gridSpan w:val="4"/>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8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1,228</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1,157</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3,047</w:t>
            </w:r>
          </w:p>
        </w:tc>
        <w:tc>
          <w:tcPr>
            <w:tcW w:w="36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(1,890)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1,150</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w:t>
            </w:r>
          </w:p>
        </w:tc>
        <w:tc>
          <w:tcPr>
            <w:tcW w:w="36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1,126</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4691.7%</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2,679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1,166</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GEM commitment fee expense</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(4,489)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(681)</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(3,808)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28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(973)</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444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653</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(209)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4,874</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4,874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conversion and settlement of Alco promissory notes -</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w:t>
            </w:r>
          </w:p>
        </w:tc>
        <w:tc>
          <w:tcPr>
            <w:tcW w:w="2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4,809</w:t>
            </w:r>
          </w:p>
        </w:tc>
        <w:tc>
          <w:tcPr>
            <w:tcW w:w="3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(4,809)</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Loss on conversion and settlement of CP BF notes – related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280" w:type="dxa"/>
            <w:vAlign w:val="bottom"/>
          </w:tcPr>
          <w:p>
            <w:pPr>
              <w:spacing w:after="0"/>
              <w:rPr>
                <w:sz w:val="20"/>
                <w:szCs w:val="20"/>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6,529</w:t>
            </w:r>
          </w:p>
        </w:tc>
        <w:tc>
          <w:tcPr>
            <w:tcW w:w="360" w:type="dxa"/>
            <w:vAlign w:val="bottom"/>
          </w:tcPr>
          <w:p>
            <w:pPr>
              <w:spacing w:after="0"/>
              <w:rPr>
                <w:sz w:val="20"/>
                <w:szCs w:val="20"/>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(6,529)</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2,403</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1,072</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1,331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28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(1,244)</w:t>
            </w:r>
          </w:p>
        </w:tc>
        <w:tc>
          <w:tcPr>
            <w:tcW w:w="280" w:type="dxa"/>
            <w:vAlign w:val="bottom"/>
          </w:tcPr>
          <w:p>
            <w:pPr>
              <w:spacing w:after="0"/>
              <w:rPr>
                <w:sz w:val="18"/>
                <w:szCs w:val="18"/>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(626)</w:t>
            </w:r>
          </w:p>
        </w:tc>
        <w:tc>
          <w:tcPr>
            <w:tcW w:w="36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(618)</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(573)</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198"/>
        </w:trPr>
        <w:tc>
          <w:tcPr>
            <w:tcW w:w="47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bifurcated embedded derivative assets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related party</w:t>
            </w:r>
          </w:p>
        </w:tc>
        <w:tc>
          <w:tcPr>
            <w:tcW w:w="280" w:type="dxa"/>
            <w:vAlign w:val="bottom"/>
          </w:tcPr>
          <w:p>
            <w:pPr>
              <w:spacing w:after="0"/>
              <w:rPr>
                <w:sz w:val="20"/>
                <w:szCs w:val="20"/>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Pr>
          <w:p>
            <w:pPr>
              <w:spacing w:after="0"/>
              <w:rPr>
                <w:sz w:val="20"/>
                <w:szCs w:val="20"/>
                <w:color w:val="auto"/>
              </w:rPr>
            </w:pP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(51)</w:t>
            </w:r>
          </w:p>
        </w:tc>
        <w:tc>
          <w:tcPr>
            <w:tcW w:w="360" w:type="dxa"/>
            <w:vAlign w:val="bottom"/>
          </w:tcPr>
          <w:p>
            <w:pPr>
              <w:spacing w:after="0"/>
              <w:rPr>
                <w:sz w:val="20"/>
                <w:szCs w:val="20"/>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-205.9%</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(1,987)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693</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(2,680)</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-386.7%</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89</w:t>
            </w:r>
          </w:p>
        </w:tc>
        <w:tc>
          <w:tcPr>
            <w:tcW w:w="36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84</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(46)</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81</w:t>
            </w:r>
          </w:p>
        </w:tc>
        <w:tc>
          <w:tcPr>
            <w:tcW w:w="36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974</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974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Vidello earnout expense</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486</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486</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Failed acquisition costs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1,382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nm</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2,725</w:t>
            </w:r>
          </w:p>
        </w:tc>
        <w:tc>
          <w:tcPr>
            <w:tcW w:w="36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(2,725)</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(727)</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88</w:t>
            </w:r>
          </w:p>
        </w:tc>
        <w:tc>
          <w:tcPr>
            <w:tcW w:w="3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(815)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r>
      <w:tr>
        <w:trPr>
          <w:trHeight w:val="229"/>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8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7,369</w:t>
            </w:r>
          </w:p>
        </w:tc>
        <w:tc>
          <w:tcPr>
            <w:tcW w:w="280" w:type="dxa"/>
            <w:vAlign w:val="bottom"/>
          </w:tcPr>
          <w:p>
            <w:pPr>
              <w:spacing w:after="0"/>
              <w:rPr>
                <w:sz w:val="19"/>
                <w:szCs w:val="19"/>
                <w:color w:val="auto"/>
              </w:rPr>
            </w:pPr>
          </w:p>
        </w:tc>
        <w:tc>
          <w:tcPr>
            <w:tcW w:w="13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5,772</w:t>
            </w:r>
          </w:p>
        </w:tc>
        <w:tc>
          <w:tcPr>
            <w:tcW w:w="360" w:type="dxa"/>
            <w:vAlign w:val="bottom"/>
          </w:tcPr>
          <w:p>
            <w:pPr>
              <w:spacing w:after="0"/>
              <w:rPr>
                <w:sz w:val="19"/>
                <w:szCs w:val="19"/>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1,597</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23"/>
        </w:trPr>
        <w:tc>
          <w:tcPr>
            <w:tcW w:w="4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180" w:type="dxa"/>
            <w:vAlign w:val="bottom"/>
            <w:tcBorders>
              <w:top w:val="single" w:sz="8" w:color="CCEEFF"/>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Transaction related expenses include</w:t>
      </w:r>
    </w:p>
    <w:p>
      <w:pPr>
        <w:sectPr>
          <w:pgSz w:w="11900" w:h="16838" w:orient="portrait"/>
          <w:cols w:equalWidth="0" w:num="1">
            <w:col w:w="11240"/>
          </w:cols>
          <w:pgMar w:left="320" w:top="229" w:right="339" w:bottom="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66"/>
        </w:trPr>
        <w:tc>
          <w:tcPr>
            <w:tcW w:w="1280" w:type="dxa"/>
            <w:vAlign w:val="bottom"/>
            <w:tcBorders>
              <w:top w:val="single" w:sz="8" w:color="0000EE"/>
            </w:tcBorders>
          </w:tcPr>
          <w:p>
            <w:pPr>
              <w:spacing w:after="0"/>
              <w:rPr>
                <w:sz w:val="24"/>
                <w:szCs w:val="24"/>
                <w:color w:val="auto"/>
              </w:rPr>
            </w:pPr>
          </w:p>
        </w:tc>
        <w:tc>
          <w:tcPr>
            <w:tcW w:w="3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360" w:type="dxa"/>
            <w:vAlign w:val="bottom"/>
          </w:tcPr>
          <w:p>
            <w:pPr>
              <w:spacing w:after="0"/>
              <w:rPr>
                <w:sz w:val="24"/>
                <w:szCs w:val="24"/>
                <w:color w:val="auto"/>
              </w:rPr>
            </w:pPr>
          </w:p>
        </w:tc>
        <w:tc>
          <w:tcPr>
            <w:tcW w:w="1800" w:type="dxa"/>
            <w:vAlign w:val="bottom"/>
            <w:gridSpan w:val="3"/>
          </w:tcPr>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4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3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32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 audit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Professional fees - legal</w:t>
            </w: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467</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1,969</w:t>
            </w:r>
          </w:p>
        </w:tc>
        <w:tc>
          <w:tcPr>
            <w:tcW w:w="36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(1,502)</w:t>
            </w:r>
          </w:p>
        </w:tc>
        <w:tc>
          <w:tcPr>
            <w:tcW w:w="5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-76.3%</w:t>
            </w:r>
          </w:p>
        </w:tc>
      </w:tr>
      <w:tr>
        <w:trPr>
          <w:trHeight w:val="216"/>
        </w:trPr>
        <w:tc>
          <w:tcPr>
            <w:tcW w:w="47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Incremental accounting</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1,726</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(745)</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29"/>
        </w:trPr>
        <w:tc>
          <w:tcPr>
            <w:tcW w:w="4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 study, M&amp;A support</w:t>
            </w: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5,121</w:t>
            </w:r>
          </w:p>
        </w:tc>
        <w:tc>
          <w:tcPr>
            <w:tcW w:w="280" w:type="dxa"/>
            <w:vAlign w:val="bottom"/>
          </w:tcPr>
          <w:p>
            <w:pPr>
              <w:spacing w:after="0"/>
              <w:rPr>
                <w:sz w:val="19"/>
                <w:szCs w:val="19"/>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1,578</w:t>
            </w:r>
          </w:p>
        </w:tc>
        <w:tc>
          <w:tcPr>
            <w:tcW w:w="3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3,543</w:t>
            </w:r>
          </w:p>
        </w:tc>
        <w:tc>
          <w:tcPr>
            <w:tcW w:w="5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23"/>
        </w:trPr>
        <w:tc>
          <w:tcPr>
            <w:tcW w:w="47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related expenses</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12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Liquidity and Capital Resources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Years Ended December 31, 2025 and 2024</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we had cash of approximately $0.3 million. For the year ended December 31, 2025, while we generated revenue of approximately $12.2 million, we used approximately $15.7 million in cash from operating activities and had a net loss of approximately $22.5 million. We have incurred recurring net losses from operations and negative cash flows from operating activities since inception. As of December 31, 2025, we had a working capital deficit of approximately $21.0 million and an accumulated deficit of approximately $100.8 million. These factors raise substantial doubt regarding the Company’s ability to continue as a going concern within one year of the date these financial statements were issued.</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ability to continue as a going concern is dependent on Management’s plans, which include potential asset acquisitions, mergers or business combinations with other entities, further implementation of its business plans and continuing to raise capital through debt or equity financings, which is not assured. The accompanying consolidated financial statements have been prepared assuming Parabolic will continue as a going concern, which contemplates the realization of assets and satisfaction of liabilities in the normal course of business.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we are unable to raise sufficient additional capital, through future debt or equity financings or through strategic and collaborative ventures with third parties, we will not have sufficient cash flows and liquidity to fund our planned business for 12 months from the issuance of these financial statements. There can be no assurances that we will be able to secure alternate forms of financing at terms that are acceptable to management, or at all. In that event, we might be forced to limit many of our business plans and consider other means of creating value for our stockholders. See also </w:t>
      </w:r>
      <w:r>
        <w:rPr>
          <w:rFonts w:ascii="Times New Roman" w:cs="Times New Roman" w:eastAsia="Times New Roman" w:hAnsi="Times New Roman"/>
          <w:sz w:val="18"/>
          <w:szCs w:val="18"/>
          <w:i w:val="1"/>
          <w:iCs w:val="1"/>
          <w:color w:val="auto"/>
        </w:rPr>
        <w:t>Note 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xml:space="preserve"> to our consolidated financial statements in this Registration Statement.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structure and sources of liquidity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have historically funded our operations through a combination of equity and debt financings, including convertible instruments. During 2025, we raised capital through multiple equity and debt financing arrangements with Yorkville, 3i, LP, 1800 Diagonal, Agile, and CP BF, and other lenders and investors, and we intend to seek additional funding through the Yorkville SEPA, the ATM Agreement, as well as other equity and debt financings in 2026.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15</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to our consolidated financial statements in this Registration Statement for further discussion of these arrangements</w:t>
      </w:r>
      <w:r>
        <w:rPr>
          <w:rFonts w:ascii="Times New Roman" w:cs="Times New Roman" w:eastAsia="Times New Roman" w:hAnsi="Times New Roman"/>
          <w:sz w:val="18"/>
          <w:szCs w:val="18"/>
          <w:i w:val="1"/>
          <w:iCs w:val="1"/>
          <w:color w:val="auto"/>
        </w:rPr>
        <w:t>.</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Certain of these arrangements still have remaining capacity that may serve as sources of future liquidity to us, however, our ability to access amounts under these facilities is subject to a number of conditions, limitations, and market and other factors, including factors described in our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elsewhere in this prospectus, and there can be no assurance that we will be able to access the full remaining capacity, or access it on terms or in amounts sufficient to meet our liquidity needs. If we are unable to raise such funding, we will have to pursue an alternative course of action to seek additional capital through other debt and equity financing.</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seek to raise additional capital through a combination of debt and equity financings, including continued use of our at-the-market facility and our SEPA, to support our operations and expansion through acquisition.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flows for the years ended December 31, 2025 and 2024. See also our consolidated statement of cash flows in this prospectus: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w:t>
            </w:r>
          </w:p>
        </w:tc>
        <w:tc>
          <w:tcPr>
            <w:tcW w:w="800" w:type="dxa"/>
            <w:vAlign w:val="bottom"/>
          </w:tcPr>
          <w:p>
            <w:pPr>
              <w:spacing w:after="0"/>
              <w:rPr>
                <w:sz w:val="20"/>
                <w:szCs w:val="20"/>
                <w:color w:val="auto"/>
              </w:rPr>
            </w:pPr>
          </w:p>
        </w:tc>
        <w:tc>
          <w:tcPr>
            <w:tcW w:w="13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Year-over-Year</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i w:val="1"/>
                <w:iCs w:val="1"/>
                <w:color w:val="auto"/>
              </w:rPr>
              <w:t>2024</w:t>
            </w:r>
          </w:p>
        </w:tc>
        <w:tc>
          <w:tcPr>
            <w:tcW w:w="320" w:type="dxa"/>
            <w:vAlign w:val="bottom"/>
            <w:tcBorders>
              <w:bottom w:val="single" w:sz="8" w:color="CCEEFF"/>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5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160" w:type="dxa"/>
            <w:vAlign w:val="bottom"/>
            <w:tcBorders>
              <w:bottom w:val="single" w:sz="8" w:color="CCEEFF"/>
            </w:tcBorders>
          </w:tcPr>
          <w:p>
            <w:pPr>
              <w:spacing w:after="0"/>
              <w:rPr>
                <w:sz w:val="19"/>
                <w:szCs w:val="19"/>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(15,707)</w:t>
            </w:r>
          </w:p>
        </w:tc>
        <w:tc>
          <w:tcPr>
            <w:tcW w:w="28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(9,575)</w:t>
            </w:r>
          </w:p>
        </w:tc>
        <w:tc>
          <w:tcPr>
            <w:tcW w:w="8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(6,132)</w:t>
            </w:r>
          </w:p>
        </w:tc>
        <w:tc>
          <w:tcPr>
            <w:tcW w:w="5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(2,679)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(2,761)</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-3367.1%</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17,634</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8,487</w:t>
            </w:r>
          </w:p>
        </w:tc>
        <w:tc>
          <w:tcPr>
            <w:tcW w:w="80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9,147</w:t>
            </w:r>
          </w:p>
        </w:tc>
        <w:tc>
          <w:tcPr>
            <w:tcW w:w="5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107.8%</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(828)</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(1,006)</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178</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28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1,087</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2,094</w:t>
            </w:r>
          </w:p>
        </w:tc>
        <w:tc>
          <w:tcPr>
            <w:tcW w:w="8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(1,007)</w:t>
            </w:r>
          </w:p>
        </w:tc>
        <w:tc>
          <w:tcPr>
            <w:tcW w:w="50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-48.1%</w:t>
            </w: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259</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1,087</w:t>
            </w: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(828)</w:t>
            </w:r>
          </w:p>
        </w:tc>
        <w:tc>
          <w:tcPr>
            <w:tcW w:w="5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-76.2%</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2025</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primarily driven by the net loss, and by working capital adjustments totaling $0.3 million (unfavorable), partially offset by adjustments for non-cash items totaling $4.3 million (favorable). The non-cash items primarily consisted of addbacks for stock-based compensation expense of approximately $2.7 million and depreciation and amortization of approximately $1.2 million, the net impact of debt-related transactions (including gain on extinguishment of debt, loss on issuance of debt and non-cash interest expense) totaling $4.7 million favorable, and the net impact of change in fair value adjustments (including debt under the fair value option, warrants and derivatives) totaling $4.3 million unfavorable.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 was primarily related to our acquisition of Vidello.</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primarily driven by proceeds from issuance of shares under the SEPA totaling approximately $18.6 million, proceeds from issuances of debt (both convertible and term) totaling approximately $17.1 million, proceeds from issuances of shares and warrants totaling $3.9 million, partially offset by repayments of debt totaling $18.6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 Ended December 31, 2024</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Net cash used in operating activities was approximately $9.6 million for the year ended December 31, 2024. Net cash used in operating activities consists of net loss of approximately $31.5 million, offset by total adjustments of approximately $22.0 million for non-cash items and the effect of changes in working capital. Non-cash adjustments primarily included loss on conversion and settlement of Alco promissory notes of approximately $4.8 million, loss on conversion and settlement of CP BF notes of approximately $6.5 million, non-cash settlement of the GEM commitment fee of approximately $0.2 million, non-cash share issuance for marketing expenses of approximately $0.2 million, non-cash share issuance for Yorkville redemption premium of approximately $0.1 million, stock-based compensation expense of approximately $1.2 million, gain on extinguishment of liability of approximately $0.7 million, loss on issuance of debt of approximately $0.7 million, loss on extinguishment of term notes of approximately $1.1 million, non-cash interest expense of approximately $2.3 million (approximately $1.53 million for related party), amortization of debt discount and issuance costs for related party of approximately $1.4 million, amortization of operating lease ROU assets of approximately $0.1 million, fair value adjustment for warrant liabilities gain of approximately $1.2 million (gain of approximately $0.6 million for related party), fair value adjustment to related party bifurcated embedded derivative liabilities gain of approximately $0.1 million, fair value adjustment of convertible promissory notes of approximately $0.7 million, fair value adjustment of term notes of approximately $0.1 million, goodwill impairment loss of approximately $2.7 million, and net of change in operating assets and liabilities of approximately $1.8 million.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approximately $0.1 million for the year ended December 31, 2024 and was related to cash acquired in the acquisition of OpenReel.</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$8.5 million for the year ended December 31, 2024, and was primarily related to proceeds from convertible debt financing of approximately $2.6 million, net proceeds from issuance of common stock of approximately $6.3 million, net proceeds from the issuance of term notes of approximately $2.8 million, proceeds from related party advance of approximately $0.1 million, proceeds from issuance of shares under the SEPA agreement of approximately $0.9 million, repayment of term notes of approximately $1.9 million, partial repayment of convertible notes with a related party of approximately $0.3 million, repayment of Yorkville convertible notes of approximately $0.8 million, and payment of the GEM commitment fee of approximately $1.2 million.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Debt Structure, Debt Maturity Profile, Contractual Obligations and Commitments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material cash requirements include operating expenses to support the business, debt service (including principal and interest), and contractual obligations such as operating lease commitments. The timing of these requirements within the next 12 months and thereafter is summarized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w w:val="97"/>
              </w:rPr>
              <w:t>Total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i w:val="1"/>
                <w:iCs w:val="1"/>
                <w:color w:val="auto"/>
                <w:w w:val="99"/>
              </w:rPr>
              <w:t>and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w w:val="99"/>
              </w:rPr>
              <w:t>Accrued</w:t>
            </w:r>
          </w:p>
        </w:tc>
        <w:tc>
          <w:tcPr>
            <w:tcW w:w="10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i w:val="1"/>
                <w:iCs w:val="1"/>
                <w:color w:val="auto"/>
              </w:rPr>
              <w:t>Less than 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9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tc>
        <w:tc>
          <w:tcPr>
            <w:tcW w:w="100" w:type="dxa"/>
            <w:vAlign w:val="bottom"/>
          </w:tcPr>
          <w:p>
            <w:pPr>
              <w:spacing w:after="0"/>
              <w:rPr>
                <w:sz w:val="20"/>
                <w:szCs w:val="20"/>
                <w:color w:val="auto"/>
              </w:rPr>
            </w:pPr>
          </w:p>
        </w:tc>
        <w:tc>
          <w:tcPr>
            <w:tcW w:w="132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i w:val="1"/>
                <w:iCs w:val="1"/>
                <w:color w:val="auto"/>
              </w:rPr>
              <w:t>year</w:t>
            </w:r>
          </w:p>
        </w:tc>
        <w:tc>
          <w:tcPr>
            <w:tcW w:w="14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1 - 3 Years</w:t>
            </w:r>
          </w:p>
        </w:tc>
      </w:tr>
      <w:tr>
        <w:trPr>
          <w:trHeight w:val="210"/>
        </w:trPr>
        <w:tc>
          <w:tcPr>
            <w:tcW w:w="3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principal – 15.5% CP BF convertible notes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principal – Agile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1,839</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principal – Private Placement convertible notes</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1,880</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principal – Yorkville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1,226</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1,226</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principal – 1800 Diagonal</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722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Debt principal – Boot Capital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r>
      <w:tr>
        <w:trPr>
          <w:trHeight w:val="178"/>
        </w:trPr>
        <w:tc>
          <w:tcPr>
            <w:tcW w:w="39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capital expenditure commitments and financing</w:t>
            </w: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requirements at December 31, 2025</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9,003</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10,839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5,888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4,951</w:t>
            </w:r>
          </w:p>
        </w:tc>
        <w:tc>
          <w:tcPr>
            <w:tcW w:w="80" w:type="dxa"/>
            <w:vAlign w:val="bottom"/>
          </w:tcPr>
          <w:p>
            <w:pPr>
              <w:spacing w:after="0"/>
              <w:rPr>
                <w:sz w:val="22"/>
                <w:szCs w:val="22"/>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a subscription-based SaaS company, we frequently bill customers in advance for access to our platform for a specified subscription term. Amounts invoiced or collected in advance are recorded as deferred revenue, which represents a contract liability where we have performance obligations to provide access to the platform and customer support over the remaining subscription term. As we satisfy the related performance obligations over time, deferred revenue is reduced and we recognize revenue.</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2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an operating lease for office space. The lease term expires in October 2027. The lease liability balance as of December 31, 2025 represents the future minimum lease payments under non-cancellable leases as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Parabolic had no off-balance sheet arrangements as of December 31, 2025.</w:t>
      </w:r>
    </w:p>
    <w:p>
      <w:pPr>
        <w:sectPr>
          <w:pgSz w:w="11900" w:h="16838" w:orient="portrait"/>
          <w:cols w:equalWidth="0" w:num="1">
            <w:col w:w="11240"/>
          </w:cols>
          <w:pgMar w:left="320" w:top="229"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Parabolic Technologies, Inc. is a Software as a Service (“SaaS”) company operating in the marketing technology (“MarTech”) industry. We provide our customers with tools to help them market and sell with greater efficiency and impact. To date, Parabolic has supported over 150,000 global customers, including entrepreneurs and Fortune 500 companies. Our customers include Amazon, Dell, Salesforce, Aflac, Thermo Fisher Scientific, RBC Wealth Management, Fitch Group, and many other globally recognized brands.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Parabolic grows in three ways: acquiring new customers through our sales and marketing efforts, expanding our platform through the development and acquisition of MarTech products, and cross-selling additional solutions to our existing customers. When evaluating acquisitions, we look for profitable businesses with customer profiles that align with our values and growth strategy. When considering additional products to purchase and offer, we look at customer satisfaction levels because we believe that is a good indicator of a product’s trajectory.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vision is to build a suite of mission-critical solutions that address a broad spectrum of customer needs. By integrating these tools, we aim to create efficiencies and unlock shared data and assets that power more advanced AI capabilities. In December 2024 we acquired ClearDoc, Inc. (d/b/a OpenReel “OpenReel”), in January 2025 we acquired Vidello Limited (“Vidello”), in November 2025 we acquired the assets of Superblocks, and in July 2026 we acquired the assets of ConnectAndSell, in order to expand our product offerings and customer base. Our platform currently includes several products, ranging across demand generation, webinar hosting, video creation and email newsletters.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with customer contracts that vary in term length from single months to multiple years. As of December 31, 2025, our customer base included customers operating in 90 countries, across numerous different industries, including healthcare, financial services, e-commerce, technology, media and others. No single customer represents more than 10% of our revenue. Since 2021, we have focused on increasing mid-market and enterprise customers for Demio.</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originally known as 7GC &amp; Co. Holdings Inc (“7GC”). On December 14, 2023, Banzai International, Inc. became a publicly traded company as a result of completing the business combination, recapitalization and other transactions with Banzai Operating Co LLC (f/k/a Banzai International, Inc.) (“Legacy Banzai”), and 7GC (collectively, the “Business Combination”). Legacy Banzai operates under the name “Banzai Operating Co Inc.” (the “Operating Company”) and is one of our three wholly owned subsidiaries. Legacy Banzai was incorporated in Delaware in September 2015. Effective October 27, 2026, our company name changed from Banzai International, Inc. to Parabolic Technologies, Inc. following approval by our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 and Trends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MarTech industry has undergone rapid growth and transformation in recent years. Per the Winterberry Report (as defined below), rising demand for MarTech solutions is linked to companies prioritizing efficient growth, —a trend we expect to accelerate amid increasing global competition and pressure to demonstrate profitability.</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MarTech landscape is vast and rapidly evolving, with multiple vendors offering solutions across a broad spectrum of needs. According to the 2024 Marketing Technology Landscape report by ChiefMartec, the number of MarTech companies has grown by 27.8% year over year, reaching over 14,000 providers. This fragmented ecosystem presents a significant opportunity for acquisitions and platform expansion. This competitive landscape is a reason why Parabolic focuses on differentiating itself through exceptional products and customer service.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Size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compete within the business-to-business (“B2B”) MarTech value chain, which encompasses functions including creating and distributing content, acquiring and nurturing leads, executing and optimizing campaigns, and managing and measuring performance.</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2023, we engaged Verista Partners Inc., also known as Winterberry Group (“Winterberry”), to conduct a comprehensive analysis of our market opportunity within the MarTech sector. On April 14, 2023, Winterberry delivered a Strategic Due Diligence Assessment Report (the “Winterberry Report”) outlining our Total Addressable Market (“TAM”) and Serviceable Addressable Market (“SAM”). The TAM, defined as U.S. business-to-business spending across categories such as demand generation, marketing automation, digital events platforms, account-based marketing, customer resource management, engagement, content management systems, customer data platforms, measurement and attribution, and predictive and prescriptive analytics, is projected to reach $39.42 billion by 2026, reflecting a compound annual growth rate (“CAGR”) of 11.80% from 2020 to 2026. The SAM, which includes U.S. B2B spending specifically on measurement and attribution, demand generation, and digital events platforms, is expected to reach $8.37 billion by 2026, representing a CAGR of 16.07% over the same period.</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 calculate our estimated SAM and TAM, Winterberry started with the B2B MarTech stack from acquiring and nurturing leads to executing and optimizing campaigns to managing and measuring content, data and performance. Within that value chain, Winterberry identified which components were core to the Parabolic business as of the date of the Winterberry Report (i.e., measurement and attribution, demand generation, and digital events platforms) and which would be natural adjacencies and future offerings (i.e., demand generation, marketing automation, digital events platforms, account-based marketing, customer relationship management, engagement, content management systems, customer data platforms, measurement and attribution, and predictive and prescriptive analytics). The identified core components make up our SAM, and both core components and adjacent and future offerings are included in our TAM. Winterberry then sized each component individually utilizing a range of sources estimating market spending and forecasted growth rates, including Winterberry proprietary models, as well as various other market research company products and forecasts. Depending on the estimate and whether it was global or included in B2B use cases, Winterberry utilized assumptions that 25% of spend is B2B and 33% of global spend is U.S.-specific.</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models provided by Winterberry were based on economic forecasts from government and private sector analysts as well as third-party media forecasts primarily provided by marketing agencies, governing bodies and associations, trade publications, and research analysts, all of which are subject to change. There are uncertainties inherent in attempting to make such projections and forecasts, and we encourage our stockholders and investors to perform their own investigation and carefully consider such uncertainties.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Products and Services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hereof, our platform offers several SaaS products including: ConnectAndSell, OpenReel, CreateStudio, Vidello, Demio, Boost, Reach and Curate.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ConnectAndSell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ConnectAndSell is the patented, award-winning cloud solution transforming B2B sales by connecting sales teams directly with hard-to-reach decision-makers. ConnectAndSell offers two distinct modes designed to provide choice on the type of outreach: Express Connect and Precision Connect. Powered by ConnectAndSell’s patented Sales Acceleration technology, Express Connect connects sales teams to the first live voice, bypassing gatekeepers, phone trees, and voicemail and enabling engagement with decision-makers faster and more efficiently to maximize sales potential. Precision Connect takes outreach a step further with human agents brokering interactions with executive administrators and gatekeepers connecting sales teams directly to the named list target. This advanced feature ensures that calls are routed straight to the right decision-maker, optimizing sales efforts for maximum impact.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OpenReel</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OpenReel is an AI-powered video creation platform that enables users to remotely record, edit, host, and share high-quality videos from any location.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remote capture feature allows users to film professional-grade videos using devices like smartphones or webcams, without needing to be there in person.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platform offers AI-driven editing tools for seamless content refinement and customization, along with secure cloud storage for easy access and sharing.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OpenReel’s comprehensive solution streamlines the video production process, making it efficient and cost-effective for businesses and individuals.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CreateStudio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CreateStudio is a comprehensive video animation and editing software designed for both beginners and experienced creators. It offers an intuitive drag-and-drop interface that allows users to produce a variety of content, including 3D character animations, explainer videos, social media ads, and doodle sketches. The platform provides a rich library of customizable templates, animated characters, royalty-free assets, and special effects, enabling the creation of professional-quality videos without the need for advanced technical skills. Notable features include 3D modeling, AI-powered text-to-speech, green screen editing, and dynamic camera movements. CreateStudio is compatible with both Mac and Windows operating systems.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Vidello</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Vidello is a comprehensive video hosting and marketing platform designed to help businesses manage, customize, and optimize their video content. It offers a customizable, fast-loading video player, along with features like A/B split testing, dynamic variables, and automatic video SEO to enhance user engagement and conversion rates. Vidello also provides tools such as lower third animations, clickable links, buy buttons, email opt-in forms, and interactive video polls, enabling users to generate leads and drive sales directly within their videos. The platform supports seamless integration with various email autoresponders and is compatible with multiple website builders and membership platforms.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Demio</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Demio is a browser-based webinar platform designed to help businesses create, host, and manage both live and automated webinars for thousands of attendees with ease. Its intuitive interface simplifies webinar setup, allowing users to customize registration pages, apply branding, and automate email reminders. Demio offers robust engagement tools—including real-time chat, polls, Q&amp;A sessions, screen sharing, and multimedia presentations—enabling a highly interactive and professional experience. Businesses can host live sessions or schedule automated webinars to reach audiences at scale. A standout feature of this product is the Demio AI Moderator, which manages audience engagement in real time, answers key questions and ensures a smoother experience for attendees.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its core webinar functionality, Demio supports lead generation and marketing integration. It connects with CRM and marketing automation platforms, helping users streamline campaign workflows and improve follow-up. Customizable registration forms, in-webinar CTAs, and detailed analytics allow users to track attendee behavior, measure performance, and optimize webinar strategies. With the addition of AI-powered moderation and automation tools, Demio empowers businesses to deliver engaging, scalable webinars that drive lead capture, audience engagement, and sales conversion.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Boost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Boost is an add-on product integrated with Demio that helps customers increase webinar attendance by turning existing registrants into advocates. It enables attendees to share event registration links across platforms like LinkedIn, Facebook, Twitter, and email, with built-in incentives to encourage referrals. Boost automates email notifications, provides customizable share pages, tracks link performance, and supports reward-based campaigns—all designed to simplify social sharing and drive additional signups. Its seamless integration with Demio ensures a smooth experience, helping customers amplify reach and grow webinar participation through word-of-mouth promotion.</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Reach</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Reach is a targeted outreach tool that helps customers boost their demand generation campaigns by connecting directly with their ideal audience. Reach generates tailored contact lists based on criteria like region, job title, company size, and revenue. It provides personalized outreach, confirmations and reminders to increase results across fourteen different campaign types including event attendance, newsletter subscriptions and opt-ins. Reach also supports privacy compliance with customizable opt-in language and allows users to include or exclude specific accounts for account-based marketing (ABM) strategies. With built-in list scrubbing to ensure high email deliverability, Reach enables customers to engage high-value leads they may not otherwise reach.</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Curate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Curate by Parabolic is an AI-driven newsletter platform designed to help brands grow their audience through fully automated targeted newsletters. By selecting relevant news feeds and topics, Curate automatically generates and sends engaging, branded newsletters on a daily or weekly basis, saving users significant time on content creation. The platform ensures seamless integration of a brand’s voice, colors, and logo, delivering a cohesive look that resonates with the target audience. Additionally, Curate actively promotes newsletters to the ideal audience, facilitating consistent subscriber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Roadmap and Enhancements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Improving our family of products is how we create more value for our customers and our product roadmap is an essential part of delivering on our vision of improving the value of customer interactions for companies throughout the world. The role of product management at Parabolic is to identify and prioritize underserved and unmet customer and market needs and to use our deep technology experience to create products and features based on data and AI to increase customer value.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 unique management framework at Parabolic that we feel is a core part of our success. We use this framework to align our cross-functional objectives around a set of strategies that we update as the needs of our business change. We use these strategies to create alignment for our engineering, sales, and marketing teams. This helps us to work cohesively towards shared goals, maximizing the efficiency and effectiveness of our efforts.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By prioritizing our customers in both product development and acquisitions, we demonstrate a commitment to addressing the evolving needs and expectations of the markets we serve. This customer-centric approach helps us maintain a competitive edge, as we continuously adapt our products and services to stay relevant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identifying opportunities for new features, enhancements, and market segments, we can strategically plan and execute our growth initiatives, supporting our long-term sustainability and success.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Customer Expansion is key to our long-term vision. We believe our strategies support increasing the average amount of revenue we earn per customer per year through development of features that are correlated with usage by higher value customers. We also develop add-on features and products that can be sold to our existing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a product-led company, we attain and maintain our competitive advantage through our investment in our products. Maintenance of existing products and development of new products are both essential to our long-term success. Therefore, our management team feels that significant investment in technology is required in the future. We plan to utilize a combination of in-house employees and development partners to maintain and improve our technology.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Strategies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growth strategy is to expand our platform to make it more valuable to customers and find new ways to enhance a wider range of MarTech interactions. The key elements of our growth strategy are:</w:t>
      </w:r>
    </w:p>
    <w:p>
      <w:pPr>
        <w:spacing w:after="0" w:line="158" w:lineRule="exact"/>
        <w:rPr>
          <w:sz w:val="20"/>
          <w:szCs w:val="20"/>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Cost Efficient Customer Acquisition</w:t>
      </w:r>
      <w:r>
        <w:rPr>
          <w:rFonts w:ascii="Times New Roman" w:cs="Times New Roman" w:eastAsia="Times New Roman" w:hAnsi="Times New Roman"/>
          <w:sz w:val="18"/>
          <w:szCs w:val="18"/>
          <w:color w:val="auto"/>
        </w:rPr>
        <w:t>: Continue to acquire new customers cost effectively through organic traffic, content, affiliates, social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media, partnerships, advertising, word-of-mouth, and other sources.</w:t>
      </w:r>
    </w:p>
    <w:p>
      <w:pPr>
        <w:spacing w:after="0" w:line="154"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Customer Retention and Expansion</w:t>
      </w:r>
      <w:r>
        <w:rPr>
          <w:rFonts w:ascii="Times New Roman" w:cs="Times New Roman" w:eastAsia="Times New Roman" w:hAnsi="Times New Roman"/>
          <w:sz w:val="18"/>
          <w:szCs w:val="18"/>
          <w:color w:val="auto"/>
        </w:rPr>
        <w:t>: Continue to expand our customer success and customer marketing organizations to increase customer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retention and customer expansion.</w:t>
      </w:r>
    </w:p>
    <w:p>
      <w:pPr>
        <w:spacing w:after="0" w:line="154" w:lineRule="exact"/>
        <w:rPr>
          <w:rFonts w:ascii="Times New Roman" w:cs="Times New Roman" w:eastAsia="Times New Roman" w:hAnsi="Times New Roman"/>
          <w:sz w:val="18"/>
          <w:szCs w:val="18"/>
          <w:b w:val="1"/>
          <w:bCs w:val="1"/>
          <w:color w:val="auto"/>
        </w:rPr>
      </w:pPr>
    </w:p>
    <w:p>
      <w:pPr>
        <w:ind w:left="660" w:right="2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Implement Product Improvements</w:t>
      </w:r>
      <w:r>
        <w:rPr>
          <w:rFonts w:ascii="Times New Roman" w:cs="Times New Roman" w:eastAsia="Times New Roman" w:hAnsi="Times New Roman"/>
          <w:sz w:val="18"/>
          <w:szCs w:val="18"/>
          <w:color w:val="auto"/>
        </w:rPr>
        <w:t>: Continue to develop our family of products to create defensibly differentiated solutions that are essential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Introduce New Products</w:t>
      </w:r>
      <w:r>
        <w:rPr>
          <w:rFonts w:ascii="Times New Roman" w:cs="Times New Roman" w:eastAsia="Times New Roman" w:hAnsi="Times New Roman"/>
          <w:sz w:val="18"/>
          <w:szCs w:val="18"/>
          <w:color w:val="auto"/>
        </w:rPr>
        <w:t>: Roll out new products that attract new customers and expand the ways we can serve existing customers.</w:t>
      </w:r>
    </w:p>
    <w:p>
      <w:pPr>
        <w:spacing w:after="0" w:line="225"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 Strategy: </w:t>
      </w:r>
      <w:r>
        <w:rPr>
          <w:rFonts w:ascii="Times New Roman" w:cs="Times New Roman" w:eastAsia="Times New Roman" w:hAnsi="Times New Roman"/>
          <w:sz w:val="18"/>
          <w:szCs w:val="18"/>
          <w:color w:val="auto"/>
        </w:rPr>
        <w:t>Continue to look for future acquisition opportunities prioritizing companies that are profitable and have highly-rated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with customer bases that align with Parabolic’s existing customer base.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ConnectAndSell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2, 2026, we acquired substantially all the assets of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Parabolic’s portfolio, extending the Company’s reach across more of the customer revenue journey. For more information regarding this acquisition,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Superblocks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7, 2025, we acquired the assets of Superblocks, a privately-held Agentic AI platform for developing and hosting launch-ready SEO-optimized websites. The Superblocks platform allows marketers to easily create and host websites, landing pages, and simple web applications using conversational AI.</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January 31, 2025, we acquired Vidello, a private limited company registered in England and Wales. Vidello provides a suite of products for 3D video creation, royalty free music, and video marketing. Vidello offers a comprehensive video hosting and marketing suite that provides entrepreneurs, startups, agencies, and online businesses with tools to grow their businesses. At the acquisition date, Vidello had over 90,000 customers, and their flagship CreateStudio product has been named a Top 3 Best Rated product in the video maker category by Capterra, and a High Performer by G2.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18, 2024, we acquired OpenReel, a leading enterprise video creation and management solution that empowers companies to create high-quality content at scale and on brand. OpenReel enables businesses of all sizes to cut down on the time-and resource-intensive process of video creation and scale content creation initiatives efficiently, effectively, and securely. OpenReel is trusted by a wide range of customers from small businesses to the Fortune 500. OpenReel is based in New York, with its team distributed worldwide. OpenReel’s enterprise customer base includes global organizations, such as Bristol Myers Squibb, Ingram Micro, DXC Technology, Insider Inc., and US Steel.</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acquisitions are a key part of our vision to build a comprehensive suite of AI-powered marketing tools that make marketers’ lives faster and easier.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primary focus is on increasing mid-market and enterprise customers. Progress towards this is reflected in our acquisition of OpenReel and ConnectAndSell’s assets, adding 650 and 250 customers, respectively, to the overall Parabolic customer base, as well as our increase in multi-host Demio customers from 14 to over 240 between January 2021 and December 31, 2025, an approximately seventeen-fold increase.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product-led growth company, we utilize a hybrid self-service and direct sales go-to-market approach. Our self-service customers subscribe to or purchase directly from our product websites or start free product trials which can lead to a paid subscription or purchase. Our direct sales customers subscribe or purchase through sales representatives, who are compensated with a base salary and commission plans.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Trials, customers, and leads come from organic website visitors, affiliates and partners, and visitors from paid ads such as Google ads. We also utilize partner marketing, account-based marketing, lead generation programs, webinars, and other direct and indirect marketing activities to reach our target audience and acquire leads and customers.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most of our products using a recurring subscription license model typical in SaaS businesses. Pricing is based on the number of users, desired feature sets, and product capabilities. Our customer contracts vary in term length from single months to multiple years. Our customers often purchase additional services to supplement their initial subscriptions by including additional licenses or products.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 Strengths, and Differentiation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compete across a variety of categories within the B2B MarTech landscape including digital events and webinars, demand generation, video creation, engagement platforms and marketing automation, and measurement and attribution.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believe our strengths are our recognizable brand, and the brands of our products, our existing customers, which can be cross-sold additional products, and our operational competency in customer success, which allows us to more effectively leverage our customer base to drive expansion.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seek to differentiate ourselves from the crowded MarTech market through data, either as a primary value proposition or an enabling feature, integrations between our products which already exist and are being developed, and AI and machine learning to deliver new capabilities or improved performance for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establish and protect our proprietary rights, we rely on a combination of trademarks and trade secrets, including know-how, license agreements, confidentiality procedures, non-disclosure agreements with third parties, employee disclosure and invention assignment agreements, and other contractual rights. As of December 31, 2025, we held three registered trademarks in the United States: “Banzai,” “Demio,” and “OpenReel.” For more information regarding risks related to our intellectual property,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 Business and Industry</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Failure to protect or enforce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intellectual property rights could harm our business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Risk Factors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Risks Related to Business and Industry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Third parties may initiate legal proceedings alleging that we are infringing or otherwise violating their intellectual property rights, the outcome of which would be uncertain and could harm our business.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are subject to federal, state, and foreign legal requirements on matters customary to the SaaS and MarTech industries such as data privacy and protection, employment and labor relations, immigration, taxation, anti-corruption, import/export controls, trade restrictions, internal and disclosure control obligations, securities regulation, and anti-competition considerations.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Regarding privacy and communications, we are subject to the following regulatory standards and laws: the GDPR, CCPA, Telephone Consumer Protection Act (TCPA), Canada’s Anti-Spam Legislation (CASL), the Controlling the Assault of Non-Solicited Pornography and Marketing Act of 2003 (CAN-SPAM), and others that may apply in the various regions in which we operate.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Violations of one or more of these diverse legal requirements in the conduct of our business could result in significant fines and other damages, criminal sanctions against us or our officers, prohibitions on doing business and damage to our reputation. Violations of these regulations or contractual obligations related to regulatory compliance in connection with the performance of customer contracts could also result in liability for significant monetary damages, fines and/or criminal prosecution, unfavorable publicity and other damage to our reputation, restrictions on our ability to compete for certain work and allegations by our customers that we have not performed our contractual obligations. To date, we have not experienced material fines or penalties related to these regulations.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we had 33 full-time employees, 1 part-time employee, and 57 contractors.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culture is unique and an important contributor to our success. Our culture allows us to scale our business by attracting and retaining great people who are aligned to our values. Having shared values enables our team members to make independent decisions, encourages accountability, and fosters collaboration. Our culture is defined by four core values:</w:t>
      </w:r>
    </w:p>
    <w:p>
      <w:pPr>
        <w:spacing w:after="0" w:line="172" w:lineRule="exact"/>
        <w:rPr>
          <w:sz w:val="20"/>
          <w:szCs w:val="20"/>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Learning. </w:t>
      </w:r>
      <w:r>
        <w:rPr>
          <w:rFonts w:ascii="Times New Roman" w:cs="Times New Roman" w:eastAsia="Times New Roman" w:hAnsi="Times New Roman"/>
          <w:sz w:val="18"/>
          <w:szCs w:val="18"/>
          <w:color w:val="auto"/>
        </w:rPr>
        <w:t>Technology and marketing are constantly changing. We value learning because adaptation is essential to delivering the best solutions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our customers. Our team members are open-minded, critical-thinkers who are willing to disagree, try new things, and change their minds when warranted.</w:t>
      </w:r>
    </w:p>
    <w:p>
      <w:pPr>
        <w:spacing w:after="0" w:line="170"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Serving Others. </w:t>
      </w:r>
      <w:r>
        <w:rPr>
          <w:rFonts w:ascii="Times New Roman" w:cs="Times New Roman" w:eastAsia="Times New Roman" w:hAnsi="Times New Roman"/>
          <w:sz w:val="18"/>
          <w:szCs w:val="18"/>
          <w:color w:val="auto"/>
        </w:rPr>
        <w:t>Nothing happens without our customers. We value Serving Others because serving customers is the reason we exist. Our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prioritize the needs of our customers, our team, and our communities.</w:t>
      </w:r>
    </w:p>
    <w:p>
      <w:pPr>
        <w:spacing w:after="0" w:line="154" w:lineRule="exact"/>
        <w:rPr>
          <w:rFonts w:ascii="Times New Roman" w:cs="Times New Roman" w:eastAsia="Times New Roman" w:hAnsi="Times New Roman"/>
          <w:sz w:val="18"/>
          <w:szCs w:val="18"/>
          <w:b w:val="1"/>
          <w:bCs w:val="1"/>
          <w:color w:val="auto"/>
        </w:rPr>
      </w:pPr>
    </w:p>
    <w:p>
      <w:pPr>
        <w:ind w:left="660" w:hanging="328"/>
        <w:spacing w:after="0" w:line="286"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Game Changing. </w:t>
      </w:r>
      <w:r>
        <w:rPr>
          <w:rFonts w:ascii="Times New Roman" w:cs="Times New Roman" w:eastAsia="Times New Roman" w:hAnsi="Times New Roman"/>
          <w:sz w:val="18"/>
          <w:szCs w:val="18"/>
          <w:color w:val="auto"/>
        </w:rPr>
        <w:t>To succeed in a competitive marketplace, we have to deliver impactful solutions for our customers. Our team members find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creative solutions, raise the bar, take risks, and help our customers realize more successful outcomes.</w:t>
      </w:r>
    </w:p>
    <w:p>
      <w:pPr>
        <w:spacing w:after="0" w:line="154"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“10,000 Years.” </w:t>
      </w:r>
      <w:r>
        <w:rPr>
          <w:rFonts w:ascii="Times New Roman" w:cs="Times New Roman" w:eastAsia="Times New Roman" w:hAnsi="Times New Roman"/>
          <w:sz w:val="18"/>
          <w:szCs w:val="18"/>
          <w:color w:val="auto"/>
        </w:rPr>
        <w:t>To achieve long-term success, we must plan and act with the end goal in mind. We value the symbolism of the term “10,000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(the literal translation of the Japanese word “Banzai”), because it reminds us that we’re building for the future—to something greater than what we see today—and that each day we’re contributing toward that vision.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lease office space for our principal executive office located at 435 Ericksen Ave NE, Suite 250, Bainbridge Island, WA 98110. As of December 31, 2025, this space consists of approximately 2,000 square feet and the lease expires in October 2027. As a remote-first organization, we believe this facility is adequate and suitable for our current and anticipated future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we may be party to litigation and subject to claims incident to the ordinary course of our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flows, or financial position. We are not presently party to any legal proceedings that, in the opinion of management, if determined adversely to us, would individually or taken together have a material adverse effect on our business, operating results, financial condition, or cash flows. However, we are involved in the following matters: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Banzai Shah v. Banzai, et al. Litigation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together with certain affiliated entities and individual defendants, is named in an action commenced by Hitesh Shah in the Superior Court of California, County of Santa Clara, Case No. 26CV501827. The action arises from disputes involving ConnectAndSell, Inc. and related corporate and employment matters. Plaintiff subsequently filed a First Amended Complaint asserting additional claims, including claims under the federal Racketeer Influenced and Corrupt Organizations Act (“RICO”). The action was subsequently removed to the United States District Court for the Northern District of California, Case No. 5:26-cv-12369. Plaintiff previously sought emergency injunctive relief through an application for a Temporary Restraining Order (“TRO”), which was denied. However, Plaintiff’s request for a preliminary injunction remains pending. The Court has established a briefing schedule requiring Defendants to file their responses by November 10, 2026, and Plaintiff to file his reply by November 17, 2026. On October 29, 2026, the Company and certain individual defendants filed a Motion to Dismiss challenging the legal sufficiency of Plaintiff’s claims. That motion also remains pending. The Company disputes the allegations and intends to vigorously defend against the claims. The litigation remains in its preliminary stages, and no determination has been made regarding the merits of Plaintiff’s claims. At this stage, given the preliminary nature of the proceedings and the uncertainties inherent in litigation, counsel is unable to reasonably estimate the likelihood of an unfavorable outcome or the amount or range of any potential loss.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Buckheit, et al. v. Banzai, et al. – Books and Records Proceeding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named as a respondent in a books-and-records proceeding commenced by Jonathan B. Buckheit and Florence Ventures LLC in the Superior Court of California, County of Santa Clara, Case No. 26CV501477. The petition seeks inspection of certain corporate books and records of ConnectAndSell, Inc. pursuant to California and Delaware corporate law. Petitioners allege that the Company acquired substantially all of ConnectAndSell’s assets and seek to impose obligations on the Company under theories of successor liability and alter ego. The Company disputes that it has any independent obligation to provide the requested corporate records and intends to file a Demurrer challenging the legal sufficiency of the petition. The Company’s response is due November 6, 2026. The proceeding remains in its preliminary stages, and no determination has been made regarding the merits of Petitioners’ claims against the Company. The proceeding principally seeks access to corporate records rather than monetary damages. Given the preliminary nature of the proceedings and the uncertainties inherent in litigation, counsel is unable to reasonably estimate the likelihood of an unfavorable outcome or the amount or range of any potential loss.</w:t>
      </w:r>
    </w:p>
    <w:p>
      <w:pPr>
        <w:sectPr>
          <w:pgSz w:w="11900" w:h="16838" w:orient="portrait"/>
          <w:cols w:equalWidth="0" w:num="1">
            <w:col w:w="11240"/>
          </w:cols>
          <w:pgMar w:left="320" w:top="229" w:right="339" w:bottom="501"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501"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file with, or furnish to, the SEC reports, including our annual report on Form 10-K, quarterly reports on Form 10-Q, current reports on Form 8-K and amendments to those reports pursuant to Section 13(a) or 15(d) of the Exchange Act. These reports are available free of charge via EDGAR through the SEC website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 and are also available free of charge on our corporate website (</w:t>
      </w:r>
      <w:r>
        <w:rPr>
          <w:rFonts w:ascii="Times New Roman" w:cs="Times New Roman" w:eastAsia="Times New Roman" w:hAnsi="Times New Roman"/>
          <w:sz w:val="18"/>
          <w:szCs w:val="18"/>
          <w:i w:val="1"/>
          <w:iCs w:val="1"/>
          <w:u w:val="single" w:color="auto"/>
          <w:color w:val="auto"/>
        </w:rPr>
        <w:t>https://ir.banzai.io/financial-information/sec-filings</w:t>
      </w:r>
      <w:r>
        <w:rPr>
          <w:rFonts w:ascii="Times New Roman" w:cs="Times New Roman" w:eastAsia="Times New Roman" w:hAnsi="Times New Roman"/>
          <w:sz w:val="18"/>
          <w:szCs w:val="18"/>
          <w:color w:val="auto"/>
        </w:rPr>
        <w:t>) as soon as reasonably practicable after they are electronically filed with or furnished to the SEC. The foregoing website addresses are provided as inactive textual references only. The information provided on our website (or any other website referred to in this prospectus) is not part of this prospectus and is not incorporated by reference as part of this prospectus.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as of the date of this prospectus, the name, age, and position of each director and executive officer: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0" w:type="dxa"/>
            <w:vAlign w:val="bottom"/>
          </w:tcPr>
          <w:p>
            <w:pPr>
              <w:spacing w:after="0"/>
              <w:rPr>
                <w:sz w:val="20"/>
                <w:szCs w:val="20"/>
                <w:color w:val="auto"/>
              </w:rPr>
            </w:pPr>
          </w:p>
        </w:tc>
      </w:tr>
      <w:tr>
        <w:trPr>
          <w:trHeight w:val="432"/>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640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Davy</w:t>
            </w: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2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Chairman and 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Dean Ditto</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Simon Baumer</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Leeney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Mason Ward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Paula Boggs</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Schofield</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2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 Biographies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Joseph Davy </w:t>
      </w:r>
      <w:r>
        <w:rPr>
          <w:rFonts w:ascii="Times New Roman" w:cs="Times New Roman" w:eastAsia="Times New Roman" w:hAnsi="Times New Roman"/>
          <w:sz w:val="18"/>
          <w:szCs w:val="18"/>
          <w:color w:val="auto"/>
        </w:rPr>
        <w:t>serves as our Chief Executive Officer and Chairman of our Board, and prior to the Business Combination, served as Chief Executive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and as a member the Board of Legacy Banzai since co-founding Legacy Banzai in 2015. Prior to co-founding Legacy Banzai, Mr. Davy served as the General Manager at Avalara from 2013 to 2016. From 2012 to 2013, he served as Chief Executive Officer of Buystand. From 2012 to 2013, he also served as Customer Advisory Board Member at Microsoft Corp. Mr. Davy founded EvoApp in 2009 and served as its Chief Executive Officer and Chief Product Officer from 2009 to 2012. Prior to his service at EvoApp, Mr. Davy was a software engineer at International Business Machines Corp (IBM). Mr. Davy also served as a member of the board of directors of Legalpad Inc. from 2019 to 2022. Prior to joining IBM, Mr. Davy attended the University of North Carolina at Chapel Hill from 2007 to 2010. We believe Mr. Davy is qualified to serve on the Board due to his extensive venture capital experience and experience as founder and chief executive officer of Legacy Banzai.</w:t>
      </w:r>
    </w:p>
    <w:p>
      <w:pPr>
        <w:spacing w:after="0" w:line="18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Dean Ditto </w:t>
      </w:r>
      <w:r>
        <w:rPr>
          <w:rFonts w:ascii="Times New Roman" w:cs="Times New Roman" w:eastAsia="Times New Roman" w:hAnsi="Times New Roman"/>
          <w:sz w:val="18"/>
          <w:szCs w:val="18"/>
          <w:color w:val="auto"/>
        </w:rPr>
        <w:t>serves as our Chief Financial Officer. Prior to joining Parabolic, Mr. Ditto served in various CFO roles leading finance, capital markets,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and reporting teams. Mr. Ditto served as the co-founder and Chief Financial Officer for Delta CXO LLC., from February 2024 to July 2025. From April 2022 to February 2024 Mr. Ditto served as the Chief Financial Officer for Akerna Corp. From December 2020 to August 2022 Mr. Ditto served as the Chief Financial Officer for Mydecine Innovations Group, Inc. From June 2019 to September 2020 Mr. Ditto served as the Chief Financial Officer for Sigue Corporation. Mr. Ditto attended Albion College from 1984 to 1988 where he received his Bachelors in Economics and Management, and then attended Indiana University’s Kelley School of Business from 1991 to 1993 where he received his M.B.A in Finance.</w:t>
      </w:r>
    </w:p>
    <w:p>
      <w:pPr>
        <w:spacing w:after="0" w:line="18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Simon Baumer </w:t>
      </w:r>
      <w:r>
        <w:rPr>
          <w:rFonts w:ascii="Times New Roman" w:cs="Times New Roman" w:eastAsia="Times New Roman" w:hAnsi="Times New Roman"/>
          <w:sz w:val="18"/>
          <w:szCs w:val="18"/>
          <w:color w:val="auto"/>
        </w:rPr>
        <w:t>serves as our Chief Technology Officer and prior to this, served as Legacy Banzai’s Chief Technology Officer since 2021. Prior to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Baumer worked at Verivox GmbH as Vice President of Engineering from 2018 to 2021, as Head of Software Development from 2016 to 2021, and as Teamlead for Software Development from 2015 to 2021. Mr. Baumer attended Heidelberg University from 2007 to 2013 where he received his Masters degree in Computer Science.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 Biographies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Jack Leeney </w:t>
      </w:r>
      <w:r>
        <w:rPr>
          <w:rFonts w:ascii="Times New Roman" w:cs="Times New Roman" w:eastAsia="Times New Roman" w:hAnsi="Times New Roman"/>
          <w:sz w:val="18"/>
          <w:szCs w:val="18"/>
          <w:color w:val="auto"/>
        </w:rPr>
        <w:t>has served as a member of the Board since 2023 and prior to this, served as 7GC’s Chairman and Chief Executive Officer since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inception. Since September 2016, Mr. Leeney has served as a Founding Partner of 7GC &amp; Co Sarl and is responsible for running the firm’s operations. Mr. Leeney led the firm’s investments in Cheddar TV, Capsule Pharmacy, hims &amp; hers, Jyve, Roofstock, The Mom Project, and Reliance Jio. Since 2020, he has served as a director for The Mom Project. From December 2020 to November 2022, he served as a director of PTIC, a SPAC that closed an initial business combination with RW National Holdings, LLC (d/b/a Appreciate), the parent holding company of Renters Warehouse, in November 2022. Between April 2011 and December 2016, Mr. Leeney served on the boards of directors of Quantenna Communications, Inc. (Nasdaq: QTNA), DoAt Media Ltd. (Private), CinePapaya (acquired by Comcast), Joyent (acquired by Samsung), BOKU, Inc. (AIM: BOKU), Eventful (acquired by CBS) and Blueliv (Private). Previously, Mr. Leeney served as the Head of U.S. Investing for Telefonica Ventures, the investment arm of Telefonica (NYSE: TEF), between June 2012 and September 2016 and as an investor at Hercules Capital (NYSE: HTGC) between May 2011 and June 2012. He began his career as a technology-focused investment banker at Morgan Stanley in 2007, where he worked on the initial public offerings for Tesla Motors, LinkedIn, and Pandora. Mr. Leeney holds a B.S. from Syracuse University. We believe Mr. Leeney is qualified to serve on the Board due to his extensive venture capital experience.</w:t>
      </w:r>
    </w:p>
    <w:p>
      <w:pPr>
        <w:spacing w:after="0" w:line="19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Mason Ward </w:t>
      </w:r>
      <w:r>
        <w:rPr>
          <w:rFonts w:ascii="Times New Roman" w:cs="Times New Roman" w:eastAsia="Times New Roman" w:hAnsi="Times New Roman"/>
          <w:sz w:val="18"/>
          <w:szCs w:val="18"/>
          <w:color w:val="auto"/>
        </w:rPr>
        <w:t>has served as a member of the Board since December 2023, and prior to this, has served as the Chief Financial Officer of Alco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Company since 2018, and served as its Controller and Finance Director from 2015 to 2018. Prior to joining Alco, Mr. Ward served as an Infantry Officer in multiple operations, logistics, risk management and fiscal operations roles during two deployments to Afghanistan with the United States Army. Mr. Ward holds a B.S. in Civil Engineering from the University of Cincinnati and a Certificate in Accounting and a Masters in Business Administration from the University of Washington, and he is also a certified public accountant (inactive). We believe Mr. Ward is qualified to serve on the Board due to his extensive finance and accounting expertise and experience.</w:t>
      </w:r>
    </w:p>
    <w:p>
      <w:pPr>
        <w:spacing w:after="0" w:line="18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Paula Boggs </w:t>
      </w:r>
      <w:r>
        <w:rPr>
          <w:rFonts w:ascii="Times New Roman" w:cs="Times New Roman" w:eastAsia="Times New Roman" w:hAnsi="Times New Roman"/>
          <w:sz w:val="18"/>
          <w:szCs w:val="18"/>
          <w:color w:val="auto"/>
        </w:rPr>
        <w:t>has served as a member of the Board since December 2023, and prior to this, is the founder and owner of Boggs Media,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manages Ms. Boggs’ musical, public speaking, and other creative business endeavors. A former executive at the Starbucks Coffee Company, she led the global law department of Starbucks from 2002 to 2012 and was Corporate Secretary of the Starbucks Foundation. Prior to that, Ms. Boggs was a Vice President of Legal for products, operations and information technology at Dell Computer Corporation from 1997 to 2002 and also held the role of Senior Deputy General Counsel starting in June 1997. Before joining Dell, Ms. Boggs was a partner with the law firm of Preston Gates &amp; Ellis LLP from 1995 to 1997. Ms. Boggs is also a voting member and Pacific Northwest Chapter Governor of the Recording Academy, and serves on the Newport Festivals Foundation board, overseeing both the Newport Jazz Festival and Newport Folk Festival. She was previously on the board of Fender; a member of the Board of Premera Blue Cross and chair of its compensation and investments committees; a member of the Nominating/Trusteeship, Audit/Compliance (including six years as the chair of the audit committee) and Executive Committees of Johns Hopkins University’s board of trustees; a member of the Executive Committee of KEXP Radio, an affiliate of National Public Radio and the University of Washington; a member of the audit committee for School of Rock LLC; a member of the American Bar Association board of governors, chairing its investments committee; a member of the President’s Committee for the Arts and the Humanities from 2013 through 2017; a member of the White House Council for Community Solutions from 2010 to 2012; a member of the audit and nominating committee of the American Red Cross; and a member of the board of Sterling Financial Inc. Ms. Boggs holds a B.A. from Johns Hopkins University and a J.D. from the University of California at Berkeley. We believe Ms. Boggs is qualified to serve on the Board due to her extensive governance and Fortune 500 experience with high-growth companies.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Kent Schofield </w:t>
      </w:r>
      <w:r>
        <w:rPr>
          <w:rFonts w:ascii="Times New Roman" w:cs="Times New Roman" w:eastAsia="Times New Roman" w:hAnsi="Times New Roman"/>
          <w:sz w:val="18"/>
          <w:szCs w:val="18"/>
          <w:color w:val="auto"/>
        </w:rPr>
        <w:t>holds a bachelor’s degree in economics from UCLA and has a distinguished career in finance and corporate development.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2010 to June 2015, he worked for Goldman Sachs, where he served as Vice President and lead equity analyst covering technology companies in the software and hardware industries. Following Goldman Sachs, Mr. Schofield spent 5 years at Uber, from April 2017 to September 2021, in various positions including Director of Investor Relations and Corporate Development. At Uber, Mr. Schofield was one of four Uber representatives for the company’s $8.1 billion IPO roadshow; he also served as a Director of Strategic Finance at Uber. Since December 2022, Mr. Schofield has been serving as the Chief Financial Officer of Welcome Tech, a leading provider of immigrant and hourly employee subscription services. We believe Mr. Schofield is qualified to serve on the Board due to his extensive public market investing and financial experience.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One of the key functions of the Board is informed oversight of the Company’s risk management process. The Board does not currently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(the “Audit Committee”) has the responsibility to consider and discuss the Company’s major financial risk exposures and the steps its management will take to monitor and control such exposures, including guidelines and policies to govern the process by which risk assessment and management is undertaken. The Company’s audit committee also monitors compliance with legal and regulatory requirements. The Company’s compensation committee (the “Compensation Committee”) assesses and monitors whether the Company’s compensation plans, policies and programs comply with applicable legal and regulatory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the Board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business and affairs is managed under the direction of the Board. The Board currently consists of five members, with Joseph Davy serving as Chairman of the Board. The primary responsibilities of the Board are to provide oversight, strategic guidance, counseling, and direction to the Company’s management. The Board meets on a regular basis and additionally as required.</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accordance with the terms of the Charter, the Board is divided into three classes, Class I, Class II and Class III, with only one class of directors being elected in each year and each class serving a three-year term. The Class I directors are elected to an initial one-year term (and three-year terms subsequently), the Class II directors are elected to an initial two-year term (and three-year terms subsequently) and the Class III directors are elected to an initial three-year term (and three-year terms subsequently). There is no cumulative voting with respect to the election of directors, with the result that the holders of more than 50% of the shares voted for the election of directors can elect all of the directors.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is divided into the following classes:</w:t>
      </w:r>
    </w:p>
    <w:p>
      <w:pPr>
        <w:spacing w:after="0" w:line="225" w:lineRule="exact"/>
        <w:rPr>
          <w:sz w:val="20"/>
          <w:szCs w:val="20"/>
          <w:color w:val="auto"/>
        </w:rPr>
      </w:pPr>
    </w:p>
    <w:p>
      <w:pPr>
        <w:ind w:left="66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which consists of Joseph Davy and Kent Schofield, whose terms will expire at the Company’s annual meeting of stockholders to be held in 2027;</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which consists of Mason Ward, whose term will expire at the Company’s annual meeting of stockholders to be held in 2028;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which consists of Paula Boggs and Jack Leeney, whose terms will expire at the Company’s annual meeting of stockholders to be held in 2026.</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each annual meeting of stockholders,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Company’s control or management. Directors may be removed for cause by the affirmative vote of the holders of at least 66 2/3% of the voting power of all outstanding shares of capital stock of the Company entitled to vote at an election of directors, voting together as a single class.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Board has determined that each of our directors other than Mr. Davy qualify as independent directors, as defined under the listing rules of Nasdaq (the “Nasdaq listing rules”), and that the Board consists of a majority of “independent directors,” as defined under the rules of the SEC and Nasdaq listing rules relating to director independence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 and Committee Composition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Board has three standing committees: the audit committee, the compensation committee and the nominating and corporate governance committee. Each committee operates under a written charter that has been approved by the Board and satisfies the applicable listing standards of Nasdaq. Written copies of these committee charters may be obtained by contacting our Investor Relations Department at 435 Ericksen Ave NE, Suite 250, Bainbridge Island, WA 98110. These documents are also available on the Corporate Governance section of our website at </w:t>
      </w:r>
      <w:r>
        <w:rPr>
          <w:rFonts w:ascii="Times New Roman" w:cs="Times New Roman" w:eastAsia="Times New Roman" w:hAnsi="Times New Roman"/>
          <w:sz w:val="18"/>
          <w:szCs w:val="18"/>
          <w:i w:val="1"/>
          <w:iCs w:val="1"/>
          <w:u w:val="single" w:color="auto"/>
          <w:color w:val="auto"/>
        </w:rPr>
        <w:t>https://ir.banzai.io/corporate-governance/governance-overview</w:t>
      </w:r>
      <w:r>
        <w:rPr>
          <w:rFonts w:ascii="Times New Roman" w:cs="Times New Roman" w:eastAsia="Times New Roman" w:hAnsi="Times New Roman"/>
          <w:sz w:val="18"/>
          <w:szCs w:val="18"/>
          <w:u w:val="single" w:color="auto"/>
          <w:color w:val="auto"/>
        </w:rPr>
        <w: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Chair of each committee reviews and discusses the agendas and materials for meetings with senior management in advance of distribution to the other committee members, and reports to the Board on actions taken at each committee meeting. The following table sets forth the current membership of each committee.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 and</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16"/>
        </w:trPr>
        <w:tc>
          <w:tcPr>
            <w:tcW w:w="5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r>
      <w:tr>
        <w:trPr>
          <w:trHeight w:val="23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Committee</w:t>
            </w:r>
          </w:p>
        </w:tc>
      </w:tr>
      <w:tr>
        <w:trPr>
          <w:trHeight w:val="209"/>
        </w:trPr>
        <w:tc>
          <w:tcPr>
            <w:tcW w:w="5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Davy</w:t>
            </w:r>
          </w:p>
        </w:tc>
        <w:tc>
          <w:tcPr>
            <w:tcW w:w="22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Jack Leeney</w:t>
            </w: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Mason Ward</w:t>
            </w:r>
          </w:p>
        </w:tc>
        <w:tc>
          <w:tcPr>
            <w:tcW w:w="1920" w:type="dxa"/>
            <w:vAlign w:val="bottom"/>
            <w:gridSpan w:val="2"/>
            <w:shd w:val="clear" w:color="auto" w:fill="CCEEFF"/>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19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Chair</w:t>
            </w:r>
          </w:p>
        </w:tc>
        <w:tc>
          <w:tcPr>
            <w:tcW w:w="1680" w:type="dxa"/>
            <w:vAlign w:val="bottom"/>
            <w:shd w:val="clear" w:color="auto" w:fill="CCEE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Paula Boggs</w:t>
            </w:r>
          </w:p>
        </w:tc>
        <w:tc>
          <w:tcPr>
            <w:tcW w:w="1920" w:type="dxa"/>
            <w:vAlign w:val="bottom"/>
            <w:gridSpan w:val="2"/>
          </w:tcPr>
          <w:p>
            <w:pPr>
              <w:jc w:val="center"/>
              <w:ind w:right="240"/>
              <w:spacing w:after="0" w:line="181" w:lineRule="exact"/>
              <w:rPr>
                <w:sz w:val="20"/>
                <w:szCs w:val="20"/>
                <w:color w:val="auto"/>
              </w:rPr>
            </w:pPr>
            <w:r>
              <w:rPr>
                <w:rFonts w:ascii="MS PGothic" w:cs="MS PGothic" w:eastAsia="MS PGothic" w:hAnsi="MS PGothic"/>
                <w:sz w:val="18"/>
                <w:szCs w:val="18"/>
                <w:color w:val="auto"/>
                <w:w w:val="88"/>
              </w:rPr>
              <w:t>☑</w:t>
            </w:r>
          </w:p>
        </w:tc>
        <w:tc>
          <w:tcPr>
            <w:tcW w:w="1900" w:type="dxa"/>
            <w:vAlign w:val="bottom"/>
            <w:gridSpan w:val="2"/>
          </w:tcPr>
          <w:p>
            <w:pPr>
              <w:jc w:val="center"/>
              <w:ind w:right="220"/>
              <w:spacing w:after="0" w:line="181" w:lineRule="exact"/>
              <w:rPr>
                <w:sz w:val="20"/>
                <w:szCs w:val="20"/>
                <w:color w:val="auto"/>
              </w:rPr>
            </w:pPr>
            <w:r>
              <w:rPr>
                <w:rFonts w:ascii="MS PGothic" w:cs="MS PGothic" w:eastAsia="MS PGothic" w:hAnsi="MS PGothic"/>
                <w:sz w:val="18"/>
                <w:szCs w:val="18"/>
                <w:color w:val="auto"/>
                <w:w w:val="88"/>
              </w:rPr>
              <w:t>☑</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w:t>
            </w:r>
          </w:p>
        </w:tc>
      </w:tr>
      <w:tr>
        <w:trPr>
          <w:trHeight w:val="216"/>
        </w:trPr>
        <w:tc>
          <w:tcPr>
            <w:tcW w:w="5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Schofield</w:t>
            </w:r>
          </w:p>
        </w:tc>
        <w:tc>
          <w:tcPr>
            <w:tcW w:w="19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Chair</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Audit Committee consists of Kent Schofield, who serves as the chairperson, Mason Ward, and Paula Boggs. Each member qualifies as an independent director under the Nasdaq corporate governance standards, and that each of Ms. Boggs and Mr. Schofield qualifies as independent under the independence requirements of Rule 10A-3 of the Exchange Act. In arriving at this determination, the Board examined each audit committee member’s scope of experience and the nature of their prior and/or current employment.</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Board determined that Mr. Schofield qualifies as an “audit committee financial expert” as such term is defined in Item 407(d)(5) of Regulation S-K and possesses financial sophistication, as defined under the rules of Nasdaq. In making this determination, the Board considered Mr. Schofield: understanding of generally accepted accounting principles and financial statements, ability to assess the general application of such principles in connection with the accounting for estimates, accruals and reserves; experience in actively supervising one or more persons engaged in preparing, auditing, analyzing or evaluating financial statements that present a breadth and level of complexity of accounting issues generally comparable to the breadth and complexity of issues that can reasonably be expected to be raised by the Company’s financial statements; understanding of internal control over financial reporting; and understanding of audit committee functions. We are relying on the phase-in exemption provided under Rule 10A-3 of the Exchange Act and the Nasdaq rules. While we believe Mr. Ward may be deemed to own in excess of 10% of our Common Stock, a class of voting securities, as of the date of this prospectus, which would leave him outside the safe harbor provision of SEC Rule 10A-3, Mr. Ward will serve on the Audit Committee under the phase-in exemption referenced above. In accordance with the phase-in exemption, we expect that a majority of the members of our Audit Committee will satisfy the independence standards under the Exchange Act and Nasdaq listing rules within 90 days of the closing of the Business Combination and all members of our Audit Committee will satisfy the independence standards under the Exchange Act and Nasdaq listing rules within 12 months of the closing of the Business Combination.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oversight responsibilities of the Board with respect to our corporate accounting and financial reporting processes, systems of internal control over financial reporting, and financial statement audits, as well as the quality and integrity of the financial statements and reports and to oversee the qualifications, independence, and performance of our independent registered public accounting firm. The Audit Committee also provides oversight assistance in connection with legal, risk, regulatory, and ethical compliance programs established by management and the Board. Specific responsibilities of the Audit Committee include:</w:t>
      </w:r>
    </w:p>
    <w:p>
      <w:pPr>
        <w:spacing w:after="0" w:line="18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its corporate accounting and financial reporting processes;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adequacy and effectiveness of our disclosure controls and procedures;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with design and implementation of our risk assessment functions;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procedures for employees to submit concerns anonymously about questionable accounting or audit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as permitted, pre-approving, audit and permissible non-audit services to be performed by the independent registered public accounting firm.</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Compensation Committee consists of Mason Ward, who serves as the chairperson and Paula Boggs. Each member is independent under the listing standards of Nasdaq, and a “non-employee director” as defined in Rule 16b-3 promulgated under the Exchange Act. An additional member will be appointed in the near future.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Compensation Committee will be to discharge the responsibilities of the Board in overseeing the Company’s compensation policies, plans, and programs and to review, approve, and/or recommend the compensation to be paid to its executive officers, directors, and other senior management, as appropriate. Specific responsibilities of the Compensation Committee include:</w:t>
      </w:r>
    </w:p>
    <w:p>
      <w:pPr>
        <w:spacing w:after="0" w:line="17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Company’s Board the compensation of the Chief Executive Officer and other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the compensation of the Company’s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the Company’s equity incentive plans and other benefit programs;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right="2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adopting, amending and terminating incentive compensation and equity plans, severance agreements, profit sharing plans, bonus plans, change-of-control protections and any other compensatory arrangements for the Company’s executive officers and other senior management;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general policies relating to compensation and benefits of the Company’s employees, including the Company’s overall compensation philosophy;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Chief Executive Officer the succession plans for the Company’s executive officers.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consists of Paula Boggs, who serves as the chairperson and Mason Ward. Each member is independent under the listing standards of Nasdaq, which is discussed below.</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Specific responsibilities of the Nominating and Corporate Governance Committee include:</w:t>
      </w:r>
    </w:p>
    <w:p>
      <w:pPr>
        <w:spacing w:after="0" w:line="225" w:lineRule="exact"/>
        <w:rPr>
          <w:sz w:val="20"/>
          <w:szCs w:val="20"/>
          <w:color w:val="auto"/>
        </w:rPr>
      </w:pPr>
    </w:p>
    <w:p>
      <w:pPr>
        <w:ind w:left="66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evaluating candidates, including the nomination of incumbent directors for reelection and nominees recommended by stockholders, to serve on the Board;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and making recommendations to the Board regarding the composition and chairmanship of the committees of the Board;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Chief Executive Officer the plans for succession to the offices of the Company’s executive officers and make recommendations to the Board with respect to the selection of appropriate individuals to succeed to these positions;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making recommendations to the Board regarding corporate governance guidelines and matters;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periodic evaluations of the Board’s performance, including committees of the Board.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We have a code of business conduct and ethics (the “Code of Conduct”) that applies to our directors, officers, and employees, including our principal executive officer, principal financial officer, principal accounting officer or controller, or persons performing similar functions. We will provide, without charge, a copy of our Code of Conduct upon written request mailed to the attention of our Investor Relations Department at 435 Ericksen Ave NE, Suite 250, Bainbridge Island, WA 98110. Our Code of Conduct is available under the Corporate Governance section of our website at </w:t>
      </w:r>
      <w:r>
        <w:rPr>
          <w:rFonts w:ascii="Times New Roman" w:cs="Times New Roman" w:eastAsia="Times New Roman" w:hAnsi="Times New Roman"/>
          <w:sz w:val="18"/>
          <w:szCs w:val="18"/>
          <w:i w:val="1"/>
          <w:iCs w:val="1"/>
          <w:u w:val="single" w:color="auto"/>
          <w:color w:val="auto"/>
        </w:rPr>
        <w:t>https://ir.banzai.io/corporate-governance/governance-overview</w:t>
      </w:r>
      <w:r>
        <w:rPr>
          <w:rFonts w:ascii="Times New Roman" w:cs="Times New Roman" w:eastAsia="Times New Roman" w:hAnsi="Times New Roman"/>
          <w:sz w:val="18"/>
          <w:szCs w:val="18"/>
          <w:color w:val="auto"/>
        </w:rPr>
        <w:t>.We will post on our website all disclosures that are required by law or the listing standards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prospectus.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Charter eliminates each director’s liability for monetary damages for breaches of fiduciary duty as a director, except to the extent prohibited by law, unless a director violated his or her duty of loyalty to the Company or its stockholders, acted in bad faith, knowingly or intentionally violated the law, authorized unlawful payments of dividends, unlawful stock purchases or unlawful redemptions, or derived improper personal benefit from his or her actions as a director. The Charter eliminates directors’ liability for monetary damages to the fullest extent permitted by applicable law. Our Charter requires the Company to indemnify and advance expenses to, to the fullest extent permitted by applicable law, its directors, officers, and agents and prohibit any retroactive changes to the rights or protections or increase the liability of any director in effect at the time of the alleged occurrence of any act or omission to act giving rise to liability or indemnification. We believe these provisions in our Charter are necessary to attract and retain qualified persons as directors and officers. However, these provisions may discourage stockholders from bringing a lawsuit against our directors for breach of their fiduciary duty. These provisions also may have the effect of reducing the likelihood of derivative litigation against directors and officers, even though such an action, if successful, might otherwise benefit us and our stockholders. Furthermore, a stockholder’s investment may be adversely affected to the extent we pay the costs of settlement and damage awards against directors and officers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Matters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29, 2024, we held a special meeting of shareholders (the “Special Meeting”) at which the shareholders approved a proposal to amend our Second Amended and Restated Certificate of Incorporation to effect a reverse stock split of our Class A Common Stock at a ratio of up to 1-for-50, with the final ratio and exact timing to be determined at the discretion of the Board of Directors (“Board”). On September 10, 2024, the Board determined to effect a reverse stock split at a ratio of 1-for-50 (the “September Reverse Stock Split”), effective September 19, 2024. Accordingly, we filed an amendment to our Second Amended and Restated Certificate of Incorporation with the Delaware Secretary of State, which is filed as Exhibit 3.3 to our 2025 Report for the year ended December 31, 2025. We subsequently effected a 1-for-10 reverse stock split of the shares of the Company’s Class A Common Stock, effective as of July 8, 2025 (the “July Reverse Stock Split”), a 1-for-20 reverse stock split of the shares of the Company’s Class A and Class B Common Stock, effective as of May 8, 2026 (the “May 2026 Reverse Stock Split”) and a 1-for-10 reverse stock split of the shares of the Company’s Class A and Class B Common Stock, effective as of October 27, 2026 (the “October 2026 Reverse Stock Split”).</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Due to prior noncompliance with certain Nasdaq listing rules, we had a hearing before The Nasdaq Hearings Panel (the “Nasdaq Panel”), on September 19, 2024. Following that hearing, the Nasdaq Panel determined to phase our Class A Common Stock down from The Nasdaq Global Market to Nasdaq. As of October 31, 2024, our Class A Common Stock began trading on Nasdaq, under the same symbol, PARA.</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18, 2024, we received a letter from Nasdaq stating that we had regained compliance with Nasdaq Listing Rule 5450(a)(1) (the “Minimum Bid Price Requirement”) by maintaining a minimum closing bid price of $1.00 or greater per share for the 10 consecutive business days, from September 19, 2024 through October 18, 2024, and that the Minimum Bid Price Requirement matter is now closed. We were still required to regain compliance with Listing Rule 5450(b)(2)(A) (the (“Market Value of Listed Securities”). On November 7, 2024, we received a letter from the staff at Nasdaq in relation to a letter from April 3, 2024, notifying us that, for the 10 consecutive trading days, from October 24, 2024 to November 6, 2024, our MVPHS had been $1,000,000 or greater, and accordingly Nasdaq determined that we had regained compliance with Listing Rule 5550(a)(5) (the equivalent of Listing Rule 5450(b)(2)(A) applicable to Nasdaq, to which our Class A Common Stock had been phased down as of October 31, 2024, and together with all the Listing Rules noted above, the “Nasdaq Rules”) and the matter was closed.</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12, 2025, we received a letter from the Nasdaq Stock Market LLC, Office of the General Counsel that Nasdaq’s Listing Qualifications staff confirmed that we had demonstrated compliance with all of The Nasdaq Stock Market’s listing requirements and therefore our securities remained listed on Nasdaq. Please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for more information.</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February 28, 2025, we held a special meeting of shareholders. In addition to other approvals, the shareholders approved an amendment to our Second Amended and Restated Certificate of Incorporation to permit stockholder action by written consent.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our 2025 Annual Shareholder Meeting held on January 15, 2026, shareholders approved a change to Section 3.5 of the Company’s Bylaws regarding quorum requirements such that the presence, in person, by remote communication, if applicable, or by duly authorized proxy, of the holders of 33.3% of the voting power of the then-outstanding shares of capital stock entitled to vote shall constitute a quorum for the transaction of business.</w:t>
      </w:r>
    </w:p>
    <w:p>
      <w:pPr>
        <w:spacing w:after="0" w:line="17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October 27, 2026, we received a notice from Nasdaq indicating that the Company was not in compliance with Nasdaq’s $1.00 minimum bid price requirement for 30 consecutive business days (the “Notice”). The Company’s 1-for-10 reverse stock split effected on July 8, 2025, 1-for-20 reverse stock split effected on May 8, 2026 and 1-for-10 reverse stock split effected on October 27, 2026 collectively resulted in a 1-for-2,000 reverse stock split ratio over the preceding two years. Due to these reverse stock splits, the Company is ineligible for the customary 180-day compliance period and received a Staff Delisting Determination. Accordingly, Nasdaq issued a Staff Delisting Determination in the Notice, notifying the Company that its securities are subject to delisting from Nasdaq. Following the Company’s timely request to appeal the Staff Delisting Determination, the determination has been stayed, pending a final decision by the Nasdaq Hearings Panel; a hearing is scheduled for December 3, 2026 at which the Company will present a plan to regain compliance. There can be no assurance that Nasdaq will accept the plan or that the Company will regain compliance or maintain its Nasdaq listing. If the Nasdaq Hearings Panel does not agree with the Company’s plan, the listing of our Common Stock will most likely be suspended or delisted. As of the date hereof, our Common Stock continues to trade on Nasdaq under the symbol “PARA.” (See Risk Factor – “</w:t>
      </w:r>
      <w:r>
        <w:rPr>
          <w:rFonts w:ascii="Times New Roman" w:cs="Times New Roman" w:eastAsia="Times New Roman" w:hAnsi="Times New Roman"/>
          <w:sz w:val="18"/>
          <w:szCs w:val="18"/>
          <w:b w:val="1"/>
          <w:bCs w:val="1"/>
          <w:i w:val="1"/>
          <w:iCs w:val="1"/>
          <w:color w:val="auto"/>
        </w:rPr>
        <w:t>Our stock is subject to requirements to remain listed on</w:t>
      </w:r>
    </w:p>
    <w:p>
      <w:pPr>
        <w:spacing w:after="0" w:line="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Nasdaq, including a minimum bid price requirement and stockholders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equity requirement, and may be delisted if it does not maintain or regain, as applicable, compliance with those requirements.”</w:t>
      </w:r>
      <w:r>
        <w:rPr>
          <w:rFonts w:ascii="Times New Roman" w:cs="Times New Roman" w:eastAsia="Times New Roman" w:hAnsi="Times New Roman"/>
          <w:sz w:val="18"/>
          <w:szCs w:val="18"/>
          <w:b w:val="1"/>
          <w:bCs w:val="1"/>
          <w:color w:val="auto"/>
        </w:rPr>
        <w: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named executive officers for the fiscal year ended December 31, 2025, consisting of our principal executive officer, principal financial officer and the next two most highly compensated executive officers, were:</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Davy, our Chief Executive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Dean Ditto, our Chief Financial Officer;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Simon Baumer, our Chief Technology Officer;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Kurtzman, our Chief Revenue Officer.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Summary Compensation 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compensation paid or awarded to our named executive officers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and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Deferred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00" w:type="dxa"/>
            <w:vAlign w:val="bottom"/>
          </w:tcPr>
          <w:p>
            <w:pPr>
              <w:spacing w:after="0"/>
              <w:rPr>
                <w:sz w:val="18"/>
                <w:szCs w:val="18"/>
                <w:color w:val="auto"/>
              </w:rPr>
            </w:pPr>
          </w:p>
        </w:tc>
        <w:tc>
          <w:tcPr>
            <w:tcW w:w="13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0" w:type="dxa"/>
            <w:vAlign w:val="bottom"/>
          </w:tcPr>
          <w:p>
            <w:pPr>
              <w:spacing w:after="0"/>
              <w:rPr>
                <w:sz w:val="18"/>
                <w:szCs w:val="18"/>
                <w:color w:val="auto"/>
              </w:rPr>
            </w:pPr>
          </w:p>
        </w:tc>
        <w:tc>
          <w:tcPr>
            <w:tcW w:w="134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0" w:type="dxa"/>
            <w:vAlign w:val="bottom"/>
          </w:tcPr>
          <w:p>
            <w:pPr>
              <w:spacing w:after="0"/>
              <w:rPr>
                <w:sz w:val="18"/>
                <w:szCs w:val="18"/>
                <w:color w:val="auto"/>
              </w:rPr>
            </w:pPr>
          </w:p>
        </w:tc>
        <w:tc>
          <w:tcPr>
            <w:tcW w:w="98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6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9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5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40" w:type="dxa"/>
            <w:vAlign w:val="bottom"/>
          </w:tcPr>
          <w:p>
            <w:pPr>
              <w:spacing w:after="0"/>
              <w:rPr>
                <w:sz w:val="18"/>
                <w:szCs w:val="18"/>
                <w:color w:val="auto"/>
              </w:rPr>
            </w:pPr>
          </w:p>
        </w:tc>
        <w:tc>
          <w:tcPr>
            <w:tcW w:w="7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8"/>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9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7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40" w:type="dxa"/>
            <w:vAlign w:val="bottom"/>
          </w:tcPr>
          <w:p>
            <w:pPr>
              <w:spacing w:after="0"/>
              <w:rPr>
                <w:sz w:val="20"/>
                <w:szCs w:val="20"/>
                <w:color w:val="auto"/>
              </w:rPr>
            </w:pPr>
          </w:p>
        </w:tc>
        <w:tc>
          <w:tcPr>
            <w:tcW w:w="7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p>
        </w:tc>
      </w:tr>
      <w:tr>
        <w:trPr>
          <w:trHeight w:val="191"/>
        </w:trPr>
        <w:tc>
          <w:tcPr>
            <w:tcW w:w="1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Joseph Davy – Chief</w:t>
            </w:r>
          </w:p>
        </w:tc>
        <w:tc>
          <w:tcPr>
            <w:tcW w:w="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34"/>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$ 350,000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$ 375,700(1) $</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125,000(1) $</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8,437(1)</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$ 859,137</w:t>
            </w:r>
          </w:p>
        </w:tc>
      </w:tr>
      <w:tr>
        <w:trPr>
          <w:trHeight w:val="198"/>
        </w:trPr>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Joseph Davy – Chief</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310,417</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500,000(2)</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29,700(3)</w:t>
            </w:r>
          </w:p>
        </w:tc>
        <w:tc>
          <w:tcPr>
            <w:tcW w:w="1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12,000(4)</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852,117</w:t>
            </w:r>
          </w:p>
        </w:tc>
      </w:tr>
      <w:tr>
        <w:trPr>
          <w:trHeight w:val="198"/>
        </w:trPr>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Simon Baumer –</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Technology</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Officer</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325,000</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148,635(5)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18,750(6)</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250(7)</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492,635</w:t>
            </w:r>
          </w:p>
        </w:tc>
      </w:tr>
      <w:tr>
        <w:trPr>
          <w:trHeight w:val="198"/>
        </w:trPr>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Simon Baumer –</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Technology</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291,223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7,425(3)</w:t>
            </w:r>
          </w:p>
        </w:tc>
        <w:tc>
          <w:tcPr>
            <w:tcW w:w="1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298,648</w:t>
            </w:r>
          </w:p>
        </w:tc>
      </w:tr>
      <w:tr>
        <w:trPr>
          <w:trHeight w:val="198"/>
        </w:trPr>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Dean Ditto – Chief</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 (8)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128,125</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100,000(5)</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25,000(6)</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10,042(9)</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263,167</w:t>
            </w:r>
          </w:p>
        </w:tc>
      </w:tr>
      <w:tr>
        <w:trPr>
          <w:trHeight w:val="198"/>
        </w:trPr>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Alvin Yip – former</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Interim Chief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Officer (8)</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241,500(10)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148,635(5)</w:t>
            </w: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12,500(6)</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270(11)</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402,905</w:t>
            </w:r>
          </w:p>
        </w:tc>
      </w:tr>
      <w:tr>
        <w:trPr>
          <w:trHeight w:val="198"/>
        </w:trPr>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Alvin Yip – former</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Chief</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 (8)</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220,833</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50,000(2)</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10,455(3)</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281,288</w:t>
            </w:r>
          </w:p>
        </w:tc>
      </w:tr>
      <w:tr>
        <w:trPr>
          <w:trHeight w:val="198"/>
        </w:trPr>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Michael Kurtzman –</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Revenue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(12)</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154,375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56,250(13)</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225,000(5)</w:t>
            </w: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250(7)</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435,875</w:t>
            </w:r>
          </w:p>
        </w:tc>
      </w:tr>
      <w:tr>
        <w:trPr>
          <w:trHeight w:val="198"/>
        </w:trPr>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Mark Musburger –</w:t>
            </w: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former Chief</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106,714</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125,000(15)</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231,714</w:t>
            </w:r>
          </w:p>
        </w:tc>
      </w:tr>
      <w:tr>
        <w:trPr>
          <w:trHeight w:val="198"/>
        </w:trPr>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Ashley Levesque –</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former Vice</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President of</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(16)</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78,750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3,150(4)</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81,900</w:t>
            </w:r>
          </w:p>
        </w:tc>
      </w:tr>
    </w:tbl>
    <w:p>
      <w:pPr>
        <w:spacing w:after="0" w:line="198" w:lineRule="exact"/>
        <w:rPr>
          <w:sz w:val="20"/>
          <w:szCs w:val="20"/>
          <w:color w:val="auto"/>
        </w:rPr>
      </w:pPr>
    </w:p>
    <w:p>
      <w:pPr>
        <w:jc w:val="both"/>
        <w:ind w:left="660" w:hanging="652"/>
        <w:spacing w:after="0" w:line="253"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Stock Awards amount includes the aggregate grant date fair value of an equity award with market conditions to Mr. Davy during the year ended December 31, 2025 under the 2023 Equity Incentive Plan determined in accordance with ASC Topic 718.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to our consolidated financial statements included in this Registration Statement. These amounts do not reflect the actual 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that may be realized by the named executive officer. The Non-Equity Incentive Compensation Plan is described in “2025 Bonuses” below. The All Other Compensation amount consists of Company-match 401(k) plan contributions of $8,167, a home office stipend of $250, and a miscellaneous bonus of $20.</w:t>
      </w:r>
    </w:p>
    <w:p>
      <w:pPr>
        <w:spacing w:after="0" w:line="5" w:lineRule="exact"/>
        <w:rPr>
          <w:rFonts w:ascii="Times New Roman" w:cs="Times New Roman" w:eastAsia="Times New Roman" w:hAnsi="Times New Roman"/>
          <w:sz w:val="18"/>
          <w:szCs w:val="18"/>
          <w:color w:val="auto"/>
        </w:rPr>
      </w:pPr>
    </w:p>
    <w:p>
      <w:pPr>
        <w:jc w:val="both"/>
        <w:ind w:left="660" w:hanging="652"/>
        <w:spacing w:after="0" w:line="253" w:lineRule="auto"/>
        <w:tabs>
          <w:tab w:leader="none" w:pos="6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amounts include the aggregate grant date fair value of RSU awards to our named executive officers during the year ended December 31, 2024 under the 2023 Equity Incentive Plan (Mr. Davy: $500,000; Mr. Yip: $50,000) determined in accordance with ASC Topic 718.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to our consolidated financial statements included in this Registration Statement. These amounts do not reflect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actual economic value that may be realized by the named executive officer.</w:t>
      </w:r>
    </w:p>
    <w:p>
      <w:pPr>
        <w:sectPr>
          <w:pgSz w:w="11900" w:h="16838" w:orient="portrait"/>
          <w:cols w:equalWidth="0" w:num="1">
            <w:col w:w="11240"/>
          </w:cols>
          <w:pgMar w:left="320" w:top="229" w:right="339" w:bottom="920" w:gutter="0" w:footer="0" w:header="0"/>
        </w:sectPr>
      </w:pP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92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hanging="652"/>
        <w:spacing w:after="0" w:line="255"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amounts include the aggregate grant date fair value of stock options granted to our named executive officers during the year ended December 31, 2024 under the 2023 Equity Incentive Plan (Mr. Davy: $29,700; Mr. Baumer: $7,425; and Mr. Yip: $10,455) determined in accordance with ASC Topic 718. See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our consolidated financial statements included in this Registration Statement. These amounts do not reflect the actual economic value that may be realized by the named executive officer.</w:t>
      </w:r>
    </w:p>
    <w:p>
      <w:pPr>
        <w:spacing w:after="0" w:line="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Company-match 401(k) plan contributions.</w:t>
      </w:r>
    </w:p>
    <w:p>
      <w:pPr>
        <w:spacing w:after="0" w:line="9"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These amounts consist of the aggregate grant date fair value of RSU awards to our named executive officers during the year ended December 31, 2025 under the 2023 Equity Incentive Plan (Mr. Baumer: $148,635; Mr. Ditto: $100,000; Mr. Kurtzman: $225,000; and Mr. Yip: $148,635) determined in accordance with ASC Topic 718. </w:t>
      </w:r>
      <w:r>
        <w:rPr>
          <w:rFonts w:ascii="Times New Roman" w:cs="Times New Roman" w:eastAsia="Times New Roman" w:hAnsi="Times New Roman"/>
          <w:sz w:val="18"/>
          <w:szCs w:val="18"/>
          <w:i w:val="1"/>
          <w:iCs w:val="1"/>
          <w:color w:val="auto"/>
        </w:rPr>
        <w:t>Note 16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to our consolidated financial statements included in this Registration Statement. These amounts do not reflect the actual economic value that may be realized by the named executive officer.</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annual cash incentive bonuses, as further described in “2025 Bonuses.”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home office stipend.</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 2025, Mr. Ditto was appointed as our Chief Financial Officer, as further described in “2025 Compensation Update.” Mr. Ditto replaced Mr. Yip who had served as our interim Chief Financial Officer since June 14, 2024.</w:t>
      </w: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consists of Company-match 401(k) plan contributions of $5,042 and a temporary housing allowance of $5,000.</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2024, the Board approved increasing Mr. Yip’s salary to $241,500 per year, effective as of January 1, 2025.</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home office stipend of $250, and a miscellaneous bonus of $20.</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16, 2025, Mr. Kurtzman was appointed as our Chief Revenue Officer, as further described in “2025 Compensation Update.” (On July 14, 2026, Mr. Kurtzman resigned from his position as Chief Revenue Officer.)</w:t>
      </w: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the guaranteed portion of an annual cash incentive bonus, as further described in “2025 Bonuses.”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5, 2024, Mark Musburger resigned from his position as Chief Financial Officer.</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retention bonus paid in 2024.</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29, 2024, Ashley Levesque resigned from her position as Vice President of Marketing.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2025 Compensation Update</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Mr. Ditto’s appointment as Chief Financial Officer in July 2025, the Company and Mr. Ditto entered into an employment offer letter (the “Ditto Offer Letter”), effective July 2, 2025. Pursuant to the Ditto Offer Letter, Mr. Ditto (i) is entitled to receive an annual salary of $275,000 per annum; and (ii) will be eligible to receive an annual incentive cash bonus of $100,000, subject to the achievement of certain goals, the specifics of which were to be agreed upon at a later date. In addition to his annual salary, the Board approved an award of RSUs equivalent to $100,000. The RSUs will vest quarterly and the last ¼ will become fully vested 12 months after they are approved by the Board. The equity will be subject to the terms and conditions of the Company’s 2023 Equity Incentive Plan.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Mr. Kurtzman’s appointment as Chief Revenue Officer in June 2025, the Company and Mr. Kurtzman entered into an employment offer letter (the “Kurtzman Offer Letter”), effective May 16, 2025. Pursuant to the Kurtzman Offer Letter, Mr. Kurtzman (i) is entitled to receive an annual salary of $285,000 per annum; and (ii) will be eligible to receive an annual incentive cash bonus of $225,000, of which, $56,250 is guaranteed, and the remainder of which is subject to the achievement of certain goals, the specifics of which were to be agreed upon at a later date. In addition to his annual salary, the Board approved an award of RSUs equivalent to $225,000. The RSUs will vest quarterly and the last ¼ will become fully vested 12 months after they are approved by the Board. The equity will be subject to the terms and conditions of the Company’s 2023 Equity Incentive Plan.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2025 Bonuses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which are designed to provide appropriate incentives to our employees to achieve defined performance goals.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2025, Mr. Davy earned an annual incentive bonus of $125,000 that was paid in stock, and Mr. Ditto and Mr. Baumer earned annual incentive cash bonuses of $25,000 and $18,750, respectively. Mr. Kurtzman earned the guaranteed portion of his annual incentive cash bonus of $56,250.</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 of our named executive officers received annual performance-based cash bonuses with respect to the year ended December 31,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Equity Grants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To further align the interests of our executive officers with the interests of our stockholders and to further focus our executive officers on our long-term performance, we grant equity compensation in the form of restricted stock units (RSUs) and stock options.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RSUs. Each RSU entitles the recipient to one share of Class A Common Stock upon vesting. RSU awards vest 25% quarterly over a period of one year, subject to the named executive officer’s continued service at each vesting date. The Company measures the fair value of RSUs using the stock price on the date of grant.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2025, the Company granted Mr. Davy an equity award that includes a market condition based on specified market capitalization thresholds at $15.0 million, $20 million, $25 million and $30.0 million, which result in tranches of stock grants of $250 thousand, $500 thousand, $500 thousand and $750 thousand, respectively, up to $2.0 million in the aggregate (“CEO Award”) which had a grant date fair value of $375,700. Mr. Baumer, Mr. Ditto and Mr. Kurtzman were granted 971 RSUs, 3,236 RSUs, and 7,282 RSUs, which had a grant date fair value of $148,635, $100,000, and $225,000, respectively.</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2024, the Company granted Mr. Davy and Mr. Yip 153 RSUs and 17 RSUs, which had a grant date fair value of $500,000 and $50,000, respectively.</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Historically, the Company granted stock options. Stock options allow the holder to exercise the stock option and receive shares upon exercise, with the exercise price determined based on the fair market value of a share of common stock at the time of grant.</w:t>
      </w:r>
    </w:p>
    <w:p>
      <w:pPr>
        <w:spacing w:after="0" w:line="162" w:lineRule="exact"/>
        <w:rPr>
          <w:sz w:val="20"/>
          <w:szCs w:val="20"/>
          <w:color w:val="auto"/>
        </w:rPr>
      </w:pPr>
    </w:p>
    <w:p>
      <w:pPr>
        <w:jc w:val="both"/>
        <w:ind w:firstLine="324"/>
        <w:spacing w:after="0" w:line="226" w:lineRule="auto"/>
        <w:rPr>
          <w:sz w:val="20"/>
          <w:szCs w:val="20"/>
          <w:color w:val="auto"/>
        </w:rPr>
      </w:pPr>
      <w:r>
        <w:rPr>
          <w:rFonts w:ascii="Times New Roman" w:cs="Times New Roman" w:eastAsia="Times New Roman" w:hAnsi="Times New Roman"/>
          <w:sz w:val="18"/>
          <w:szCs w:val="18"/>
          <w:color w:val="auto"/>
        </w:rPr>
        <w:t>The stock options granted to our named executive officers vested or will vest in a 25% increment on the one-year anniversary of the vesting commencement date and thereafter 1/48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the total shares underlying the option award vests in 36 equal monthly installments, subject to the named executive officer’s continued service at each vesting date.</w:t>
      </w:r>
    </w:p>
    <w:p>
      <w:pPr>
        <w:spacing w:after="0" w:line="20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2024, the Company granted Mr. Davy, Mr. Baumer, and Mr. Yip 6 stock options, 2 stock options, and 1 stock option, which had a grant date fair value of $29,700, $43,433, and $95,074,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as of December 31, 2025</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outstanding equity incentive plan awards held by each named executive officer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 Awards (1)</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Stock Awards (2)</w:t>
            </w: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Incentive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Plan</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Incentive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Market or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Unearned</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Market</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Value of</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Units or</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Units or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 Units of</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Shares or</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Units of</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Rights</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That Have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w:t>
            </w: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Have Not</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Not Been</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Not Been</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Prices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Issued</w:t>
            </w:r>
          </w:p>
        </w:tc>
        <w:tc>
          <w:tcPr>
            <w:tcW w:w="0" w:type="dxa"/>
            <w:vAlign w:val="bottom"/>
          </w:tcPr>
          <w:p>
            <w:pPr>
              <w:spacing w:after="0"/>
              <w:rPr>
                <w:sz w:val="1"/>
                <w:szCs w:val="1"/>
                <w:color w:val="auto"/>
              </w:rPr>
            </w:pPr>
          </w:p>
        </w:tc>
      </w:tr>
      <w:tr>
        <w:trPr>
          <w:trHeight w:val="238"/>
        </w:trPr>
        <w:tc>
          <w:tcPr>
            <w:tcW w:w="228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Davy</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5/14/2034</w:t>
            </w: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5/14/2034</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5/14/2034</w:t>
            </w:r>
          </w:p>
        </w:tc>
        <w:tc>
          <w:tcPr>
            <w:tcW w:w="1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375,700(4)</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Simon Baumer</w:t>
            </w:r>
          </w:p>
        </w:tc>
        <w:tc>
          <w:tcPr>
            <w:tcW w:w="100" w:type="dxa"/>
            <w:vAlign w:val="bottom"/>
          </w:tcPr>
          <w:p>
            <w:pPr>
              <w:spacing w:after="0"/>
              <w:rPr>
                <w:sz w:val="17"/>
                <w:szCs w:val="17"/>
                <w:color w:val="auto"/>
              </w:rPr>
            </w:pP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7"/>
                <w:szCs w:val="17"/>
                <w:color w:val="auto"/>
              </w:rPr>
            </w:pPr>
          </w:p>
        </w:tc>
        <w:tc>
          <w:tcPr>
            <w:tcW w:w="128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282,000</w:t>
            </w:r>
          </w:p>
        </w:tc>
        <w:tc>
          <w:tcPr>
            <w:tcW w:w="8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7/14/2031</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277,000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2/15/2032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838,000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3/1/2033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5/14/2034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5/14/2034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500,000</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5/14/2034</w:t>
            </w:r>
          </w:p>
        </w:tc>
        <w:tc>
          <w:tcPr>
            <w:tcW w:w="120" w:type="dxa"/>
            <w:vAlign w:val="bottom"/>
          </w:tcPr>
          <w:p>
            <w:pPr>
              <w:spacing w:after="0"/>
              <w:rPr>
                <w:sz w:val="20"/>
                <w:szCs w:val="20"/>
                <w:color w:val="auto"/>
              </w:rPr>
            </w:pPr>
          </w:p>
        </w:tc>
        <w:tc>
          <w:tcPr>
            <w:tcW w:w="11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Ditto</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122(6)</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23,439</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Michael Kurtzman</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35,159</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Alvin Yip</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838,000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12/2/2033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29,300</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5/14/2034</w:t>
            </w:r>
          </w:p>
        </w:tc>
        <w:tc>
          <w:tcPr>
            <w:tcW w:w="120" w:type="dxa"/>
            <w:vAlign w:val="bottom"/>
            <w:shd w:val="clear" w:color="auto" w:fill="CCEEFF"/>
          </w:tcPr>
          <w:p>
            <w:pPr>
              <w:spacing w:after="0"/>
              <w:rPr>
                <w:sz w:val="18"/>
                <w:szCs w:val="18"/>
                <w:color w:val="auto"/>
              </w:rPr>
            </w:pPr>
          </w:p>
        </w:tc>
        <w:tc>
          <w:tcPr>
            <w:tcW w:w="110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20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Option Awards was granted under the 2016 Plan or the 2023 Equity Incentive Plan.</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Stock Awards was granted under the 2023 Equity Incentive Plan.</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total shares underlying the option award vest on the one-year anniversary of the vesting commencement date, thereafter 1/48th of the total shares underlying the option award vest in 36 equal monthly installments, subject to continued employment at each vesting date.</w:t>
      </w:r>
    </w:p>
    <w:p>
      <w:pPr>
        <w:jc w:val="both"/>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CEO Award will vest into common stock in 4 tranches ranging from $250 thousand to $750 thousand, up to $2.0 million in the aggregate, if specified market capitalization thresholds ranging from $15.0 million to $30.0 million are met. On April 2, 2026, the Company modified the terms of the CEO Award and issued 2,230 shares of Class B Common Stock to the CEO, of which, approximately 1,487 shares relate to a tranche of the CEO Award vesting upon achieving a market capitalization threshold, and the remaining 743 shares relate to the CEO’s 2025 bonus payment.</w:t>
      </w:r>
    </w:p>
    <w:p>
      <w:pPr>
        <w:spacing w:after="0" w:line="1"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January 1, 2025 grant date, and the last ¼ will become fully vested in January 2026, subject to continued employment through the applicable vesting dates.</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July 14, 2025 grant date, and the last ¼ will become fully vested in July 2026, subject to continued employment through the applicable vesting dates.</w:t>
      </w:r>
    </w:p>
    <w:p>
      <w:pPr>
        <w:ind w:left="340" w:right="2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August 22, 2025 grant date, and the last ¼ will become fully vested in June 2026, subject to continued employment through the applicable vesting dates.</w:t>
      </w:r>
    </w:p>
    <w:p>
      <w:pPr>
        <w:ind w:left="340" w:hanging="332"/>
        <w:spacing w:after="0" w:line="25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annually commencing with the May 14, 2024 grant date, and the last ¼ will become fully vested in May 2028, subject to continued employment through the applicable vesting dates.</w:t>
      </w:r>
    </w:p>
    <w:p>
      <w:pPr>
        <w:ind w:left="340" w:hanging="332"/>
        <w:spacing w:after="0" w:line="260"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quarterly commencing with the January 1, 2025 grant date, and the last ¼ will become fully vested in January 2026, subject to continued employment through the applicable vesting dates.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Narrative Disclosure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maintain a 401(k) plan that provides eligible U.S. employees with an opportunity to save for retirement on a tax advantaged basis. Eligible employees are able to defer eligible compensation up to certain Code limits, which are updated annually. We make employer contributions under the 401(k) plan and also have the ability to make employer profit sharing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reviews director compensation periodically to ensure that director compensation remains competitive such that the Company is able to recruit and retain qualified directors. In January 2026, the Board approved compensation for the 4 non-employee directors for the year ended December 31, 2025 of $327,595 in the form of 1,085 RSUs. In December 2024, the 4 non-employee directors received compensation of $371,507 in the form of 150 RSUs. In December 2023, the Company adopted a board of directors’ compensation program that is designed to align compensation with the Company’s business objectives and the creation of stockholder value, while enabling the Company to attract, retain, incentivize, and reward directors who contribute to the long-term success of the Company. Under that program, our non-employee directors are eligible to receive the following:</w:t>
      </w:r>
    </w:p>
    <w:p>
      <w:pPr>
        <w:spacing w:after="0" w:line="187"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base retainer of $100,000, to be paid as determined by the Compensation Committee;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Chair Retainers: Audit Committee, $10,000; Compensation Committee, $5,000; and Nominating and Corporate Governance Committee, $5,000.</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Member Retainers: Audit Committee, $5,000; Compensation Committee, $2,500; and Nominating and Corporate Governance Committee, $2,500.</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non-employee directors are also reimbursed for their reasonable out-of-pocket travel expenses to cover in-person attendance at and participation in Board and committee meetings.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Disclosure of Policies and Practices Related to the Grant of Certain Equity Awards Close in Time to the Release of Material Nonpublic Information.</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response to Item 402(x)(1) of Regulation S-K, the Company does not currently grant new awards of stock options, stock appreciation rights, or similar option-like instruments within four business days before or one business day after the release of a Form 10-Q, 10-K, or 8-K that discloses material nonpublic information (“MNPI”). Accordingly, the Company has no specific policy or practice on the timing of awards of such options in relation to the disclosure of material nonpublic information by the Company. In the event the Company determines to grant new awards of such options, the Board will evaluate the appropriate steps to take in relation to the foregoing.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The sale of any shares under such a plan will be subject to the Lock-Up Agreements, to the extent that the selling director or executive officer is a party thereto.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is a summary of transactions since January 1, 2023, and any currently proposed transactions to which the Company was or is to be a participant in which the amount involved exceeded or will exceed the lesser of $120,000 and one percent of the average of the Company’s total assets at year end for the last two completed fiscal years, and in which any of the Company’s directors, executive officers or, to the Company’s knowledge, beneficial owners of more than 5% of the Company’s capital stock, or their immediate family members have had or will have a direct or indirect material interest, other than compensation and other arrangements that are described under the section of this prospectus titled “Executive and Director Compensation.”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required by Item 404 of Regulation S-K is incorporated herein by reference to Notes 5 and 12 to the consolidated financial statements of our 2025 Annual Report. Except as disclosed in such notes, no director, executive officer, shareholder holding at least 5% of shares of our common stock, or any family member thereof, had any material interest, direct or indirect, in any transaction, or proposed transaction since January 1, 2024, in which the amount involved in the transaction exceeds the lesser of $120,000 or one percent of the average of our total assets at the year-end for the last two completed fiscal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in the process of formally adopting a written related person transactions policy. The Board has historically identified, reviewed and approved any transactions, arrangements or relationships (or any series of similar transactions, arrangements or relationships) in Parabolic or any of its subsidiaries and related persons are, were or would be participants, including the transactions described above. Prior to approving such a transaction, the material facts as to a director or officer’s relationship or interest in the agreement or transaction were disclosed to the Board.</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Each director and executive officer shall identify, and we shall request each significant stockholder to identify, any related person transaction involving such director, executive officer or significant stockholder or his, her or its immediate family members and inform the Chair of our Audit Committee pursuant to this policy before such related person may engage in the transaction. Each related person transaction must be reviewed and approved in accordance with our related party transactions policy either by the Audit Committee or, if the Audit Committee determines that the approval of such related party transaction should be considered by all of the disinterested, independent members of the Board, by the disinterested, independent members of the Board by the vote of a majority thereof.</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considering related person transactions, our Audit Committee or the disinterested, independent members of the Board, as the case may be, take into account the relevant available facts and circumstances, which may include, but are not limited to:</w:t>
      </w:r>
    </w:p>
    <w:p>
      <w:pPr>
        <w:spacing w:after="0" w:line="162"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transaction and the amount payable to a related party;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interest of the related party in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may involve a conflict of interest;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involves the provision of goods or services to the Company that are available from unaffiliated third parties and, if so, whether the transaction is on terms and made under circumstances that are at least as favorable to the Company as would be available in comparable transactions with or involving unaffiliated third parties;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the related party transaction or related party that would be material to investors in light of the circumstances of the transaction.</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Our Audit Committee or the disinterested, independent members of the Board, as the case may be, shall approve only those related party transactions that they determine in good faith, based on all of the relevant information available to them, are in the best interests of the Company and our stockholders.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SECURITYHOLDERS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shares of our Class A Common Stock and Class B Common Stock as of the date hereof for:</w:t>
      </w:r>
    </w:p>
    <w:p>
      <w:pPr>
        <w:spacing w:after="0" w:line="162"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 the beneficial owner of more than 5% of our outstanding shares of Common Stock;</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named executive officers as a group.</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Beneficial ownership of our Common Stock is determined in accordance with the rules of the SEC and generally includes voting and investment power with respect to the securities. Except as otherwise provided by footnote,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the shares of Common Stock underlying options or warrants or convertible securities held by such persons that are currently exercisable or convertible within 60 days of the date hereof, but are not treated as outstanding for the purpose of computing the percentage ownership of any other person.</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Beneficial ownership as set forth below is based on our review of our record stockholders list and public ownership reports filed by certain stockholders of the Company and may not include certain securities held in brokerage accounts or beneficially owned by the stockholders described below.</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percentage of beneficial ownership is based on 2,072,632 shares of Class A Common Stock and 14,983 shares of Class B Common Stock outstanding as of November 4,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Total Voting</w:t>
            </w:r>
          </w:p>
        </w:tc>
      </w:tr>
      <w:tr>
        <w:trPr>
          <w:trHeight w:val="238"/>
        </w:trPr>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6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Class B Common Stock</w:t>
            </w: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Power</w:t>
            </w:r>
          </w:p>
        </w:tc>
      </w:tr>
      <w:tr>
        <w:trPr>
          <w:trHeight w:val="223"/>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 †</w:t>
            </w:r>
          </w:p>
        </w:tc>
        <w:tc>
          <w:tcPr>
            <w:tcW w:w="1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19"/>
                <w:szCs w:val="19"/>
                <w:color w:val="auto"/>
              </w:rPr>
            </w:pPr>
          </w:p>
        </w:tc>
        <w:tc>
          <w:tcPr>
            <w:tcW w:w="132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8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1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 ††</w:t>
            </w:r>
          </w:p>
        </w:tc>
      </w:tr>
      <w:tr>
        <w:trPr>
          <w:trHeight w:val="210"/>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and Named Executive Officers</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Davy</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158(1)</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14,983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Paula Boggs</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39</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Jack Leeney</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Kent Schofield</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50</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Mason Ward</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Dean Ditto</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173(2)</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Simon Baumer</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232(3)</w:t>
            </w:r>
          </w:p>
        </w:tc>
        <w:tc>
          <w:tcPr>
            <w:tcW w:w="14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 of the Company as a</w:t>
            </w:r>
          </w:p>
        </w:tc>
        <w:tc>
          <w:tcPr>
            <w:tcW w:w="9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Group (7 Individuals)</w:t>
            </w:r>
          </w:p>
        </w:tc>
        <w:tc>
          <w:tcPr>
            <w:tcW w:w="13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729</w:t>
            </w:r>
          </w:p>
        </w:tc>
        <w:tc>
          <w:tcPr>
            <w:tcW w:w="142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14,983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6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Five Percent or Greater Holders</w:t>
            </w: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4"/>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CP BF Lending, LLC (4)</w:t>
            </w: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517,834</w:t>
            </w: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19.99%</w:t>
            </w: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r>
    </w:tbl>
    <w:p>
      <w:pPr>
        <w:spacing w:after="0" w:line="179"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27" w:lineRule="exact"/>
        <w:rPr>
          <w:rFonts w:ascii="Times New Roman" w:cs="Times New Roman" w:eastAsia="Times New Roman" w:hAnsi="Times New Roman"/>
          <w:sz w:val="18"/>
          <w:szCs w:val="18"/>
          <w:color w:val="auto"/>
        </w:rPr>
      </w:pPr>
    </w:p>
    <w:p>
      <w:pPr>
        <w:ind w:left="340"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Unless otherwise noted, the business address of each of the following persons is c/o Parabolic Technologies, Inc., 435 Ericksen Ave NE, Suite 250, Bainbridge Island, WA 98110.</w:t>
      </w:r>
    </w:p>
    <w:p>
      <w:pPr>
        <w:spacing w:after="0" w:line="1" w:lineRule="exact"/>
        <w:rPr>
          <w:sz w:val="20"/>
          <w:szCs w:val="20"/>
          <w:color w:val="auto"/>
        </w:rPr>
      </w:pPr>
    </w:p>
    <w:p>
      <w:pPr>
        <w:ind w:left="340" w:right="20"/>
        <w:spacing w:after="0" w:line="250" w:lineRule="auto"/>
        <w:rPr>
          <w:sz w:val="20"/>
          <w:szCs w:val="20"/>
          <w:color w:val="auto"/>
        </w:rPr>
      </w:pPr>
      <w:r>
        <w:rPr>
          <w:rFonts w:ascii="Times New Roman" w:cs="Times New Roman" w:eastAsia="Times New Roman" w:hAnsi="Times New Roman"/>
          <w:sz w:val="18"/>
          <w:szCs w:val="18"/>
          <w:color w:val="auto"/>
        </w:rPr>
        <w:t>†† Each share of Common Stock entitles its holders to one vote per share; each share of Class B Common Stock entitles its holder to ten votes on all matters presented to our stockholders generally. As a result, percentage of voting power is based on 2,222,462 total votes.</w:t>
      </w:r>
    </w:p>
    <w:p>
      <w:pPr>
        <w:ind w:left="340" w:right="20" w:hanging="332"/>
        <w:spacing w:after="0" w:line="25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153 shares of Class A Common Stock held directly by Joseph Davy and options to purchase 5 shares of Class A Common Stock exercisable within 60 days of November 4, 2026.</w:t>
      </w:r>
    </w:p>
    <w:p>
      <w:pPr>
        <w:ind w:left="340" w:hanging="332"/>
        <w:spacing w:after="0"/>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173 shares of Class A Common Stock held directly by Dean Ditto.</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229 shares of Class A Common Stock held directly by Simon Baumer, and options to purchase 3 shares of Class A Common Stock exercisable within 60 days of November 4, 2026.</w:t>
      </w:r>
    </w:p>
    <w:p>
      <w:pPr>
        <w:jc w:val="both"/>
        <w:ind w:left="340" w:hanging="332"/>
        <w:spacing w:after="0" w:line="252" w:lineRule="auto"/>
        <w:tabs>
          <w:tab w:leader="none" w:pos="3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Class A Common Stock issuable upon conversion of the convertible note held by CP BF Lending, LLC (the “CP BF Note”) and reflects the ownership limitations of Nasdaq Listing Rule 5635(d), pursuant to which we cannot convert the CP BF Note into a number of shares that equals or exceeds 20% of the Company’s outstanding common stock or voting power prior to such issuance (the “Exchange Cap”), unless we receive shareholder approval to issue such number of shares in excess of the Exchange Cap. Columbia Pacific Advisors may be deemed to beneficially own the securities held by CP BF Lending, LLC because they are the controlling members of the Board of Managers of Columbia Pacific Advisors, LLC. Columbia Pacific Advisors LLC is the manager of CP Business Finance GP, LLC, the manager of CP BF Lending, LLC. The address of CP BF Lending, LLC is 1910 Fairview Ave. E., Suite 300, Seattle, WA 98102.</w:t>
      </w:r>
    </w:p>
    <w:p>
      <w:pPr>
        <w:sectPr>
          <w:pgSz w:w="11900" w:h="16838" w:orient="portrait"/>
          <w:cols w:equalWidth="0" w:num="1">
            <w:col w:w="11240"/>
          </w:cols>
          <w:pgMar w:left="320" w:top="229"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Aegis Capital Corp. (“Aegis” or the “underwriter”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is the sole underwriter and the book-running manager of this offering. Under the terms of an underwriting agreement (the “underwriting agreement”), which is filed as an exhibit to the registration statement of which this prospectus forms a part, we have agreed to sell to the underwriter and the underwriter has agreed to purchase, at the public offering price less the underwriting discounts and commissions set forth on the cover page of this prospectus, the following number of Units:</w:t>
      </w:r>
    </w:p>
    <w:p>
      <w:pPr>
        <w:sectPr>
          <w:pgSz w:w="11900" w:h="16838" w:orient="portrait"/>
          <w:cols w:equalWidth="0" w:num="1">
            <w:col w:w="11240"/>
          </w:cols>
          <w:pgMar w:left="320" w:top="229" w:right="339" w:bottom="144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Aegis Capital Corp.</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center"/>
        <w:ind w:right="4200"/>
        <w:spacing w:after="0"/>
        <w:rPr>
          <w:sz w:val="20"/>
          <w:szCs w:val="20"/>
          <w:color w:val="auto"/>
        </w:rPr>
      </w:pPr>
      <w:r>
        <w:rPr>
          <w:rFonts w:ascii="Times New Roman" w:cs="Times New Roman" w:eastAsia="Times New Roman" w:hAnsi="Times New Roman"/>
          <w:sz w:val="18"/>
          <w:szCs w:val="18"/>
          <w:b w:val="1"/>
          <w:bCs w:val="1"/>
          <w:color w:val="auto"/>
        </w:rPr>
        <w:t>Number of Units</w:t>
      </w:r>
    </w:p>
    <w:p>
      <w:pPr>
        <w:spacing w:after="0" w:line="438" w:lineRule="exact"/>
        <w:rPr>
          <w:sz w:val="20"/>
          <w:szCs w:val="20"/>
          <w:color w:val="auto"/>
        </w:rPr>
      </w:pPr>
    </w:p>
    <w:p>
      <w:pPr>
        <w:sectPr>
          <w:pgSz w:w="11900" w:h="16838" w:orient="portrait"/>
          <w:cols w:equalWidth="0" w:num="2">
            <w:col w:w="5020" w:space="720"/>
            <w:col w:w="5500"/>
          </w:cols>
          <w:pgMar w:left="320" w:top="229" w:right="339" w:bottom="1440" w:gutter="0" w:footer="0" w:header="0"/>
          <w:type w:val="continuous"/>
        </w:sectPr>
      </w:pPr>
    </w:p>
    <w:p>
      <w:pPr>
        <w:spacing w:after="0" w:line="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underwriting agreement provides that the underwriter’s obligation to purchase Units depends on the satisfaction of the conditions contained in the underwriting agreement including:</w:t>
      </w:r>
    </w:p>
    <w:p>
      <w:pPr>
        <w:spacing w:after="0" w:line="162"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made by us to the underwriter are true;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material change in our business or the financial markets;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deliver customary closing documents to the underwriter.</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underwriter has agreed to purchase all of the Units offered by this prospectus (other than those covered by the over-allotment option described below), if any are purchased under the underwriting agreement.</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is offering the Units subject to various conditions and may reject all or part of any order. The underwriter has advised us that it proposes to offer the Units directly to the public at the public offering price per Unit that appears on the cover page of this prospectus. In addition, the underwriter may offer some of the Units to other securities dealers at such price less a concession of $0.1088 per Unit. After the Units are released for sale to the public, the underwriter may change the offering price and other selling terms at various times.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Solely to cover over-allotments, if any, the Company has granted the underwriter an option to purchase (i) up to 15.0% of the number of additional shares of Class A Common Stock sold in the offering and (ii) up to 15.0% of the number of Warrants sold in the offering, solely for the purpose of covering over-allotments. The underwriter may exercise this option in whole or in part at any time within forty-five (45) Calendar Days after the Closing. The underwriter may exercise the over-allotment option with respect to shares of Class A Common Stock only, Warrants only, or any combination thereof. The purchase price to be paid per additional share of Class A Common Stock will be equal to the public offering price of one Unit, less $0.0002 allocated to the Warrants included in each Unit, less the underwriting discount, and the purchase price to be paid per additional Warrant will be $0.00001. If this over-allotment option is exercised, the total offering price to the public will be approximately $15,524,998, and the total net proceeds, before expenses and after deducting the underwriting discounts described above, to us will be approximately $14,282,998 (based upon a public offering price of $2.72 per Unit).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Underwriting Discounts and Expenses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Unit and total underwriting discounts we will pay to Aegis. These amounts are shown assuming both no exercise and full exercise of the underwriter’s option to purchase additional securities.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Per Unit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No Exercise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Full Exercise</w:t>
            </w:r>
          </w:p>
        </w:tc>
        <w:tc>
          <w:tcPr>
            <w:tcW w:w="100" w:type="dxa"/>
            <w:vAlign w:val="bottom"/>
          </w:tcPr>
          <w:p>
            <w:pPr>
              <w:spacing w:after="0"/>
              <w:rPr>
                <w:sz w:val="19"/>
                <w:szCs w:val="19"/>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13,499,999.20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15,524,998.40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6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Underwriting discounts to be paid by us (8.0%):</w:t>
            </w:r>
            <w:r>
              <w:rPr>
                <w:rFonts w:ascii="Times New Roman" w:cs="Times New Roman" w:eastAsia="Times New Roman" w:hAnsi="Times New Roman"/>
                <w:sz w:val="29"/>
                <w:szCs w:val="29"/>
                <w:color w:val="auto"/>
                <w:vertAlign w:val="superscript"/>
              </w:rPr>
              <w:t>(1)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0.2176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1,079,999.94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1,241,999.87</w:t>
            </w:r>
          </w:p>
        </w:tc>
      </w:tr>
      <w:tr>
        <w:trPr>
          <w:trHeight w:val="257"/>
        </w:trPr>
        <w:tc>
          <w:tcPr>
            <w:tcW w:w="6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Proceeds, before expenses, to us </w:t>
            </w:r>
            <w:r>
              <w:rPr>
                <w:rFonts w:ascii="Times New Roman" w:cs="Times New Roman" w:eastAsia="Times New Roman" w:hAnsi="Times New Roman"/>
                <w:sz w:val="29"/>
                <w:szCs w:val="29"/>
                <w:color w:val="auto"/>
                <w:vertAlign w:val="superscript"/>
              </w:rPr>
              <w:t>(2)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12,419,999.26</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14,282,998.53</w:t>
            </w:r>
          </w:p>
        </w:tc>
      </w:tr>
    </w:tbl>
    <w:p>
      <w:pPr>
        <w:spacing w:after="0" w:line="198" w:lineRule="exact"/>
        <w:rPr>
          <w:sz w:val="20"/>
          <w:szCs w:val="20"/>
          <w:color w:val="auto"/>
        </w:rPr>
      </w:pPr>
    </w:p>
    <w:p>
      <w:pPr>
        <w:ind w:firstLine="332"/>
        <w:spacing w:after="0" w:line="282" w:lineRule="auto"/>
        <w:tabs>
          <w:tab w:leader="none" w:pos="59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assume that the underwriter’s over-allotment option is exercised solely for additional shares of Class A Common Stock. The underwriter will not receive any additional underwriting discount or commission upon exercise of its option to purchase additional Warrants.</w:t>
      </w:r>
    </w:p>
    <w:p>
      <w:pPr>
        <w:spacing w:after="0" w:line="161" w:lineRule="exact"/>
        <w:rPr>
          <w:rFonts w:ascii="Times New Roman" w:cs="Times New Roman" w:eastAsia="Times New Roman" w:hAnsi="Times New Roman"/>
          <w:sz w:val="18"/>
          <w:szCs w:val="18"/>
          <w:color w:val="auto"/>
        </w:rPr>
      </w:pPr>
    </w:p>
    <w:p>
      <w:pPr>
        <w:jc w:val="both"/>
        <w:ind w:firstLine="332"/>
        <w:spacing w:after="0" w:line="258" w:lineRule="auto"/>
        <w:tabs>
          <w:tab w:leader="none" w:pos="58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also agreed to pay $125,000 for the reasonable legal fees and disbursements of Aegis’s counsel. In addition, the Company will bear the other expenses relating to the Offering, including all filing fees, FINRA fees, exchange listing fees, printing costs, transfer and stamp taxes, and the fees and expenses of the Company’s own accountants and counsel. We estimate that the total expenses of the offering payable by us, excluding underwriting discounts, will be approximately $352,576. The amount of offering proceeds to us presented in this table does not give effect to any exercise of the Warrants or the underwriter’s over-allotment option described above.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Stabilization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Regulation M under the Exchange Act, the underwriter may engage in activities that stabilize, maintain or otherwise affect the price of our common stock, including short sales and purchases to cover positions created by short positions, stabilizing transactions, syndicate covering transactions, penalty bids and passive market making.</w:t>
      </w:r>
    </w:p>
    <w:p>
      <w:pPr>
        <w:spacing w:after="0" w:line="176" w:lineRule="exact"/>
        <w:rPr>
          <w:sz w:val="20"/>
          <w:szCs w:val="20"/>
          <w:color w:val="auto"/>
        </w:rPr>
      </w:pPr>
    </w:p>
    <w:p>
      <w:pPr>
        <w:jc w:val="both"/>
        <w:ind w:left="660" w:hanging="328"/>
        <w:spacing w:after="0" w:line="256"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positions involve sales by the underwriter of shares of common stock in excess of the number of shares the underwriter is obligated to purchase, which creates a syndicate short position. The short position may be either a covered short position or a naked short position. In a covered short position, the number of shares involved in the sales made by the underwriter in excess of the number of shares they are obligated to purchase is not greater than the number of shares that they may purchase by exercising their option to purchase additional shares. In a naked short position, the number of shares involved is greater than the number of shares in their option to purchase additional shares. The underwriter may close out any short position by either exercising their option to purchase additional shares or purchasing shares in the open market.</w:t>
      </w:r>
    </w:p>
    <w:p>
      <w:pPr>
        <w:spacing w:after="0" w:line="18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permit bids to purchase the underlying security as long as the stabilizing bids do not exceed a specific maximum price.</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our shares of common stock in the open market after the distribution has been completed to cover syndicate short positions. In determining the source of shares to close out the short position, the underwriter will consider, among other things, the price of shares available for purchase in the open market as compared to the price at which they may purchase shares through the underwriter’s option to purchase additional shares. If the underwriter sells more shares than could be covered by the underwriter’s option to purchase additional shares, thereby creating a naked short position, the position can only be closed out by buying shares in the open market. A naked short position is more likely to be created if the underwriter is concerned that there could be downward pressure on the price of the shares in the open market after pricing that could adversely affect investors who purchase in the offering.</w:t>
      </w:r>
    </w:p>
    <w:p>
      <w:pPr>
        <w:spacing w:after="0" w:line="18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permit the underwriter to reclaim a selling concession from a syndicate member when the shares of common stock originally sold by the syndicate member is purchased in a stabilizing or syndicate covering transaction to cover syndicate short positions.</w:t>
      </w:r>
    </w:p>
    <w:p>
      <w:pPr>
        <w:spacing w:after="0" w:line="161" w:lineRule="exact"/>
        <w:rPr>
          <w:rFonts w:ascii="Times New Roman" w:cs="Times New Roman" w:eastAsia="Times New Roman" w:hAnsi="Times New Roman"/>
          <w:sz w:val="18"/>
          <w:szCs w:val="18"/>
          <w:color w:val="auto"/>
        </w:rPr>
      </w:pPr>
    </w:p>
    <w:p>
      <w:pPr>
        <w:ind w:left="660" w:right="420" w:hanging="328"/>
        <w:spacing w:after="0" w:line="282" w:lineRule="auto"/>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passive market making, market makers in our common stock who are underwriters or prospective underwriters may, subject to limitations, make bids for or purchase our common stock until the time, if any, at which a stabilizing bid is made.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activities may have the effect of raising or maintaining the market price of our common stock or preventing or retarding a decline in the market price of our common stock. As a result of these activities, the price of our common stock ck may be higher than the price that might otherwise exist in the open market. These transactions may be effected on NASDAQ or otherwise and, if commenced, may be discontinued at any time.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Neither we nor the underwriter makes any representation or prediction as to the direction or magnitude of any effect that the transactions described above may have on the price of our common stock. In addition, neither we nor the underwriter makes any representation that Aegis will engage in these stabilizing transactions or that any transaction, once commenced, will not be discontinued without notice.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Discretionary Accounts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underwriter has informed us that they do not expect to make sales to accounts over which they exercise discretionary authority in excess of five percent (5%) of the securities being offered in this offering.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agreed to indemnify Aegis, its affiliates, and each person controlling Aegis against any losses, claims, damages, judgments, assessments, costs, and other liabilities, as the same are incurred (including the reasonable fees and expenses of counsel), relating to or arising out of the offering, undertaken in good faith.</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certain “lock-up” agreements, our executive officers, directors, employees and holders of at least 10% of our Company’s common stock and securities exercisable for or convertible into its common stock outstanding immediately upon the closing of this offering, have agreed, subject to certain exceptions, not to offer, sell, assign, transfer, pledge, contract to sell, or otherwise dispose of or announce the intention to otherwise dispose of, or enter into any swap, hedge or similar agreement or arrangement that transfers, in whole or in part, the economic risk of ownership of, directly or indirectly, engage in any short selling of any shares of common stock or securities convertible into or exchangeable or exercisable for any shares of common stock (“Lock-Up Securities”), whether currently owned or subsequently acquired, without the prior written consent of the underwriter, for a period of ninety (90) days after the offering is closed.</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in its sole discretion, may release the common stock and other securities subject to the lock-up agreements described above in whole or in part at any time. When determining whether or not to release common stock and other securities from lock-up agreements, the underwriter will consider, among other factors, the holder’s reasons for requesting the release, the number of shares of common stock and other securities for which the release is being requested and market conditions at the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Company Standstill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agreed, for a period of ninety (90) days after the closing of the Offering (the “Standstill Period”), that without the prior written consent of Aegis, we will not (a) offer, sell, issue, or otherwise transfer or dispose of, directly or indirectly, any equity of our Company or any securities convertible into or exercisable or exchangeable for equity of our Company; (b) file or caused to be filed any registration statement with the Commission relating to the offering of any equity of our Company or any securities convertible into or exercisable or exchangeable for equity of our Company; or (c) enter into any agreement or announce the intention to effect any of the actions described in subsections (a) or (b) hereof (all of such matters, the “Standstill Restrictions”). So long as none of such equity securities shall be saleable in the public market until the expiration of the Standstill Period, the following matters shall not be prohibited by the Standstill Restrictions: (i) the adoption of an equity incentive plan and the grant of awards or equity pursuant to any equity incentive plan, and the filing of a registration statement on Form S-8; (ii) securities issued pursuant to agreements, options, restricted share units or convertible securities (including convertible debt) existing as of the date hereof provided the terms are not modified (which securities, if issued pursuant to such existing agreements may be sold into the public markets pursuant to the terms thereof); and (iii) securities issued pursuant to acquisitions or strategic transactions (whether by merger, consolidation, purchase of equity, purchase of assets, reorganization or otherwise)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Standstill Period, and provided that any such issuance shall only be to a person or entity (or to the equityholders of an entity)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 In no event should any equity transaction during the Standstill Period result in the sale of equity at an offering price to the public less than that of this offering.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0" w:name="page101"/>
    <w:bookmarkEnd w:id="100"/>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for the period beginning on the closing of this offering (subject to FINRA Rule 5110(g)(6)(A)) and ending twelve (12) months after the commencement of sales in this Offering, the Company or any of its subsidiaries (a) decides to finance or refinance any indebtedness, Aegis shall have the right to act as sole book-runner, sole manager, sole placement agent or sole agent with respect to such financing or refinancing; or (b) decides to raise funds by means of a public offering (including at-the-market facility) or a private placement or any other capital raising financing of equity, equity-linked or debt securities, Aegis shall have the right to act as sole book-running manager, sole underwriter or sole placement agent for such financing. If Aegis or one of its affiliates decides to accept any such engagement, the agreement governing such engagement (each, a “</w:t>
      </w:r>
      <w:r>
        <w:rPr>
          <w:rFonts w:ascii="Times New Roman" w:cs="Times New Roman" w:eastAsia="Times New Roman" w:hAnsi="Times New Roman"/>
          <w:sz w:val="18"/>
          <w:szCs w:val="18"/>
          <w:u w:val="single" w:color="auto"/>
          <w:color w:val="auto"/>
        </w:rPr>
        <w:t>Subsequent Transaction Agreement</w:t>
      </w:r>
      <w:r>
        <w:rPr>
          <w:rFonts w:ascii="Times New Roman" w:cs="Times New Roman" w:eastAsia="Times New Roman" w:hAnsi="Times New Roman"/>
          <w:sz w:val="18"/>
          <w:szCs w:val="18"/>
          <w:color w:val="auto"/>
        </w:rPr>
        <w:t>”) will contain, among other things, provisions for customary fees for transactions of similar size and nature, but in no event will the fees be less than the compensation terms applicable to this offering, and the applicable agreement will include indemnification and other provisions customary for a transaction of similar size and nature. Notwithstanding the foregoing, the decision to accept the Company’s engagement shall be made by Aegis or one of its affiliates, by a written notice to the Company, within five (5) Calendar Days of the receipt of the Company’s notification of its financing needs, including a detailed term sheet. Aegis’s determination of whether in any case to exercise its right of first refusal will be strictly limited to the terms on such term sheet, and any waiver of such right of first refusal, including after launch of the subsequent transaction, shall apply only to such specific terms. If Aegis waives its right of first refusal, any deviation from such terms (including without limitation after the launch of a subsequent transaction) shall void the waiver and require the Company to seek a new waiver from the right of first refusal on these same terms.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Tail Financing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Aegis shall be entitled to compensation with respect to any public or private offering or other financing or capital raising transaction of any kind (“Tail Financing”) to the extent that such financing or capital is provided to us by investors Aegis has introduced, and whose names Aegis disclosed to us in advance of the closing of an offering or within ten (10) Business Days following the expiration or termination of the engagement period, and/or investors contacted on our behalf through an in-person, electronic or telephonic communication or investors that Aegis had “wall-crossed” in connection with this offering (or any entity under common management or having a common investment advisor), if such Tail Financing is consummated at any time within the twelve (12) months period beginning on the Closing or the expiration or termination of engagement letter between Aegis and us dated September 17, 2026.</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Termination Rights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terminate the engagement for cause in compliance with FINRA Rule 5110(g)(5)(B)(i), in which event our obligations regarding the tail fee and right of first refusal terminate. We may also terminate the engagement upon five (5) Business Days’ notice if the offering has not closed within three</w:t>
      </w:r>
    </w:p>
    <w:p>
      <w:pPr>
        <w:jc w:val="both"/>
        <w:ind w:firstLine="8"/>
        <w:spacing w:after="0" w:line="252" w:lineRule="auto"/>
        <w:tabs>
          <w:tab w:leader="none" w:pos="27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after the registration statement of which this prospectus forms a part may be declared effective and used for the offering, including current financial statements, a FINRA no-objection letter and confirmation that the Commission has no comments, so long as any required shareholder approval has been obtained. Provisions concerning fees, expense reimbursement, right of first refusal, tail fees, indemnification and contribution, equitable remedies, confidentiality, conflicts, independent-contractor status and jury-trial waiver survive termination or expiration, subject to the termination-for-cause provision described above. If no offering is completed during the engagement period, we remain obligated to reimburse Aegis for its actual and accountable out-of-pocket offering expenses, including its counsel’s fees and disbursements and, if applicable, electronic road-show service.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underwriter is a full service financial institution engaged in various activities, which may include sales and trading, commercial and investment banking, advisory, investment management, investment research, principal investment, hedging, market making, brokerage and other financial and non-financial activities and services. The underwriter has in the past provided, and may in the future provide, various investment banking, commercial banking and other financial services for us and our affiliates for which they received, or may in the future receive, customary fees.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its business activities, the underwriter and its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 or otherwise)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acting as underwriter for this offering, Aegis Capital Corp. has provided other investment banking services to the Company. On July 14, 2026, Aegis Capital Corp. acted as underwriter in connection with the Company’s underwritten public offering of 32,727 shares of Class A Common Stock at a public offering price of $27.50 per share, resulting in gross proceeds of approximately $0.9 million, before deducting underwriting fees and other offering expenses. In connection with that offering, the Company granted Aegis Capital Corp. a 45-day option to purchase up to 3,636 additional shares of Common Stock to cover over-allotments. On September 4, 2026, Aegis Capital Corp. acted as the exclusive placement agent in connection with the Company’s private placement (the “Private Placement”), pursuant to which the Company issued a convertible promissory note in an initial principal amount of $2,142,857.14 and a warrant to purchase up to 77,922 shares of Common Stock to an accredited investor. The placement agent received customary placement agent fees of 10% of the gross proceeds in connection with the Private Placement.</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Electronic Offer, Sale and Distribution of Shares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the websites maintained by the underwriter, if any, participating in this offering and the underwriter participating in this offering may distribute prospectuses electronically. The underwriter may agree to allocate a number of Units for sale to its online brokerage account holders. Internet distributions will be allocated by the underwriter that will make internet distributions on the same basis as other allocations. Other than the prospectus in electronic format, the information on these websites is not part of, nor incorporated by reference into, this prospectus or the registration statement of which this prospectus forms a part, has not been approved or endorsed by us or the underwriter in its capacity as underwriter, and should not be relied upon by investors.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Offer Restrictions Outside the United States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Other than in the United States, no action has been taken by us or the underwriter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w:t>
      </w:r>
    </w:p>
    <w:p>
      <w:pPr>
        <w:sectPr>
          <w:pgSz w:w="11900" w:h="16886" w:orient="portrait"/>
          <w:cols w:equalWidth="0" w:num="1">
            <w:col w:w="11240"/>
          </w:cols>
          <w:pgMar w:left="320" w:top="229" w:right="339" w:bottom="0" w:gutter="0" w:footer="0" w:header="0"/>
        </w:sectPr>
      </w:pPr>
    </w:p>
    <w:bookmarkStart w:id="101" w:name="page102"/>
    <w:bookmarkEnd w:id="101"/>
    <w:p>
      <w:pPr>
        <w:jc w:val="both"/>
        <w:spacing w:after="0" w:line="261" w:lineRule="auto"/>
        <w:rPr>
          <w:sz w:val="20"/>
          <w:szCs w:val="20"/>
          <w:color w:val="auto"/>
        </w:rPr>
      </w:pPr>
      <w:r>
        <w:rPr>
          <w:rFonts w:ascii="Times New Roman" w:cs="Times New Roman" w:eastAsia="Times New Roman" w:hAnsi="Times New Roman"/>
          <w:sz w:val="18"/>
          <w:szCs w:val="18"/>
          <w:color w:val="auto"/>
        </w:rPr>
        <w:t>distributed or published in any jurisdiction, except under circumstances that will result in compliance with the applicable rules and regulations of that jurisdiction. Persons who come into possession of this prospectus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Continental Stock Transfer &amp; Trust Company.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Class A Common Stock is listed on Nasdaq under the symbol “PARA.” We do not intend to list the Warrants offered hereunder on any stock exchange. There are no established public trading markets for the Warrants, and we do not expect such markets to develop.</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Lock-Up Agreement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Business Combination, on the Closing Date, the Company and certain stockholders and executives of Legacy Banzai, including Legacy Banzai’s officers, directors, and certain holders of 10% or more of the outstanding shares of Legacy Banzai Common Stock as of the date of the Merger Agreement, entered into Lock-Up Agreements effective as of the Closing Date (each, a “Lock-Up Agreement”). The terms of the Lock-Up Agreements provide that such signatory stockholders agree not to, without the prior written consent of the Company (subject to certain exceptions):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Securities Act and the rules and regulations of the SEC promulgated thereunder, any shares of Common Stock held by him, her, or it immediately after the Closing, any shares of Common Stock issuable upon the exercise of options to purchase shares, or any securities convertible into or exercisable or exchangeable for Common Stock held by him, her, or it immediately after the Closing, (ii) enter into any swap or other arrangement that transfers to another, in whole or in part, any of the economic consequences of ownership of any of such shares of Common Stock or securities convertible into or exercisable or exchangeable for Common Stock, whether any such transaction is to be settled by delivery of such securities, in cash or otherwise, or (iii) publicly announce any intention to effect any transaction specified in clause (i) or (ii) until 180 days after the closing date of the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Registered for Resale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shares being registered with this prospectus, Parabolic filed the following registration statements:</w:t>
      </w:r>
    </w:p>
    <w:p>
      <w:pPr>
        <w:spacing w:after="0" w:line="225" w:lineRule="exact"/>
        <w:rPr>
          <w:sz w:val="20"/>
          <w:szCs w:val="20"/>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S-1 (File No. 333-276307) with the SEC for purposes of registering the resale from time to time of up to 3,031 shares of Common Stock, which was declared effective on February 14,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S-1 (File No. 333-282232) with the SEC for purposes of registering for resale from time to time up to 250,000 shares of Common Stock, which was declared effective on September 26,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S-1 (File No. 333-278871) with the SEC for purposes of registering the resale from time to time of up to 35,294 shares of Common Stock, which was declared effective on May 21,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S-3 (File No. 333-293161) with the SEC for purposes of registering the resale from time to time of up to 58,025 shares of Common Stock, which was declared effective on February 10, 2026.</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S-3 (File No. 333-288935) with the SEC for purposes of registering the resale from time to time of up to 150,283 shares of Common Stock, which was declared effective on August 8,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S-3 (File No. 333-289099) with the SEC for purposes of registering the resale from time to time of up to 900,401 shares of Common Stock, which was declared effective on August 8,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333-292024) with the SEC for purposes of registering for resale up to 207,685 shares of Common Stock, which was declared effective on December 15,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333-290241) with the SEC for purposes of registering the resale from time to time of up to 2,500,000 shares of Common Stock, which was declared effective on September 19, 2025.</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333-282506) with the SEC for purposes of registering the resale from time to time of up to 23,530 shares of Common Stock, which was declared effective on November 24, 2025.</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333-296516) with the SEC for purposes of registering the resale from time to time of up to 230,911 shares of Common Stock underlying the Notes; and up to 164,787 shares of Class A Common Stock underlying the common warrants, which was declared effective on August 6, 2026.</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S-1 (File No. 333-297492) with the SEC for purposes of registering the resale from time to time of up to 1,500,000 shares of Common Stock, which was declared effective on July 27,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144</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Rule 144, a person who has beneficially owned restricted Common Stock or Warrants for at least six months would be entitled to sell their securities provided that (i) such person is not deemed to have been an affiliate of Parabolic at the time of, or at any time during the three months preceding, a sale and (ii) Parabolic is subject to the Exchange Act periodic reporting requirements for at least three months before the sale and has filed all required reports under Section 13 or 15(d) of the Exchange Act during the 12 months (or such shorter period as Parabolic was required to file reports) preceding the sale.</w:t>
      </w:r>
    </w:p>
    <w:p>
      <w:pPr>
        <w:sectPr>
          <w:pgSz w:w="11900" w:h="16838" w:orient="portrait"/>
          <w:cols w:equalWidth="0" w:num="1">
            <w:col w:w="11240"/>
          </w:cols>
          <w:pgMar w:left="320" w:top="229"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Persons who have beneficially owned restricted Common Stock or Parabolic Warrants for at least six months but who are affiliates of Parabolic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76"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total number of shares of Common Stock then outstanding;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Common Stock during the four calendar weeks preceding the filing of a notice on Form 144 with respect to the sale.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by affiliates of Parabolic under Rule 144 are also limited by manner of sale provisions and notice requirements and to the availability of current public information about Parabolic.</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the Use of Rule 144</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76"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 consummation of the Business Combination, we are no longer a shell company. Accordingly, once the conditions set forth in the exceptions listed above are satisfied, Rule 144 will become available for the resale of the above noted restricted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 701</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Rule 701 under the Securities Act generally allows a stockholder who purchases shares of Parabolic capital stock pursuant to a written compensatory plan or contract and who is not deemed to have been an affiliate of Parabolic during the immediately preceding 90 days to sell these shares in reliance upon Rule 144, but without being required to comply with the public information, holding period, volume limitation, or notice provisions of Rule 144. Rule 701 also permits affiliates of Parabolic to sell their Rule 701 shares under Rule 144 without complying with the holding period requirements of Rule 144. However, the Rule 701 shares would remain subject to lock-up arrangements and would only become eligible for sale when the applicable lock-up period expires.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summary of certain material provisions of the Company’s securities does not purport to be complete and is subject to and qualified in its entirety by the provisions of the Charter, the Bylaws and applicable law. The applicable provisions of the Charter and the Bylaws that are filed with the registration statement of which this prospectus forms a part should be read carefully and in their entirety.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Following an amendment to our Certificate of Incorporation on October 30, 2026, our Charter authorizes the issuance of 850,000,000 shares, consisting of 750,000,000 shares of Class A Common Stock, 25,000,000 shares of Class B Common Stock, and 75,000,000 shares of Preferred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Each holder of Class A Common Stock is entitled to one vote for each share of Class A Common Stock held of record by such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all matters voted upon by our stockholders, provided, however, that, except as otherwise required in the Charter, as provided by law or by the resolution(s) or any certificate of designation providing for the issue of any Preferred Stock, the holders of Class A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Dividend rights</w:t>
      </w:r>
      <w:r>
        <w:rPr>
          <w:rFonts w:ascii="Times New Roman" w:cs="Times New Roman" w:eastAsia="Times New Roman" w:hAnsi="Times New Roman"/>
          <w:sz w:val="18"/>
          <w:szCs w:val="18"/>
          <w:color w:val="auto"/>
        </w:rPr>
        <w:t>. Subject to the rights of holders of Preferred Stock, holders of Class A Common Stock and Class B Common Stock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ratably, on a per share basis, dividends and other distributions in cash, stock or property of the Company as may be declared and paid from time to time by the Board out of any of our assets legally available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Rights upon liquidation</w:t>
      </w:r>
      <w:r>
        <w:rPr>
          <w:rFonts w:ascii="Times New Roman" w:cs="Times New Roman" w:eastAsia="Times New Roman" w:hAnsi="Times New Roman"/>
          <w:sz w:val="18"/>
          <w:szCs w:val="18"/>
          <w:color w:val="auto"/>
        </w:rPr>
        <w:t>. Subject to applicable law and the rights of holders of Preferred Stock, holders of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Other rights</w:t>
      </w:r>
      <w:r>
        <w:rPr>
          <w:rFonts w:ascii="Times New Roman" w:cs="Times New Roman" w:eastAsia="Times New Roman" w:hAnsi="Times New Roman"/>
          <w:sz w:val="18"/>
          <w:szCs w:val="18"/>
          <w:color w:val="auto"/>
        </w:rPr>
        <w:t>. No holder of Class A Common Stock is entitled to preemptive or subscription rights contained in the Charter or in the Bylaws.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redemption or sinking fund provisions applicable to Class A Common Stock. The rights, preferences, and privileges of holders of Class A Common Stock are subject to those of the holders of any shares of the Preferred Stock that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5"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Issuance of Class B Common Stock. </w:t>
      </w:r>
      <w:r>
        <w:rPr>
          <w:rFonts w:ascii="Times New Roman" w:cs="Times New Roman" w:eastAsia="Times New Roman" w:hAnsi="Times New Roman"/>
          <w:sz w:val="18"/>
          <w:szCs w:val="18"/>
          <w:color w:val="auto"/>
        </w:rPr>
        <w:t>Shares of Class B Common Stock may be issued only to, and registered in the name of, Mr. Davy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wholly-owned (directly or indirectly) by Mr. Davy, or any trust for the benefit of Mr. Davy, or of which Mr. Davy is a trustee or has sole or shared voting power such that Mr. Davy has Voting Control (as defined in the Charter) over the shares held therein; provided that, in each case, Mr. Davy has sole dispositive power and the exclusive right to direct the voting of all of the shares of Class B Common Stock held by such entity and the transfer does not involve any payment of cash, securities, property or other consideration (other than an interest in such entity) to Mr. Davy (collectively, “Permitted Class B Owners”).</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 Each holder of Class B Common Stock is entitled to 10 votes for each share of Class B Common Stock held of record by such holder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matters voted upon by our stockholders, provided, however, that, except as otherwise required in the Charter, as provided by law or by the resolution(s) or any certificate of designation providing for the issue of any Preferred Stock, the holders of Class B Common Stock are not entitled to vote on any amendment to our Charter that relates solely to the terms of one or more outstanding series of Preferred Stock if the holders of such affected series are entitled, either separately or together with the holders of one or more other such series, to vote thereon pursuant to our Charter (including any certificate of designation relating to any series of Preferred Stock) or pursuant to the DGCL.</w:t>
      </w:r>
    </w:p>
    <w:p>
      <w:pPr>
        <w:spacing w:after="0" w:line="182"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Dividend rights</w:t>
      </w:r>
      <w:r>
        <w:rPr>
          <w:rFonts w:ascii="Times New Roman" w:cs="Times New Roman" w:eastAsia="Times New Roman" w:hAnsi="Times New Roman"/>
          <w:sz w:val="18"/>
          <w:szCs w:val="18"/>
          <w:color w:val="auto"/>
        </w:rPr>
        <w:t>. Subject to the rights of holders of Preferred Stock, holders of Class A Common Stock and Class B Common Stock are entitled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receive ratably, on a per share basis, dividends and other distributions in cash, stock or property of the Company as may be declared and paid from time to time by the Board out of any of our assets legally available therefor.</w:t>
      </w:r>
    </w:p>
    <w:p>
      <w:pPr>
        <w:spacing w:after="0" w:line="17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Rights upon liquidation</w:t>
      </w:r>
      <w:r>
        <w:rPr>
          <w:rFonts w:ascii="Times New Roman" w:cs="Times New Roman" w:eastAsia="Times New Roman" w:hAnsi="Times New Roman"/>
          <w:sz w:val="18"/>
          <w:szCs w:val="18"/>
          <w:color w:val="auto"/>
        </w:rPr>
        <w:t>. Subject to applicable law and the rights of holders of Preferred Stock, holders of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shall be entitled to receive ratably the assets and funds of the Company available for distribution in the event of any liquidation, dissolution or winding up of the Company, whether voluntary or involuntary, unless disparate or different treatment of the shares of each such class with respect to distributions upon any such liquidation, dissolution or winding up is approved in advance by holders of a majority of the outstanding shares of Class A Common Stock and the holders of a majority of the outstanding shares of Class B Common Stock, each voting separately as a class.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Transfers</w:t>
      </w:r>
      <w:r>
        <w:rPr>
          <w:rFonts w:ascii="Times New Roman" w:cs="Times New Roman" w:eastAsia="Times New Roman" w:hAnsi="Times New Roman"/>
          <w:sz w:val="18"/>
          <w:szCs w:val="18"/>
          <w:color w:val="auto"/>
        </w:rPr>
        <w:t>. Pursuant to the Charter, holders of shares of Class B Common Stock are generally restricted from transferring such shares, other than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Class B Owner or in connection with a divorce or domestic relations order or decree.</w:t>
      </w:r>
    </w:p>
    <w:p>
      <w:pPr>
        <w:spacing w:after="0" w:line="155"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b w:val="1"/>
          <w:bCs w:val="1"/>
          <w:color w:val="auto"/>
        </w:rPr>
        <w:t>Conversion</w:t>
      </w:r>
      <w:r>
        <w:rPr>
          <w:rFonts w:ascii="Times New Roman" w:cs="Times New Roman" w:eastAsia="Times New Roman" w:hAnsi="Times New Roman"/>
          <w:sz w:val="17"/>
          <w:szCs w:val="17"/>
          <w:color w:val="auto"/>
        </w:rPr>
        <w:t>. Each share of Class B Common Stock will be (1) automatically converted into an equal number of fully paid and nonassessable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A Common Stock upon any Transfer (as defined in the Charter) of such shares of Class B Common Stock, except for a Permitted Transfer (as defined in the Charter) and (2) subject to conversion into an equal number of fully paid and nonassessable shares of Class A Common Stock at the determination of the Board 90 days after the earliest date (the “Termination Anniversary Date”) that any of the following conditions are satisfied: (i) Mr. Davy’s employment as Chief Executive Officer being terminated for cause or due to death or permanent disability; (ii) Mr. Davy resigns (other than for good reason) as the Chief Executive Officer of the Company; or (iii) Mr. Davy no longer serves as a member of the Board. In the event that Mr. Davy is reinstated as the Chief Executive Officer of the Company or is reelected or reappointed to serve as a member of the Board prior to the Termination Anniversary Date (each, a “Reset Event”), then the shares of Class B Common Stock will not be converted pursuant to clause (2) unless and until the ninety-day anniversary of the date that any of the foregoing conditions are subsequently met; provided that in the event of a subsequent Reset Event, the next Termination Anniversary Date will extend until the ninety-day anniversary of the date that any of the foregoing conditions are subsequently met without a Reset Event occurring prior to such anniversary. In addition, upon delivery by Mr. Davy of written notice (a “Conversion Notice”) to the Company at any time requesting the conversion of all or a portion of the shares of Class B Common Stock held by Mr. Davy, the Company shall, without further action on the part of the Company or any holder of shares of Class B Common Stock, be converted into an equal number of fully paid and nonassessable shares of Class A Common Stock (a “Voluntary Conversion”). The election by the Founder to effect a Voluntary Conversion shall be irrevocable.</w:t>
      </w:r>
    </w:p>
    <w:p>
      <w:pPr>
        <w:spacing w:after="0" w:line="17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Other rights</w:t>
      </w:r>
      <w:r>
        <w:rPr>
          <w:rFonts w:ascii="Times New Roman" w:cs="Times New Roman" w:eastAsia="Times New Roman" w:hAnsi="Times New Roman"/>
          <w:sz w:val="18"/>
          <w:szCs w:val="18"/>
          <w:color w:val="auto"/>
        </w:rPr>
        <w:t>. No holder of Class B Common Stock is entitled to preemptive or subscription rights contained in the Charter or in the Bylaws. There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redemption or sinking fund provisions applicable to Class A Common Stock. The rights, preferences, and privileges of holders of the shares of Class B Common Stock are subject to those of the holders of any shares of the Preferred Stock that the Company may issue in the future.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Board has the authority to issue shares of preferred stock from time to time on terms it may determine, to divide shares of preferred stock into one or more series and to fix the designations, preferences, privileges, and restrictions of preferred stock, including dividend rights, conversion rights, voting rights, terms of redemption, liquidation preference, sinking fund terms, and the number of shares constituting any series or the designation of any series to the fullest extent permitted by the DGCL. The issuance of Preferred Stock could have the effect of decreasing the trading price of Class A Common Stock, restricting dividends on the capital stock of the Company, diluting the voting power of Class A Common Stock, impairing the liquidation rights of the capital stock of the Company, or delaying or preventing a change in control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Series FE Preferred Stock</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 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 In connection with the ConnectAndSell Acquisition, the Company and FE IV OR Aggregator, LLC have agreed to cancel the single outstanding share of Series FE Preferred Stock, which FE IV OR Aggregator, LLC owns, and terminate all rights, preferences, privileges, or obligations associated therewith.</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Series A Warrants, Series B Warrants, Placement Agent Warrants, Warrants and Pre-Funded Warrants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Pre-Funded Warrants. The Company has issued Pre-Funded Warrants to purchase up to an aggregate of 588 shares of Common Stock. The Pre-Funded Warrants were issued pursuant to the Purchase Agreement, dated as of September 24, 2024, between the Company and the investor party thereto. Each Pre-Funded Warrant has an exercise price of $2.00 per share. The Pre-Funded Warrants are immediately exercisable and will not expire until exercised in full. The exercise price and the number of shares of Common Stock issuable upon exercise of the Pre-Funded Warrants are subject to appropriate adjustment in the event of stock dividends, stock splits, reorganizations, or similar events affecting the Common Stock.</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holder of Pre-Funded Warrants or Warrants may not exercise any portion of such warrants to the extent that, immediately after giving effect to such exercise, the holder, together with its affiliates and any other persons acting as a group together with the holder or any of its affiliates, would beneficially own in excess of 4.99% (or, at the election of the holder prior to the date of issuance, 9.99%) of the number of shares of Common Stock outstanding immediately after giving effect to such exercise (the “Beneficial Ownership Limitation”). The holder, upon not less than 61 days’ prior written notice to the Company, may increase or decrease the Beneficial Ownership Limitation; provided that the Beneficial Ownership Limitation may not exceed 9.99% of the number of shares of Common Stock outstanding immediately after giving effect to the exercise. Fundamental Transactions. In the event of a fundamental transaction (as defined in the Warrants), including, without limitation, any merger, consolidation, sale of all or substantially all of the Company’s assets, tender offer, or exchange offer, the holders of the Warrants will be entitled to receive, upon exercise of the Warrants, the same type or form of consideration (and in the same proportion) that is being offered and paid to the holders of Common Stock in connection with such fundamental transaction. In addition, in the event of a fundamental transaction, each holder of a Warrant will have the right, exercisable at any time within 30 days following the consummation of such fundamental transaction, to require the Company or the successor entity to repurchase such holder’s Warrants for consideration equal to the Black-Scholes Value (as defined in the Warrants) of the unexercised portion of such Warrants, payable either in cash or in the same type or form of consideration as is being offered and paid to the holders of Common Stock in connection with such fundamental transaction.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Series A Warrants. The Company has issued Series A Warrants to purchase up to an aggregate of 588 shares of Common Stock. The Series A Warrants were issued pursuant to the Purchase Agreement. Each Series A Warrant has an exercise price of $8,000.00 per share (subject to adjustment as described below). The Series A Warrants are immediately exercisable upon issuance and have a term of exercise of five (5) years from the date of issuance. The Series A Warrants are exercisable on a cashless basis if, at the time of exercise, there is no effective registration statement registering, or the prospectus contained therein is not available for the issuance of, the shares of Common Stock underlying the Series A Warrants. The exercise price and the number of shares of Common Stock issuable upon exercise of the Series A Warrants are subject to appropriate adjustment in the event of stock dividends, stock splits, reorganizations, or similar events affecting the Common Stock. Pursuant to the Waiver (as defined herein), the exercise price of the Series A Warrants was reduced from $8,000.00 to $5,000.00 per share.</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Series B Warrants. The Company has issued Series B Warrants to purchase up to an aggregate of 588 shares of Common Stock. The Series B Warrants were issued pursuant to the Purchase Agreement. Each Series B Warrant has an exercise price of $8,000.00 per share (subject to adjustment as described below). The Series B Warrants are immediately exercisable upon issuance and have a term of exercise of eighteen (18) months from the date of issuance. The Series B Warrants are exercisable on a cashless basis if, at the time of exercise, there is no effective registration statement registering, or the prospectus contained therein is not available for the issuance of, the shares of Common Stock underlying the Series B Warrants. The exercise price and the number of shares of Common Stock issuable upon exercise of the Series B Warrants are subject to appropriate adjustment in the event of stock dividends, stock splits, reorganizations, or similar events affecting the Common Stock. Pursuant to the Waiver, the exercise price of the Series B Warrants was reduced from $8,000.00 to $5,000.00 per share.</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Placement Agent Warrants. In connection with the Private Placement, the Company issued to H.C. Wainwright &amp; Co., LLC (“Wainwright”) or its designees Placement Agent Warrants to purchase up to an aggregate of 44 shares of Common Stock (subject to increase as described below). The Placement Agent Warrants were issued pursuant to the Engagement Letter, dated as of September 12, 2024, as amended, between the Company and Wainwright. Each Placement Agent Warrant has an exercise price of $10,625.00 per share. The Placement Agent Warrants are immediately exercisable upon issuance and have a term of exercise of five (5) years from the date of issuance. If any Warrants are exercised for cash, the Company will be obligated to issue to Wainwright additional Placement Agent Warrants equal to 7.5% of the aggregate number of Warrants so exercised. The Placement Agent Warrants have substantially the same terms as the Warrants, including with respect to exercise mechanics, beneficial ownership limitations, cashless exercise, and fundamental transaction provisions. The exercise price and the number of shares of Common Stock issuable upon exercise of the Placement Agent Warrants are subject to appropriate adjustment in the event of stock dividends, stock splits, reorganizations, or similar events affecting the Common Stock.</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Pre-Funded Warrants, the Series A Warrants, the Series B Warrants, and the Placement Agent Warrants are collectively referred to as the “September 2024 Warrants.” Below are summaries of the material terms of the September 2024 Warrants: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the holders of the September 2024 Warrants shall not be entitled to vote on any matter submitted to the stockholders of the Company for a vote, and shall not be entitled to receive dividends or other distributions declared or paid on shares of Common Stock, in each case prior to the exercise of such September 2024 Warrants and the issuance of the underlying shares of Common Stock.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September 2024 Warrants may be transferred by the holders thereof, subject to applicable securities laws and the transfer restrictions set forth in the respective warrant instruments. Governing Law. The September 2024 Warrants are governed by, and construed in accordance with, the laws of the State of New York, without regard to the principles of conflicts of law.</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Company agreed not to issue any shares of Common Stock or Common Stock equivalents, or to file any other registration statement with the SEC (in each case, subject to certain exceptions), until sixty (60) days after the effective date of the registration statement filed in connection with the Private Placement. The Company also agreed not to effect any Variable Rate Transaction (as defined in the Purchase Agreement) until one (1) year after such effective date (subject to certain exceptions). In connection with the merger with OpenReel, Inc. (the “OR Merger”), the investor party to the Purchase Agreement agreed to waive the foregoing restrictions (the “Waiver”). In consideration for the Waiver, the Company agreed to reduce the exercise price of the September 2024 Warrants issued to such investor from $8,000.00 to $5,000.00 per share.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Private Placement, the Company entered into a Registration Rights Agreement, dated as of September 24, 2024, with the investor, pursuant to which the Company agreed to prepare and file a registration statement on Form S-1 to register the resale of the shares of Common Stock issuable upon exercise of the September 2024 Warrants. The Company agreed to use its best efforts to cause such registration statement to be declared effective as promptly as practicable, and in any event no later than forty-five (45) days following the date of the Registration Rights Agreement (or seventy-five (75) days following such date in the event of a “full review” by the SEC). The Company filed an initial registration statement on Form S-1 (File No. 333-282506) with the SEC on October 4, 2024, which was declared effective on November 6, 2024. The Registration Rights Agreement contains customary terms regarding indemnification, contribution, and suspension of the use of the registration statement.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CP BF Warrants and Pre-Funded Warrants; Alco Warrants and Pre-Funded Warrants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CP BF Warrants. </w:t>
      </w:r>
      <w:r>
        <w:rPr>
          <w:rFonts w:ascii="Times New Roman" w:cs="Times New Roman" w:eastAsia="Times New Roman" w:hAnsi="Times New Roman"/>
          <w:sz w:val="18"/>
          <w:szCs w:val="18"/>
          <w:color w:val="auto"/>
        </w:rPr>
        <w:t>Pursuant to the CP BF SPA, the Company issued to CP BF Warrants to purchase up to an aggregate of 283 shares of Class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Each CP BF Warrant has an initial exercise price of $500.00 per share, subject to adjustment as described below. The CP BF Warrants are immediately exercisable upon issuance and have a term of exercise of five (5) years from the date of issuance. The CP BF Warrants are exercisable on a cashless basis if, at the time of exercise, there is no effective registration statement registering, or the prospectus contained therein is not available for the issuance of, the shares of Common Stock underlying the CP BF Warrants. The exercise price and the number of shares of Common Stock issuable upon exercise of the CP BF Warrants are subject to appropriate adjustment in the event of stock dividends, stock splits, reorganizations, or similar events affecting the Common Stock.</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color w:val="auto"/>
        </w:rPr>
        <w:t>CP BF Pre-Funded Warrants</w:t>
      </w:r>
      <w:r>
        <w:rPr>
          <w:rFonts w:ascii="Times New Roman" w:cs="Times New Roman" w:eastAsia="Times New Roman" w:hAnsi="Times New Roman"/>
          <w:sz w:val="18"/>
          <w:szCs w:val="18"/>
          <w:color w:val="auto"/>
        </w:rPr>
        <w:t>. Pursuant to the CP BF SPA, the Company issued to CP BF Pre-Funded Warrants to purchase up to an aggregate of 152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Class A Common Stock. Each CP BF Pre-Funded Warrant has an exercise price of $0.20 per share. The CP BF Pre-Funded Warrants are immediately exercisable upon issuance and will not expire until exercised in full. The exercise price and the number of shares of Common Stock issuable upon exercise of the CP BF Pre-Funded Warrants are subject to appropriate adjustment in the event of stock dividends, stock splits, reorganizations, or similar events affecting the Common Stock.</w:t>
      </w:r>
    </w:p>
    <w:p>
      <w:pPr>
        <w:spacing w:after="0" w:line="17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Alco Warrants. </w:t>
      </w:r>
      <w:r>
        <w:rPr>
          <w:rFonts w:ascii="Times New Roman" w:cs="Times New Roman" w:eastAsia="Times New Roman" w:hAnsi="Times New Roman"/>
          <w:sz w:val="18"/>
          <w:szCs w:val="18"/>
          <w:color w:val="auto"/>
        </w:rPr>
        <w:t>Pursuant to the Alco Transaction Documents, the Company issued to Alco Warrants to purchase up to an aggregate of 666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 A Common Stock, on substantially the same terms as the CP BF Warrants, including with respect to exercise price, exercise mechanics, cashless exercise, anti-dilution adjustments, beneficial ownership limitations, and fundamental transaction provisions.</w:t>
      </w:r>
    </w:p>
    <w:p>
      <w:pPr>
        <w:spacing w:after="0" w:line="17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Alco Pre-Funded Warrants. </w:t>
      </w:r>
      <w:r>
        <w:rPr>
          <w:rFonts w:ascii="Times New Roman" w:cs="Times New Roman" w:eastAsia="Times New Roman" w:hAnsi="Times New Roman"/>
          <w:sz w:val="18"/>
          <w:szCs w:val="18"/>
          <w:color w:val="auto"/>
        </w:rPr>
        <w:t>Pursuant to the Alco Transaction Documents, the Company issued to Alco Pre-Funded Warrants to purchase up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of 525 shares of Class A Common Stock, on substantially the same terms as the CP BF Pre-Funded Warrants, including with respect to exercise price, exercise mechanics, and anti-dilution adjustments.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CP BF Warrants, the CP BF Pre-Funded Warrants, the Alco Warrants, and the Alco Pre-Funded Warrants are collectively referred to as the “Transaction Warrants.” Below are summaries of the material terms of the Transaction Warrants: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Transaction Warrants may be exercised to the extent that, immediately after giving effect to such exercise, the holder, together with its affiliates and any other persons acting as a group together with the holder or any of its affiliates, would beneficially own in excess of 19.99% of the number of shares of Common Stock outstanding immediately after giving effect to such exercise.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Except as otherwise required by law, the holders of the Transaction Warrants shall not be entitled to vote on any matter submitted to the stockholders of the Company for a vote, and shall not be entitled to receive dividends or other distributions declared or paid on shares of Common Stock, in each case prior to the exercise of such Transaction Warrants and the issuance of the underlying shares of Common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Warrants may be transferred by the holders thereof, subject to applicable securities laws and the transfer restrictions set forth in the respective warrant instruments.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 Warrants are governed by, and construed in accordance with, the laws of the State of New York, without regard to the principles of conflicts of law.</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issuance of the Transaction Warrants, the Company entered into Registration Rights Agreements with each of CP BF and Alco, pursuant to which the Company agreed to prepare and file a registration statement to register the resale of the shares of Common Stock issuable upon exercise of the Transaction Warrants. The Company agreed to use its commercially reasonable efforts to cause such registration statement to become effective on or before December 9, 2024. The Registration Rights Agreements contain customary terms regarding indemnification, contribution, and suspension of the use of the registration statement.</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Public Stockholder Warrants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$1,150,000.00 per share, subject to adjustment as discussed below, at any time commencing 30 days after the completion of the Business Combination (January 13, 2024) (subject to certain exceptions). Pursuant to the Warrant Agreement, a warrant holder may exercise its Public Warrants only for a whole number of shares of Class A Common Stock. The Public Warrants will expire five years after the Closing, at 5:00 p.m., New York City time.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Redemption of Public Warrants When the price per Share of Class A Common Stock Equals or Exceeds $1,800,000.00.</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$1,000.00 per Public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to each warrant holder;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$1,800,000 per share (as adjusted for adjustments to the number of shares issuable upon exercise or the exercise price of a Public Warrant as described under the heading “- Warrants-Public Stockholder Warrants-Anti-dilution Adjustments”) for any 20 trading days within a 30-trading day period ending three trading days before the Company sends the notice of redemption to the warrant holders.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 redemption trigger price (as adjusted for certain adjustments to the number of shares issuable upon exercise or the exercise price of a Public Warrant as described under the heading “-Warrants-Public Stockholder Warrants-Anti-dilution Adjustments”) as well as the $1,150,000.00 (for whole shares) Public Warrant exercise price after the redemption notice is issued.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Redemption Procedures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the Company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4.9% or 9.8% (or such other amount as a holder may specify) of the shares of Class A Common Stock issued and outstanding immediately after giving effect to such exercise.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Anti-dilution Adjustments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increased by a stock dividend payable in shares of Class A Common Stock, or by a split-up of shares of common stock or other similar event, then, on the effective date of such stock dividend, split-up or similar event, the number of shares of Class A Common Stock issuable on exercise of each Public Warrant will be increased in proportion to such increase in the outstanding shares of Class A Common Stock. A rights offering made to all or substantially all holders of Class A Common Stock entitling holders to purchase shares of Class A Common Stock at a price less than the “historical fair market value” (as defined below) will be deemed a stock dividend of a number of shares of Class A Common Stock equal to the product of (i) the number of shares of Class A Common Stock actually sold in such rights offering (or issuable under any other equity securities sold in such rights offering that are convertible into or exercisable for shares of Class A Common Stock) and (ii) one (1) minus the quotient of (x) the price per share of Class A Common Stock paid in such rights offering and (y) the historical fair market value. For these purposes, (i) if the rights offering is for securities convertible into or exercisable for shares of Class A Common Stock, in determining the price payable per share of Class A Common Stock, there will be taken into account any consideration received for such rights, as well as any additional amount payable upon exercise or conversion and (ii) “historical fair market value” means the volume weighted average price per share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if the Company, at any time while the Public Warrants are outstanding and unexpired, pays a dividend or makes a distribution in cash, securities or other assets to the holders of Class A Common Stock on account of such shares (or other securities into which the warrants are convertible), other than (a) as described above or (b) any cash dividends or cash distributions which, when combined on a per share basis with all other cash dividends and cash distributions paid on the shares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issuable on exercise of each Public Warrant) does not exceed $50.00, then the Public Warrant price shall be decreased, effective immediately, by the amount of cash and/or fair market value (as determined by the Board in good faith) of any securities or other assets paid on each share.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number of outstanding shares of Class A Common Stock is decreased by a consolidation, combination, reverse stock split or reclassification of Class A Common Stock or other similar event, then, on the effective date of such consolidation, combination, reverse stock split, reclassification or similar event, the number of shares of Class A Common Stock issuable on exercise of each Public Warrant will be decreased in proportion to such decrease in outstanding shares of Class A Common Stock.</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the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spacing w:after="0" w:line="180"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the Company with or into another entity (other than a consolidation or merger in which the Company is the continuing corporation and that does not result in any reclassification or reorganization of our outstanding shares of Class A Common Stock), or in the case of any sale or conveyance to another entity of the assets or other property of the Company as an entirety or substantially as an entirety in connection with which the Company is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the exercise of the rights represented thereby, the kind and amount of shares of Class A Common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Class A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shares of Class A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Class A Common Stock in such a transaction is payable in the form of shares of Class A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Warrant Agreement based on the Black-Scholes warrant value (as defined in the Warrant Agreement) of the Public Warrant. The purpose of such exercise price reduction is to provide additional value to holders of the Public Warrants when an extraordinary transaction occurs during the exercise period of the Public Warrants pursuant to which the holders of the Public Warrants otherwise do not receive the full potential value of the Public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Public Warrants were issued in registered form under the Warrant Agreement. The warrant holders do not have the rights or privileges of holders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of Class A Common Stock held of record on all matters to be voted on by holders of Class A Common Stock.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GEM Warrant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GEM Warrant entitles GEM to purchase up to 8 shares of Class A Common Stock at an exercise price of $649,000.00 per share. The exercise price will be adjusted to 105% of the then-current exercise price if on December 15, 2024, the GEM Warrant has not been exercised in full, and the average closing price per share of Class A Common Stock for the 10 trading days preceding December 15, 2024, is less than 90% of the then-current exercise price. GEM may exercise the GEM Warrant at any time and from time to time until December 15, 2026.</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the GEM Warrant provide that the exercise price of the GEM Warrant, and the number of shares of Class A Common Stock for which the GEM Warrant may be exercised, are subject to adjustment to account for increases or decreases in the number of outstanding shares of Class A Common Stock resulting from stock splits, reverse stock splits, consolidations, combinations, and reclassifications. Additionally, the GEM Warrant contains weighted average anti-dilution provisions that provide that if the Company issues shares of Class A Common Stock, or securities convertible into or exercisable or exchangeable for, shares of Class A Common Stock at a price per share that is less than 90% of the exercise price then in effect or without consideration, then the exercise price of the GEM Warrant upon each such issuance will be adjusted to the price equal to 105% of the consideration per share paid for such Class A Common Stock or other securities. The issuance of shares of Class A Common Stock in this offering may cause such an adjustment in the exercise price of the GEM Warrant.</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GEM Warrant is subject to a restriction on exercise of the GEM Warrant such that the GEM Warrant may not be exercised if such exercise would result in the beneficial ownership of the holder and its affiliates in excess of 9.99% of the then-issued and outstanding shares of Class A Common Stock.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Warrants issued in connection with the Senior Secured Convertible Notes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“Debt – Senior Secured Convertible Notes”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ConnectAndSell Pre-Funded Warrants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the ConnectAndSell asset purchase agreement, as partial consideration, the Company issued a Pre-Funded Warrant (the “ConnectAndSell Pre-Funded Warrant”) to ConnectAndSell, Inc. to purchase up to an aggregate of 168,518 shares of Class A Common Stock. The ConnectAndSell Pre-Funded Warrant has an exercise price of $0.0001 per share, subject to adjustment, is exercisable upon receipt of CAS Stockholders’ Approval (as defined in the ConnectAndSell APA) and will not expire until exercised in full. The ConnectAndSell Pre-Funded Warrant is registered in the Company’s books and records but will not be listed for trading on any stock exchange or trading market. The Company agreed to register for resale the shares of Class A Common Stock issuable upon exercise of the ConnectAndSell Pre-Funded Warrant.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Senior Convertible Notes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23, 2024, the Company issued an amended and restated senior convertible note (the “Senior Convertible Note”) to CP BF in an aggregate principal amount of approximately $3.1 million, which amended and restated certain prior senior convertible notes originally issued by Legacy Banzai to CP BF in 2021 and 2022 in connection with the Loan Agreement, as subsequently amended.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After the Closing, the Senior Convertible Note is convertible, at CP BF’s option on 5 days’ written notice to the Company, into shares of Class A Common Stock. The Senior Convertible Note provides that the initial fixed conversion price for any such conversion is $500.00 per share, subject to adjustment as provided therein and as amended by the letter agreement described below.</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terms of the Senior Convertible Notes provide that the conversion price of the Senior Convertible Notes is subject to adjustment to account for increases or decreases in the number of outstanding shares of the Company’s capital stock resulting from stock splits, reverse stock splits, consolidations, combinations, reclassifications, and dividends on capital stock payable in capital stock. In the event the Company issues dividends on capital stock payable in cash, the Senior Convertible Notes entitle the holder to receive upon conversion, a dividend or other distribution in an amount equal to the amount the holder would have received if all outstanding principal and accrued but unpaid interest had been converted into Class A Common Stock on the date of such event, in accordance with the terms of the Senior Convertible Notes.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Senior Convertible Note accrues paid-in-kind interest on the unpaid principal balance at a rate equal to 15.5% per annum, compounding monthly, subject to an increase to 20.0% upon an event of default as described in the Senior Convertible Note, and has a maturity date of February 19, 2027.</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Senior Convertible Note is subject to a restriction on conversion such that the principal of the Senior Convertible Note may not be converted if such conversion would result in the beneficial ownership of CP BF and its affiliates in excess of 19.99% of shares of Common Stock outstanding immediately after giving effect to the conversion (provided that such beneficial ownership limitation shall be 9.99% with respect to any holder other than CP BF and such holder’s affiliates).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Pursuant to letter agreements, the following amendments were made to the Loan Agreement and Note in October 2025 and then amended again in May 2026:</w:t>
      </w:r>
    </w:p>
    <w:p>
      <w:pPr>
        <w:spacing w:after="0" w:line="162" w:lineRule="exact"/>
        <w:rPr>
          <w:sz w:val="20"/>
          <w:szCs w:val="20"/>
          <w:color w:val="auto"/>
        </w:rPr>
      </w:pPr>
    </w:p>
    <w:p>
      <w:pPr>
        <w:ind w:left="660" w:hanging="328"/>
        <w:spacing w:after="0" w:line="282"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is reduced to a price equal to 95% of the price of the Class A Common Stock on the trading day (each a “Trading Day”) immediately preceding delivery of any Conversion Notice, subject to a floor price of $45.00, as amended.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CP BF shall take commercially reasonable actions to partially convert the Balance into shares of Class A Common Stock at the new conversion price. However, the Letter Agreement limits the amount of shares CP BF can sell (or convert) to 5% of the aggregate daily trading volume and we maintain the right to waive or increase such limitation.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time that we pay at least $2,000,000 of the Balance until the earlier of (a) 60 days following the date of the Letter Agreement and (b) our receipt of $10,000,000 in gross proceeds for the sale of our securities, (such period, the “Suspension Period”), we are no longer required to prepay a certain percentage of other proceeds we receive from securities offerings to CP BF, as originally required in the Loan Agreement.</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per the letter agreement, we agreed to use an agreed upon portion of other debt to partially prepay the balance. We also agreed to reserve that number of shares of Class A Common Stock equal to 120% of the number of shares of Class A Common Stock issuable upon full conversion of the Balance at the new conversion price and to register 100% of all such shares with the SEC within 60 days of the letter agreement. As per the letter agreement, subject to their receipt of $2,000,000 and the filing of this registration statement, CP BF also agreed to waive certain events of default that may have occurred or be occurring as of the date of the letter agreement; CP BF also agreed that until December 31, 2025, it shall not exercise any right or remedy associated with any failure on our part to comply with certain financial covenants set forth in the Loan Agreement, as they relate to the period ending September 30, 2025. Our failure to comply with the letter agreement shall constitute an Event of Default under the Loan Agreement.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GEM Promissory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GEM Promissory Note has an aggregate amount of $1.0 million, with principal on the GEM Promissory Note, together with all accrued but unpaid interest on such principal amount, to be paid to GEM, in cash, in monthly payments of $100,000 on the first day of each month, beginning on March 1, 2024, with the final payment to be made on December 1, 2024. At any time and from time to time, the Company may prepay in whole or in part, without premium or penalty, the outstanding principal amount of the GEM Promissory Note, together with all accrued but unpaid interest on such principal amount up to the date of prepayment.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GEM Promissory Note provides that, in the event that the Company fails to make a monthly payment when due, then on or before the fifth trading day after the payment due date, such monthly payment amount shall convert into the right of GEM to receive, and obligation of the Company to issue, an amount of shares of Class A Common Stock equal to the monthly payment amount divided by the VWAP for the trading day immediately preceding the payment due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Yorkville Promissory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14, 2023, 7GC, Legacy Banzai and Yorkville entered into the Original SEPA and, on February 5, 2024, the Company and Yorkville entered into the Supplemental SEPA Agreement, pursuant to which, subject to certain conditions, the Company has the option, but not the obligation, to sell to Yorkville, and Yorkville must subscribe for, an aggregate amount of up to $100 million of Class A Common Stock, at the Company’s request any time during the commitment period (all as further described below under “- Yorkville SEPA.”</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SEPA, Yorkville advanced to the Company the Pre-Paid Advance in a principal amount equal to $4.5 million, which amount is evidenced by promissory notes convertible into shares of Class A Common Stock. The first Pre-Paid Advance in a principal amount of $2.0 million (less a 10% discount) was advanced at the Closing and was evidenced by issuance by the Company on December 14, 2023 to Yorkville of the First Yorkville Promissory Note having a principal amount of $2.0 million, the Second Tranche of $1.0 million (less a 10% discount) was advanced on February 5, 2024 and is evidenced by the issuance by the Company on February 5, 2024 of the Second Yorkville Promissory Note having a principal amount of $1.0 million and the Third Tranche of $1.5 million (less a 10% discount) was advanced on March 26, 2024 and is evidenced by the issuance by the Company on March 26, 2024 to Yorkville of the Third Promissory Note having a principal amount of $1.5 million.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Yorkville Promissory Notes shall be convertible by Yorkville into shares of Class A Common Stock at an aggregate purchase price based on a price per share equal to the lower of (a) the Fixed Price of $1,038.30 per share or (b) the Variable Price of 90% of the lowest daily VWAP of the shares of Class A Common Stock on The Nasdaq Global Market during the ten trading days immediately prior to each conversion, but which Variable Price shall not be lower than the applicable floor price then in effect. The applicable floor price is $50.00 per share (subject to adjustment from time to time). 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five (5) trading days’ prior written notice thereof and (ii) on the date such notice is issued, the VWAP of the shares of Class A Common Stock is less than $1,038.30 (subject to adjustment from time to time, the “Fixed Price”).</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Yorkville Promissory Notes accrue interest on the outstanding principal balances at an annual rate equal to 0%, subject to an increase to 18% upon an event of default as described in the Yorkville Promissory Notes.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Yorkville Promissory Notes each mature on June 14, 2024, which maturity is expected to be extended to the date that is 120 days after the repayment of a portion of the Yorkville Promissory Notes described under the heading “Summary-Recent Developments” in this prospectus is completed and which maturity may be extended at the option of the holder.</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Within seven trading days of an Amortization Event (as defined in the Yorkville Promissory Notes), the Company will be obligated to make monthly cash payments in an amount equal to the sum of (i) $1.0 million of principal of the Yorkville Promissory Notes (or the outstanding principal if less than such amount) (the “Amortization Principal Amount”), plus (ii) a payment premium of 10% in respect of such Amortization Principal Amount, plus (iii) accrued and unpaid interest thereunder. The obligation of the Company to make monthly prepayments shall cease (with respect to any payment that has not yet come due) if at any time after an Amortization Event (a) the Company reduces the applicable floor price to an amount no more than 75% of the closing price of the shares of Class A Common Stock on the trading day immediately prior to such reset notice (and no greater than the initial Floor Price), or (b) the daily VWAP is greater than the applicable floor price for a period of ten consecutive trading days, unless a subsequent Amortization Event occurs.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Yorkville SEPAs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Yorkville, pursuant to which Yorkville has committed to purchase up to $100 million of Class A Common Stock, subject to certain limitations and conditions set forth in the SEPA, including certain beneficial ownership limitations, at our request any time pursuant to Advance Notices delivered by the Company any time during the commitment period terminating on the 36-month anniversary of the Original SEPA; provided that any Advance Notice may only be made if (x) no amount remains outstanding on the Yorkville Promissory Notes, (y) there is an effective Resale Registration Statement filed with the SEC for the resale under the Securities Act of the shares of Class A Common Stock to be issued pursuant to such Advance Notice, and (z) the Company complies with other customary conditions precedent.</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during the Commitment Period and provided that a balance under a Yorkville Promissory Note is outstanding, Yorkville may, by providing an Investor Notice to the Company, require the Company to issue and sell shares to Yorkville as set out in the relevant Investor Notice, subject to certain limitations as set forth in the SEPA. The purchase price of the shares delivered pursuant to an Investor Notice shall be equal to the Conversion Price and shall be paid by offsetting the amount of the aggregate purchase price to be paid by Yorkville against an equal amount outstanding under the Promissory Note.</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Otherwise, Class A Common Stock to be issued to Yorkville from time to time under the SEPA will be issued at one of two pricing options, at the election of the Company. Under Pricing Option 1, the Company will sell Class A Common Stock at 95% of the VWAP of Class A Common Stock during the period commencing (i) if submitted to Yorkville prior to 9:00 a.m. Eastern Time on a trading day, the open of trading on such day or (ii) if submitted to Yorkville after 9:00 a.m. on a trading day, upon receipt by the Company of written confirmation of acceptance of such Advance Notice by Yorkville (or the open of regular trading hours, if later), and which confirmation shall specify such commencement time, and, in either case, ending on 4:00 p.m. New York City time on the applicable date of the Advance Notice. Under Pricing Option 2, the Company will sell Class A Common Stock at 96% of the lowest daily VWAP of Class A Common Stock during the period commencing (i) if submitted to Yorkville prior to 9:00 a.m. Eastern Time, the three consecutive trading days commencing on the date of the Advance Notice or (ii) if submitted to Yorkville after 9:00 a.m. Eastern Time, the three consecutive trading days commencing on the trading day immediately following the date of the Advance Notice.</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ability to deliver Advance Notices to Yorkville is subject to the satisfaction or waiver of certain conditions.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SEPA does not require Yorkville to subscribe for or acquire any shares of Class A Common Stock under the SEPA if those shares of Class A Common Stock, when aggregated with all other shares of Class A Common Stock acquired by Yorkville under the SEPA, would result in Yorkville beneficially owning more than 9.99% of the then outstanding shares of Class A Common Stock.</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22, 2024, the Company entered into an Amended and Restated Debt Repayment Agreement (the “Amended Debt Repayment Agreement”) with Yorkville with respect to the unsecured promissory note in the principal amount of $2,000,000 issued to Yorkville on December 14, 2023 (the “December Promissory Note”) and the unsecured promissory note in the principal amount of $1,500,000 issued to Yorkville on March 26, 2024 (the “March Promissory Note,” together with the December Promissory Note, the “Promissory Notes”). The Amended Debt Repayment Agreement amends and restates the Debt Repayment Agreement, dated as of May 3, 2024, by and between the Company and Yorkville. The Company issued the Promissory Notes pursuant to a Standby Equity Purchase Agreement, dated as of December 14, 2023, by and among Yorkville and the Company, as amended from time to time (the “SEPA”). As of the date hereof, the Promissory Notes have been fully repaid.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Amended Debt Repayment Agreement, Yorkville agreed that, after the Company completed the Best Efforts Offering and repaid an aggregate of $750,000 outstanding under the Promissory Notes from the proceeds of such offering (the “Repayment Amount”), Yorkville will not to deliver to the Company any Investor Notice (as defined in the SEPA) and will not exercise its right to convert the remainder of the amount outstanding under the Promissory Notes for a period commencing on May 28, 2024 and ending on August 26, 2024; provided that the Company will seek any consents necessary to allow Yorkville to issue Investor Notices or exercise its right to convert the remainder of the amount outstanding under the Promissory Notes after a period of 60 days following the closing of the Best Efforts Offering. Under the Amended Debt Repayment Agreement, the Company and Yorkville also agreed to extend the maturity date of the Promissory Notes to September 25, 2024, and to satisfy the $75,000 payment premium due in connection with an early redemption through the issuance of an Advance Notice (as defined in the SEPA) for shares of the Class A Common Stock.</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Termination of the SEPA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Unless earlier terminated as provided in the SEPA, the SEPA will terminate automatically on the earlier to occur of:</w:t>
      </w:r>
    </w:p>
    <w:p>
      <w:pPr>
        <w:spacing w:after="0" w:line="225" w:lineRule="exact"/>
        <w:rPr>
          <w:sz w:val="20"/>
          <w:szCs w:val="20"/>
          <w:color w:val="auto"/>
        </w:rPr>
      </w:pPr>
    </w:p>
    <w:p>
      <w:pPr>
        <w:jc w:val="both"/>
        <w:ind w:left="660" w:hanging="328"/>
        <w:spacing w:after="0" w:line="266"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of the month next following the 36-month anniversary of the date of the SEPA, provided that if a Yorkville Promissory Note is then outstanding, such termination shall be delayed until such date that the Yorkville Promissory Note that was outstanding has been repaid (and/or converted);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Yorkville shall have made payment of Advances pursuant to the SEPA for shares of Class A Common Stock equal to the commitment amount of $100.0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Subject to certain conditions, we have the right to unilaterally terminate the SEPA upon five trading days’ prior written notice to Yorkville. The SEPA may also be terminated at any time by mutual written consent.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Effect of Issuances of Class A Common Stock Under the SEPA on our Stockholders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All shares of Class A Common Stock that may be issued by us to Yorkville under the SEPA that were registered under the Securities Act for resale by Yorkville on the Prior SEPA Registration Statements are expected to be freely tradable. The shares of Class A Common Stock registered for resale under the SEPA may be issued by us to Yorkville from time to time at our discretion during the commitment period or are issued following a conversion of a Yorkville Promissory Note. The resale by Yorkville of a significant amount of shares registered for resale at any given time, or the perception that these sales may occur, could cause the market price of our Class A Common Stock to decline. Issuances of shares of Class A Common Stock, if any, to Yorkville under the SEPA will depend upon market conditions and other factors. We may ultimately decide to issue to Yorkville all, some, or none of the shares of Class A Common Stock that may be available for issuance to Yorkville pursuant to the SEPA.</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the subscription price per shares of Class A Common Stock to be paid by Yorkville for Class A Common Stock will fluctuate based on the market prices of our Class A Common Stock during the applicable pricing period, as of the date of this prospectus we cannot reliably predict the number of shares of Class A Common Stock that we will issue to Yorkville under the SEPA, the actual subscription price per share of Class A Common Stock to be paid by Yorkville for those shares of Class A Common Stock, or the actual gross proceeds to be raised by us from those issuances, if any.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issuance, if any, of shares of Class A Common Stock to Yorkville pursuant to the SEPA would not affect the rights or privileges of our existing stockholders, except that the economic and voting interests of each of our existing stockholders would be diluted. Although the number of shares of Class A Common Stock that our existing stockholders own would not decrease as a result of issuances, if any, under the SEPA, the shares of Class A Common Stock owned by our existing stockholders would represent a smaller percentage of our total issued shares of Class A Common Stock after any such issuance.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Senior Secured Convertible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June 27, 2025, the Company entered into a securities purchase agreement (the “Purchase Agreement”) with an institutional investor (the “Buyer”) for the issuance and sale in a private placement (the “Offering”) of senior secured convertible notes of the Company in an aggregate original principal amount of up to $11,000,000 (the “Notes”), which are convertible into shares of Class A Common Stock (the shares of Class A Common Stock issuable pursuant to the terms of the Notes, including, without limitation, upon conversion or otherwise, collectively, the “Conversion Shares”), in accordance with the terms of the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19, 2025, the Company conducted an additional closing pursuant to the Purchase Agreement (the “August Closing”) and issued an additional note in the original principal amount of $2,200,000 (the “August Note”) and warrants to purchase up to 13,321 shares of Class A Common Stock, as adjusted, at a current exercise price equal to $33.03 per share, as adjusted (the “August Warrants”). The August Note has a current conversion price equal to $33.03 per share, as adjusted, and matures on August 19, 2026. Other than the maturity date and the conversion and exercise prices, the August Note and August Warrants have the same terms as those issued at the Initial Closing.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8, 2025, the Company conducted an additional closing pursuant to the Purchase Agreement (the “October Closing”) and issued an additional note in the original principal amount of $2,500,000 (the “October Note”) and warrants to purchase up to 15,138 shares of Class A Common Stock, as adjusted, at a current exercise price equal to $33.03 per share, as adjusted (the “October Warrants”). The October Note has a current conversion price equal to $33.03 per share, as adjusted, and matures on October 8, 2026. Other than the maturity date and the conversion and exercise prices, the October Note and October Warrants have the same terms as those issued at the August Closing and the Initial Closing.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13, 2026, the Company conducted an additional closing pursuant to the Purchase Agreement (the “February Closing”) and issued an additional note in the original principal amount of $2,333,333.33 (the “February Note”) and warrants to purchase up to 14,129 shares of Class A Common Stock at an initial exercise price equal to $33.03 per share (the “February Warrants”). The February Note has an initial conversion price equal to $33.03 per share and matures on February 13, 2027. Other than the maturity date and the conversion and exercise prices, the February Note and February Warrants have the same terms as those issued at the prior closings.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12, 2026, the Company conducted an additional closing pursuant to the Purchase Agreement (the “August 2026 Closing”) and issued an additional note in the original principal amount of $1,099,989 (the “3i Note #5” and, together with the October Note, the August Note, the February Note and 3i Note #5, the “Notes”) and warrants to purchase up to 11,253 shares of Class A Common Stock at an initial exercise price equal to $19.60 per share (the “3i Note #5 Warrants” and, together with the February Warrants, the October Warrants, the August Warrants, the Initial Buyer Warrants, the “Buyer Warrants”). The 3i Note #5 has an initial conversion price equal to $19.60 per share and matures on August 12, 2027. Other than the maturity date and the conversion and exercise prices, the 3i Note #5 and the 3i Note #5 Warrants have the same terms as those issued at the prior closings.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Notes were each issued with an original issue discount of 10.0% and accrue interest at a rate of 10.0% per annum. The Notes mature twelve (12) months from the respective date of issuance (the “Maturity Date”), unless extended pursuant to the terms thereof. The Notes are convertible, in whole or in part, at any time prior to the applicable Maturity Date into a number of shares of Class A Common Stock equal to the quotient of the sum of the outstanding principal amount, accrued and unpaid interest and any other amounts owing under the Notes divided by the applicable conversion price then in effect (the “Conversion Rate”). At no time may the Buyer beneficially own more than 4.99% (or up to 9.99% at the election of the Buyer pursuant to the Notes) of the outstanding Class A Common Stock. The conversion price of the Notes is subject to a floor price (the floor price of the February Note being $12.20).</w:t>
      </w: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Upon the occurrence of an event of default under the Notes, the Buyer may elect to convert (each, an “Alternate Conversion”) all, or any part of, the outstanding principal, accrued interest and other amounts owing under the Notes (such portion, the “Alternate Conversion Amount”) into shares of Class A Common Stock at a conversion rate equal to the quotient of (x) the product of (A) the applicable redemption premium set forth in the Notes and (B) the Alternate Conversion Amount, divided by (y) the alternate conversion price determined in accordance with the Notes (the “Alternate Conversion Rate”). Upon the occurrence of an event of default under the Notes,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on the earlier to occur of (x) the effective date of the initial registration statement filed with the SEC for the resale of the Conversion Shares and (y) August 1, 2025, and thereafter on the first trading day of each calendar month immediately following (each, an “Installment Date”) until the applicable Maturity Date, the Company shall repay the Buyer $183,333.33 towards the principal balance of the Notes, plus any then-accrued and unpaid interest, in cash or, provided certain conditions are satisfied, in shares of Class A Common Stock, at the Company’s option (collectively, the “Installment Amount”). In connection with a change of control of the Company (as specified in the Notes), the Buyer shall have the right to require the Company to redeem part or all of the Notes outstanding in cash at the applicable redemption price set forth in the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Buyer is subject to a leak-out agreement entered into at the Initial Closing, which governs the sale of shares of Class A Common Stock by the Buyer during the period (the “Restricted Period”) ending upon the earliest to occur of (i) such date as the Buyer no longer holds any Notes, (ii) the date of any redemption notice delivered with respect to any Notes then outstanding, (iii) such date upon which any breach by the Company of any term of the Purchase Agreement occurs, regardless of whether such breach is subsequently cured, and (iv) such date any event of default under the Notes occurs, regardless of whether such event of default is subsequently cured. During the Restricted Period, the Buyer is subject to sale limitations tied to the Company’s daily trading volume, as detailed in such leak-out agreement.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Buyer Warrants are exercisable immediately upon issuance and have a term of exercise equal to three (3) years from the respective date of issuance. The exercise price of the Buyer Warrants is $33.03 per share (subject to adjustment as set forth therein).</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holder of the Buyer Warrants may not exercise any portion of such holder’s Warrants to the extent that the holder, together with its affiliates, would beneficially own more than 4.99% (or, at the election of the holder, 9.99%) of the Company’s outstanding shares of Common Stock immediately after exercise, except that upon at least 61 days’ prior notice from the holder to the Company, the holder may increase the beneficial ownership limitation to up to 9.99% of the number of shares of Common Stock outstanding immediately after giving effect to the exercise. In the event of a change of control of the Company (as specified in the Warrants), holders of the Warrants will have the right to receive the value of their Warrants calculated pursuant to a Black Scholes option pricing formula set forth in the Warrants, payable in cash.</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shares of Class A Common Stock underlying the Notes and the Buyer Warrants issued in connection with the Offering are registered for resale under registration statements filed with the SEC.</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Company agreed not to issue any Notes (other than to the Buyer as contemplated thereby) without the prior written consent of the holders of a majority of the outstanding Notes, issue any other securities that would cause a breach or default under the Notes or the Warrants, or file any other registration statement with the SEC (in each case, subject to certain exceptions) until after the effective date of the applicable resale registration statement. The Company has also agreed not to effect any variable rate transaction (as specified in the Purchase Agreement), other than an at-the-market offering permitted under the Purchase Agreement, until the later of (x) the 180th calendar day after the February Closing and (y) such date as no Notes remain outstanding.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Agile Subordinated Promissory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1, 2026 (the “Effective Date”), the Company and its subsidiaries (together with the Company, the “Borrowers”) entered into a Subordinated Business Loan and Security Agreement (the “Loan Agreement”) with Agile Capital Funding, LLC, as collateral agent (“Collateral Agent”), and Agile Lending, LLC, as lead lender (“Lead Lender” and, together with any assignees party thereto, the “Lenders”). Pursuant to the Loan Agreement, the Borrowers issued a Subordinated Secured Promissory Note (the “Note”), dated July 1, 2026, in the aggregate principal amount of $2,100,000, and received $2,000,000 of proceeds, net of a $100,000 Administrative Agent Fee.</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 is repayable in 32 weekly installments of $94,500, representing a payment multiplier of 1.44x, with all amounts due on February 10, 2027 (the “Maturity Date”). The Borrowers may voluntarily prepay the Note in full at any time; if repaid within 30, 45, or 60 days after the Effective Date, the total loan payoff amount is reduced to $2,625,000, $2,730,000, or $2,835,000, respectively.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 is secured by a continuing security interest in substantially all assets of the Borrowers (the “Collateral”), and both the Collateral and the Borrowers’ repayment obligations under the Note are subordinate to existing senior indebtedness, including indebtedness owed to CP BF Lending, LLC, 3i, LP, and Hudson Global Ventures, LLC.</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and events of default. Upon the occurrence of an Event of Default, the Lenders may, at their option, declare the entire unpaid principal balance of the Note,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Amendment of Charter or Bylaws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DGCL generally provides that the affirmative vote of a majority of the outstanding shares entitled to vote on amendments to a corporation’s certificate of incorporation or bylaws is required to approve such amendment, unless a corporation’s certificate of incorporation or bylaws, as applicable, imposes a higher voting standard.</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in voting power of the shares of the Company entitled to vote thereon is required to amend, alter, change, or repeal any provision of the Charter or to adopt any new provision of the Charter; provided, however, that the affirmative vote of the holders of at least 66 2/3% in voting power of the stock of the Company entitled to vote thereon is required to amend, alter, change, or repeal, or adopt any provision inconsistent with, any of Article V, Article VI, Article VII, Article VIII of the Charter. The affirmative vote of a majority of the authorized number of directors of the Board and the affirmative vote of at least 66 2/3% of the voting power of all of the then-outstanding shares of Common Stock entitled to vote generally in the election of directors, voting together as a single class, is required to adopt, amend or repeal the Bylaws.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so long as shares of Class B Common Stock remain outstanding, the Charter requires the approval of Mr. Davy, as Founder, to amend, repeal, waive, or alter any provision in Section A of Article IV (or adopt any provision inconsistent therewith) of the Charter that would adversely affect the rights of holders of shares of Class B Common Stock.</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the Charter</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Among other things, the Charter and Bylaws:</w:t>
      </w:r>
    </w:p>
    <w:p>
      <w:pPr>
        <w:spacing w:after="0" w:line="225" w:lineRule="exact"/>
        <w:rPr>
          <w:sz w:val="20"/>
          <w:szCs w:val="20"/>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to issue up to 75,000,000 shares of Preferred Stock, with any rights, preferences, and privileges as they may designate, including the right to approve an acquisition or other change of control;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Board is classified into three classes of directors;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subject to the rights of any series of Preferred Stock to elect directors, directors may only be removed for cause, which removal may be effected, subject to any limitation imposed by law, by the holders of at least 66 2/3% of the voting power of all of the then-outstanding shares of the Company’s capital stock entitled to vote generally at an election of directors;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the Company’s stockholders must be effected at a duly called annual or special meeting of stockholders and not be taken by written consent or electronic transmission;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the Company’s stockholders may be called only by the chairperson of the Board, the Company’s Chief Executive Officer or by the Board pursuant to a resolution adopted by a majority of the total number of authorized directors;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provide for cumulative voting rights, therefore allowing the holders of a majority of the voting power of the stock of the Company entitled to vote in any election of directors to elect all of the directors standing for election, if they should so choose.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amendment of any of these provisions would require approval by the holders of at least 66 2/3% of the voting power of all of the Company’s then-outstanding capital stock entitled to vote generally in the election of directors, voting together as a single class.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the Company’s existing stockholders to replace the Board as well as for another party to obtain control of us by replacing the Board. Since the Board has the power to retain and discharge the Company’s officers, these provisions could also make it more difficult for existing stockholders or another party to effect a change in management. In addition, the authorization of undesignated preferred stock makes it possible for the Board to issue Preferred Stock with voting or other rights or preferences that could impede the success of any attempt to change the Company’s control.</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Board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Special Meetings of Stockholders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Charter and the Bylaws provide that special meetings of our stockholders may be called only by the Chairman of the Board, the Chief Executive Officer of the Company, or the Board pursuant to a resolution adopted by a majority of the total number of authorized directors (whether or not there exist any vacancies in previously authorized directorships at the time any such resolution is presented to the Board for adoption).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Advance Notice Requirements for Stockholder Proposals and Director Nominations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Bylaws provide that stockholders seeking to nominate candidates for election to the Board or to bring business before our annual meeting of stockholders, must provide timely notice of their intent in writing. To be timely under our the Bylaws, a stockholder’s notice needs to be received by the Secretary of the Company at our principal executive offices not later than the close of business on the 90th day nor earlier than the close of business on the 120th day prior to the first anniversary of the preceding year’s annual meeting provided, however, that in the event that no annual meeting was held during the preceding year or the date of the annual meeting is advanced more than 30 days prior to or delayed by more than 30 days after the anniversary of the date of the preceding year’s annual meeting, notice by the stockholder to be timely must be so received not earlier than the close of business on the 120th day prior to such annual meeting and no later than the close of business on the later of the 90th day prior to such annual meeting or the tenth day following the day on which public announcement of the date of such meeting is first made by the Company. The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Authorized but Unissued Shares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shall at all times reserve and keep available out of its authorized but unissued shares of Class A Common Stock, solely for the purpose of effecting the conversion of shares of Class B Common Stock, such number of shares of Class A Common Stock as will from time to time be sufficient to effect the conversion of all outstanding shares of Class B Common Stock into shares of Class A Common Stock.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Exclusive Forum Selection</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Charter provides that unless we consent in writing to the selection of an alternative forum to the fullest extent permitted by the applicable law,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Delaware statutory or common law: (a) any derivative claim or cause of action brought on behalf of the Company; (b) any claim or cause of action for breach of a fiduciary duty owed by any current or former director, officer or other employee of the Company, to the Company or its stockholders; (c) any claim or cause of action against the Company or any current or former director, officer or other employee of the Company, arising out of or pursuant to any provision of the DGCL, the Charter or the Bylaws; (d) any claim or cause of action seeking to interpret, apply, enforce or determine the validity of the Charter or the Bylaws;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law and subject to the court having personal jurisdiction over the indispensable parties named as defendants. The Charter also requires that unless the Company consents in writing to the selection of an alternative forum, to the fullest extent permitted by law, the federal district courts of the United States shall be the exclusive forum for the resolution of any complaint asserting a cause of action under the Securities Act. The above shall not apply to claims or causes of action brought to enforce a duty or liability created by the Securities Act or the Exchange Act or any other claim for which the federal courts have exclusive jurisdiction. Although the Company believes these provisions benefit us by providing increased consistency in the application of the DGCL in the types of lawsuits to which it applies, a court may determine that these provisions are unenforceable, and to the extent they are enforceable, the provisions may have the effect of discouraging lawsuits against our directors and officers, although our stockholders will not be deemed to have waived our compliance with federal securities laws and the rules and regulations thereunder.</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Section 203 of the Delaware General Corporation Law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opted out of the provisions of Section 203 of the DGCL regulating corporate takeovers under the Charter. This statute prevents certain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corporations, under certain circumstances, from engaging in a “business combination” with:</w:t>
      </w:r>
    </w:p>
    <w:p>
      <w:pPr>
        <w:spacing w:after="0" w:line="207"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 “business combination” includes a merger or sale of more than 10% of our assets. However, the above provisions of Section 203 do not apply if:</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approves the transaction that made the stockholder an “interested stockholder,” prior to the date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completion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subsequent to the date of the transaction, the initial business combination is approved by our Board and authorized at a meeting of our stockholders, and not by written consent, by an affirmative vote of at least two-thirds of the outstanding voting stock not owned by the interested stockholder.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certain circumstances, this provision makes it more difficult for a person who would be an “interested stockholder” to effect various business combinations with the Company for a three-year period. This provision may encourage companies interested in acquiring us to negotiate in advance with our Board because the stockholder approval requirement would be avoided if our Board approves either the business combination 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Washington Business Corporation Act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laws of the State of Washington, where the Company’s principal executive offices are located, impose restrictions on certain transactions between certain foreign corporations and significant stockholders. In particular, the WBCA prohibits a “target corporation,” subject to certain exceptions, from engaging in certain “significant business transactions” with a “person” or group of persons which beneficially own 10% or more of the voting securities of the target corporation, or an “acquiring person,” for a period of five years after such acquisition, unless (1) the transaction or acquisition of shares is approved by a majority of the members of the target corporation’s board of directors prior to the time of acquisition or (2) the transaction or acquisition was approved by a majority of the members of the target corporation’s board of directors and approved at a securityholder meeting by at least two-thirds of the outstanding voting shares of the target corporation (excluding the acquiring person’s shares or shares over which the acquiring person has voting control) at or subsequent to the acquiring person’s share acquisition, subject to certain exceptions. Such prohibited transactions may include, among other things:</w:t>
      </w:r>
    </w:p>
    <w:p>
      <w:pPr>
        <w:spacing w:after="0" w:line="192"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with disposition of assets to, or issuance or redemption of stock to or from, the acquiring person;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termination of 5% or more of the employees of the target corporation or its subsidiaries employed in Washington as a result of the acquiring person’s acquisition of 10% or more of the shares;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acquiring person to receive any disproportionate benefit as a stockholder.</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some circumstances, such a business transaction may need to comply with “fair price” provisions specified in the statute. After the five-year period, a significant business transaction may take place as long as it complies with certain fair price provisions of the WBCA or is approved at an annual or special meeting of stockholders.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will be considered a “target corporation” so long as its principal executive office is located in Washington, and: (i) a majority of its employees are residents of the state of Washington or it employs more than one thousand residents of the state of Washington; (ii) a majority of the Company’s tangible assets, measured by market value, are located in the state of Washington or it has more than $50.0 million worth of tangible assets located in the state of Washington; and (iii) any one of the following: (a) more than 10% of the Company’s stockholders of record are resident in the state of Washington; (b) more than 10% of the Company’s shares are owned of record by state residents; or (c) 1,000 or more of the Company’s stockholders of record are resident in the state of Washington.</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meets the definition of a target corporation, the WBCA may have the effect of delaying, deferring, or preventing a future change of control.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Charter eliminates the Company’s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162"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Charter requires the Company to indemnify and advance expenses, to the fullest extent permitted by applicable law, to its directors, officers, and agents. The Company maintains a directors’ and officers’ insurance policy pursuant to which the Company’s directors and officers are insured against liability for actions taken in their capacities as directors and officers. Finally, the Charter prohibits any retroactive changes to the rights or protections or increase the liability of any director in effect at the time of the alleged occurrence of any act or omission to act giving rise to liability or indemnification.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Company has entered into separate indemnification agreements with the Company’s directors and officers. These agreements, among other things, require the Company to indemnify its directors and officers for certain expenses, including attorneys’ fees, judgments, fines, and settlement amounts incurred by a director or officer in any action or proceeding arising out of their services as one of the Company’s directors or officers or any other company or enterprise to which the person provides services at the Company’s request.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believe these provisions in the Charter are necessary to attract and retain qualified persons as directors and officers.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Dissenters’ Rights of Appraisal and Payment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will have appraisal rights in connection with a merger or consolidation of the Company. Pursuant to the DGCL, stockholders who properly demand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Stockholders’ Derivative Actions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Transfer Agent and Warrant Agent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Continental Stock Transfer &amp; Trust Company is the transfer agent for Common Stock and the warrant agent for Warrants.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Listing of Common Stock and Public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Class A Common Stock is listed on Nasdaq under the symbol “PARA,” and the Company’s Public Warrants are listed on Nasdaq under the symbol “PARAW.” We do not intend to apply for listing of the Pre-Funded Warrants or Warrants on any securities exchange or other nationally recognized trading system.</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are offering Units, each Unit consisting of (i) one share of our Class A Common Stock or, in lieu thereof, one Pre-Funded Warrant to purchase one share of Class A Common Stock and (ii) two Warrants, each Warrant exercisable for one share of Class A Common Stock.</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Units have no standalone rights and will not be certificated or issued as standalone securities. The shares of Class A Common Stock, Pre-Funded Warrants and Warrants comprising the Units are immediately separable and will be issued separately in this offering.</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Please see the section titled “Description of Securities” in this prospectus for a description of the material terms of our Class A Common Stock, our Charter and our Bylaws.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7"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certain terms and provisions of the Warrants offered hereby is not complete and is subject to, and qualified in its entirety by, the provisions of the form of Warrant, which will be filed as exhibits to the registration statement of which this prospectus forms a part. Prospective investors should carefully review the terms and provisions set forth in the form of Warrant. The Warrants will be issued in certificated form only.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Exercisability</w:t>
      </w:r>
      <w:r>
        <w:rPr>
          <w:rFonts w:ascii="Times New Roman" w:cs="Times New Roman" w:eastAsia="Times New Roman" w:hAnsi="Times New Roman"/>
          <w:sz w:val="17"/>
          <w:szCs w:val="17"/>
          <w:color w:val="auto"/>
        </w:rPr>
        <w:t>. The Warrants are exercisable at any time on or after the Issuance Date and at any time up to 5:00 p.m. (New York City time) on the five</w:t>
      </w:r>
    </w:p>
    <w:p>
      <w:pPr>
        <w:spacing w:after="0" w:line="43" w:lineRule="exact"/>
        <w:rPr>
          <w:sz w:val="20"/>
          <w:szCs w:val="20"/>
          <w:color w:val="auto"/>
        </w:rPr>
      </w:pPr>
    </w:p>
    <w:p>
      <w:pPr>
        <w:jc w:val="both"/>
        <w:ind w:firstLine="8"/>
        <w:spacing w:after="0" w:line="252" w:lineRule="auto"/>
        <w:tabs>
          <w:tab w:leader="none" w:pos="2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anniversary of the Issuance Date (the “Termination Date”). The Issuance Date will be November 5, 2026. The Warrants will be exercisable, at the option of each holder, in whole or in part by delivering to us a duly executed exercise notice with payment in full in immediately available funds for the number of shares of Class A Common Stock purchased upon such exercise (except in the case of a cashless exercise or zero exercise price option exercise, as discussed below). We may be required to pay certain amounts as liquidated damages as specified in the Warrants in the event we do not deliver shares of Class A Common Stock upon exercise of the Warrants within the time periods specified in the Warrants. No fractional shares of Class A Common Stock will be issued in connection with the exercise of a Warrant.</w:t>
      </w:r>
    </w:p>
    <w:p>
      <w:pPr>
        <w:spacing w:after="0" w:line="18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Cashless Exercise. </w:t>
      </w:r>
      <w:r>
        <w:rPr>
          <w:rFonts w:ascii="Times New Roman" w:cs="Times New Roman" w:eastAsia="Times New Roman" w:hAnsi="Times New Roman"/>
          <w:sz w:val="18"/>
          <w:szCs w:val="18"/>
          <w:color w:val="auto"/>
        </w:rPr>
        <w:t>If there is no effective registration statement registering, or the prospectus contained therein is not available for, the issuance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Class A Common Stock underlying the Warrants to the holder or the resale of the Warrant Shares by the holder, the holder may, in its sole discretion, elect to exercise the Warrant through a cashless exercise, in which case the holder would receive upon such exercise the net number of shares of Class A Common Stock determined according to the formula set forth in the Warrant.</w:t>
      </w:r>
    </w:p>
    <w:p>
      <w:pPr>
        <w:spacing w:after="0" w:line="17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Zero Exercise Price Option. </w:t>
      </w:r>
      <w:r>
        <w:rPr>
          <w:rFonts w:ascii="Times New Roman" w:cs="Times New Roman" w:eastAsia="Times New Roman" w:hAnsi="Times New Roman"/>
          <w:sz w:val="18"/>
          <w:szCs w:val="18"/>
          <w:color w:val="auto"/>
        </w:rPr>
        <w:t>Whether or not an effective registration statement is available for the issuance or resale of the Warrant shares, a holder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Warrants may also elect at any time following the Issuance Date to exercise the Warrants by way of a “zero exercise price option” pursuant to which the holder would receive, for no additional cash consideration, an aggregate number of shares of Class A Common Stock equal to the product of (x) the aggregate number of shares of Class A Common Stock that would be issuable upon a cash exercise of the Warrant (after giving effect to any adjustments to the exercise price and number of Warrant shares) and (y) 0.9.</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Exercise Limitation</w:t>
      </w:r>
      <w:r>
        <w:rPr>
          <w:rFonts w:ascii="Times New Roman" w:cs="Times New Roman" w:eastAsia="Times New Roman" w:hAnsi="Times New Roman"/>
          <w:sz w:val="18"/>
          <w:szCs w:val="18"/>
          <w:color w:val="auto"/>
        </w:rPr>
        <w:t>. A holder will not have the right to exercise any portion of the Warrants if the holder (together with its affiliates) would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beneficially own in excess of 4.99% (or, upon election of the holder prior to the issuance of any warrants, up to 9.99%) of the number of shares of our Class A Common Stock outstanding immediately after giving effect to the exercise, as such percentage ownership is determined in accordance with the terms of the warrants. However, any holder may increase or decrease such percentage to any other percentage not in excess of 9.99%, upon at least 61 days’ prior notice from the holder to us with respect to any increase in such percentage.</w:t>
      </w:r>
    </w:p>
    <w:p>
      <w:pPr>
        <w:spacing w:after="0" w:line="17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Each Warrant offered hereby will have an initial exercise price per share of Class A Common Stock equal to 250% of the public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offering price of each Unit in this offering, subject to adjustment hereunder. The exercise price and number of shares of Class A Common Stock issuable upon exercise are subject to appropriate adjustment in the event of stock dividends or distributions payable in shares of Common Stock, subdivisions of outstanding shares of Common Stock into a larger number of shares, combinations of outstanding shares of Common Stock into a smaller number of shares (including reverse stock splits), or reclassifications of shares of Common Stock. In addition, the exercise price is subject to reset on the First Reset Time and the Second Reset Time as described above under “Description of the Warrants,” subject to applicable Floor Prices. Upon any such reset, the number of Warrant Shares issuable is recalculated at the adjusted Exercise Price so that the total dollar amount payable to exercise the Warrant in full remains equal to what it was on the Issuance Date, after accounting for any Warrant Shares already issued on a prior exercise. A Warrant may be exercised in full prior to the Second Reset Time; in that event, the Warrant will remain outstanding, and the holder will remain entitled to receive any additional Warrant Shares resulting from the adjustment at the First Reset Time and/or the Second Reset Time, as applicable, notwithstanding that the Warrant had already been exercised in full before such Reset Time. A holder who exercises a Warrant after the First Reset Exercise Commencement Time but before the First Reset Time, or after the Second Reset Exercise Commencement Time but before the Second Reset Time, as applicable, will receive the benefit of the reset pricing that would otherwise apply at that Reset Time, based on VWAP through the last trading session before the exercise, subject to the applicable Floor Price. No further adjustment to the exercise price or the number of Warrant Shares issuable pursuant to the reset mechanism described above will occur after the Second Reset Time. Subject to Trading Market rules and the consent of the holder, the Company may at any time during the term of the Warrants reduce the then-current exercise price to any amount and for any period of time deemed appropriate by the Board of Directors.</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r>
        <w:rPr>
          <w:rFonts w:ascii="Times New Roman" w:cs="Times New Roman" w:eastAsia="Times New Roman" w:hAnsi="Times New Roman"/>
          <w:sz w:val="18"/>
          <w:szCs w:val="18"/>
          <w:color w:val="auto"/>
        </w:rPr>
        <w:t>. Subject to applicable laws, the Warrants may be offered for sale, sold, transferred or assigned without our consent.</w:t>
      </w:r>
    </w:p>
    <w:p>
      <w:pPr>
        <w:spacing w:after="0" w:line="225"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Exchange Listing</w:t>
      </w:r>
      <w:r>
        <w:rPr>
          <w:rFonts w:ascii="Times New Roman" w:cs="Times New Roman" w:eastAsia="Times New Roman" w:hAnsi="Times New Roman"/>
          <w:sz w:val="18"/>
          <w:szCs w:val="18"/>
          <w:color w:val="auto"/>
        </w:rPr>
        <w:t>. We do not intend to list the Warrants offered in this offering on any securities exchange or other trading market. Without an active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trading market, the liquidity of these securities will be limited.</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Rights as a Stockholder</w:t>
      </w:r>
      <w:r>
        <w:rPr>
          <w:rFonts w:ascii="Times New Roman" w:cs="Times New Roman" w:eastAsia="Times New Roman" w:hAnsi="Times New Roman"/>
          <w:sz w:val="18"/>
          <w:szCs w:val="18"/>
          <w:color w:val="auto"/>
        </w:rPr>
        <w:t>. Except as otherwise provided in the Warrants or by virtue of such holder’s ownership of our Class A Common Stock,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a Warrant does not have the rights or privileges of a holder of our Class A Common Stock, including any voting rights, until the issuance of shares of Class A Common Stock upon exercise of the Warrant. Holders of Warrants have the right to participate in certain distributions as specified in the warrant.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r>
        <w:rPr>
          <w:rFonts w:ascii="Times New Roman" w:cs="Times New Roman" w:eastAsia="Times New Roman" w:hAnsi="Times New Roman"/>
          <w:sz w:val="18"/>
          <w:szCs w:val="18"/>
          <w:color w:val="auto"/>
        </w:rPr>
        <w:t>. The Warrants are governed by New York law.</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certain terms and provisions of the Pre-Funded Warrants that are being offered hereby is not complete and is subject to, and qualified in its entirety by the provisions of, the Pre-Funded Warrants. Prospective investors should carefully review the terms and provisions of the form of Pre-Funded Warrant for a complete description of the terms and conditions of the Pre-Funded Warrants.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term “pre-funded” refers to the fact that the purchase price of our common stock in this offering includes almost the entire exercise price that will be paid under the Pre-Funded Warrants, except for a nominal remaining exercise price of $0.00001. The purpose of the Pre-Funded Warrants is to enable investors that may have restrictions on their ability to beneficially own more than 4.99% (or, upon election of the holder, 9.99%) of our outstanding shares of common stock following the consummation of this offering the opportunity to make an investment in the Company without triggering their ownership restrictions, by receiving Pre-Funded Warrants in lieu of our common stock which would result in such ownership of more than 4.99% (or 9.99%), and receive the ability to exercise their option to purchase the shares underlying the Pre-Funded Warrants at such nominal price at a later date.</w:t>
      </w:r>
    </w:p>
    <w:p>
      <w:pPr>
        <w:spacing w:after="0" w:line="183"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Duration. </w:t>
      </w:r>
      <w:r>
        <w:rPr>
          <w:rFonts w:ascii="Times New Roman" w:cs="Times New Roman" w:eastAsia="Times New Roman" w:hAnsi="Times New Roman"/>
          <w:sz w:val="18"/>
          <w:szCs w:val="18"/>
          <w:color w:val="auto"/>
        </w:rPr>
        <w:t>The Pre-Funded Warrants offered hereby will entitle the holders thereof to purchase our shares of common stock at a nominal exercise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$0.00001 per share, commencing immediately on the date of issuance. There is no expiration date for the Pre-Funded Warrants.</w:t>
      </w:r>
    </w:p>
    <w:p>
      <w:pPr>
        <w:spacing w:after="0" w:line="15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Limitation. </w:t>
      </w:r>
      <w:r>
        <w:rPr>
          <w:rFonts w:ascii="Times New Roman" w:cs="Times New Roman" w:eastAsia="Times New Roman" w:hAnsi="Times New Roman"/>
          <w:sz w:val="18"/>
          <w:szCs w:val="18"/>
          <w:color w:val="auto"/>
        </w:rPr>
        <w:t>A holder will not have the right to exercise any portion of the Pre-Funded Warrants if the holder (together with its affiliates)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beneficially own in excess of 4.99% (or, upon election of the holder, 9.99%) of the number of our shares of common stock outstanding immediately after giving effect to the exercise, as such percentage ownership is determined in accordance with the terms of the Pre-Funded Warrants. However, any holder may increase or decrease such percentage (up to 9.99%), provided that any increase will not be effective until the 61st day after such election. It is the responsibility of the holder to determine whether any exercise would exceed the exercise limitation.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Exercise Price. </w:t>
      </w:r>
      <w:r>
        <w:rPr>
          <w:rFonts w:ascii="Times New Roman" w:cs="Times New Roman" w:eastAsia="Times New Roman" w:hAnsi="Times New Roman"/>
          <w:sz w:val="18"/>
          <w:szCs w:val="18"/>
          <w:color w:val="auto"/>
        </w:rPr>
        <w:t>The Pre-Funded Warrants will have an exercise price of $0.00001 per share. The exercise price is subject to appropriate adjustment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event of certain stock dividends and distributions, stock splits, stock combinations, reclassifications or similar events affecting our common stock and also upon any distributions of assets, including cash, stock or other property to our shareholders.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Cashless Exercise. </w:t>
      </w:r>
      <w:r>
        <w:rPr>
          <w:rFonts w:ascii="Times New Roman" w:cs="Times New Roman" w:eastAsia="Times New Roman" w:hAnsi="Times New Roman"/>
          <w:sz w:val="18"/>
          <w:szCs w:val="18"/>
          <w:color w:val="auto"/>
        </w:rPr>
        <w:t>A holder may exercise a Pre-Funded Warrant, in whole or in part, on a cashless basis. Upon a cashless exercise, the holder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 the net number of shares of Class A Common Stock determined according to the formula set forth in the Pre-Funded Warrant.</w:t>
      </w:r>
    </w:p>
    <w:p>
      <w:pPr>
        <w:spacing w:after="0" w:line="15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Subject to applicable laws, the Pre-Funded Warrants may be offered for sale, sold, transferred or assigned without our consent.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Absence of Trading Market. There is no established trading market for the Pre-Funded Warrants and we do not expect a market to develop. In addition, we do not intend to apply for the listing of the Pre-Funded Warrants on any national securities exchange or other trading market. Without an active trading market, the liquidity of the Pre-Funded Warrants will be limited.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Fundamental Transactions. </w:t>
      </w:r>
      <w:r>
        <w:rPr>
          <w:rFonts w:ascii="Times New Roman" w:cs="Times New Roman" w:eastAsia="Times New Roman" w:hAnsi="Times New Roman"/>
          <w:sz w:val="18"/>
          <w:szCs w:val="18"/>
          <w:color w:val="auto"/>
        </w:rPr>
        <w:t>In the event of a fundamental transaction, generally including any reorganization, recapitalization or reclassification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common stock, the sale, transfer or other disposition of all or substantially all of our properties or assets, our consolidation, merger, amalgamation or arrangement with or into another person, the acquisition of more than 50% of our outstanding common stock, or any person or group becoming the beneficial owner of 50% or more of the voting power represented by our outstanding common stock, the holder will have the right to receive, for each share of common stock that would have been issuable upon such exercise immediately prior to the occurrence of such fundamental transaction, the number of shares of the successor or acquiring corporation or of us if we are the surviving corporation, and any additional consideration receivable as a result of such fundamental transaction by a holder of the number of shares for which the Pre-Funded Warrant was exercisable immediately prior to such fundamental transaction.</w:t>
      </w:r>
    </w:p>
    <w:p>
      <w:pPr>
        <w:spacing w:after="0" w:line="18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 Rights as a Shareholder. </w:t>
      </w:r>
      <w:r>
        <w:rPr>
          <w:rFonts w:ascii="Times New Roman" w:cs="Times New Roman" w:eastAsia="Times New Roman" w:hAnsi="Times New Roman"/>
          <w:sz w:val="18"/>
          <w:szCs w:val="18"/>
          <w:color w:val="auto"/>
        </w:rPr>
        <w:t>Except as otherwise provided in the Pre-Funded Warrants or by virtue of such holder’s ownership of our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the holder of Pre-Funded Warrants does not have the rights or privileges of a holder of our common stock, including any voting rights, until the holder exercises the Pre-Funded Warrant.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of (i) the purchase, ownership, and disposition of shares of our Class A Common Stock, and (ii) the purchase, ownership, and disposition of our Warrants, which we refer to collectively as our securities. However, the following is for general information purposes only and does not purport to be a complete analysis of all potential tax effects related to our securities. This discussion does not address any tax consequences arising under the laws of any state, local or non-U.S. jurisdiction, or under any U.S. federal laws other than those pertaining to income taxation.</w:t>
      </w:r>
    </w:p>
    <w:p>
      <w:pPr>
        <w:spacing w:after="0" w:line="17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This discussion is based upon the United States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the regulations promulgated under the Code and court and administrative rulings and decisions, all as in effect on the date of this prospectus. These authorities may change, possibly retroactively, and any change could affect the accuracy of the statements and conclusions set forth in this discussion. No legal opinion from U.S. legal counsel or ruling from the Internal Revenue Service (the “IRS”) has been requested, or will be obtained, regarding the U.S. federal income tax consequences related to the purchase, ownership, or disposition of our securities. This summary is not binding on the IRS, and the IRS is not precluded from taking a position that is different from, or contrary to, the positions taken in this summary.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This discussion addresses only those beneficial owners of our securities that hold their securities as a “capital asset” within the meaning of Section 1221 of the Code (generally, property held for investment). This discussion does not address any tax considerations for holders of the Buyer Warrants or Public Warrants, recipients of restricted shares of Class A Common Stock, or the tax considerations for any beneficial owners of founder shares. In addition, this summary does not discuss other U.S. federal tax consequences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estate or gift tax), any state, local, or non-U.S. tax considerations or any tax consequences arising under the unearned income Medicare contribution tax pursuant to the Health Care and Education Reconciliation Act of 2010. Further, this discussion does not address all aspects of U.S. federal income taxation that may be relevant to you in light of your individual circumstances or that may be applicable to you if you are subject to special treatment under the U.S. federal income tax laws, including if you are:</w:t>
      </w:r>
    </w:p>
    <w:p>
      <w:pPr>
        <w:spacing w:after="0" w:line="189" w:lineRule="exact"/>
        <w:rPr>
          <w:sz w:val="20"/>
          <w:szCs w:val="20"/>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other financial institution;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or other pass-through entity (or an investor in an S corporation or other pass-through entity);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 or a mutual fund;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“controlled foreign corporation” or a “passive foreign investment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stocks and securities, or currencies;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is liable for the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received shares, through the exercise of an employee stock option, through a tax qualified retirement plan or otherwise as compensation;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that has a functional currency other than the U.S. dollar;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that holds shares as part of a hedge, straddle, constructive sale, conversion, or other integrated transaction;</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required to accelerate the recognition of any item of gross income with respect to its shares as a result of such income being recognized on an applicable financial statement;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purposes of this discussion, the term “U.S. Holder” means a beneficial owner of our securities that is for U.S. federal income tax purposes (1) an individual citizen or resident of the United States, (2) a corporation (or any other entity treated as a corporation for U.S. federal income tax purposes) organized in or under the laws of the United States or any state thereof or the District of Columbia, (3) a trust if (a) a court within the United States is able to exercise primary supervision over the administration of the trust and one or more U.S. persons have the authority to control all substantial decisions of the trust or (b) such trust has made a valid election to be treated as a U.S. person for U.S. federal income tax purposes or (4) an estate, the income of which is includible in gross income for U.S. federal income tax purposes regardless of its source. A “Non-U.S. Holder” means a beneficial owner of our securities (other than a partnership or other entity or arrangement classified as a partnership for U.S. federal income tax purposes) that is not a U.S. Holder.</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an entity or an arrangement treated as a partnership for U.S. federal income tax purposes holds our securities, the U.S. federal income tax consequences of the purchase, ownership, and disposition of our securities to a partner in such partnership (or owner of such entity) generally will depend on the status of the partner and the activities of the partnership (or entity). Any entity or arrangement treated as a partnership for U.S. federal income tax purposes that holds our securities, and any partners in such partnership, are urged to consult their own tax advisors with respect to the applicable tax consequences in light of their specific circumstances.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tax consequences of the purchase, ownership and disposition of our securities will depend on your specific situation. You should consult with your own tax advisor as to the tax consequences of the purchase, ownership, and disposition of our securities in your particular circumstances, including the applicability and effect of any applicable alternative minimum tax and any state, local, foreign, or other tax laws and of changes in those laws.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PROSPECTIVE HOLDERS SHOULD CONSULT THEIR TAX ADVISORS CONCERNING THE U.S. FEDERAL INCOME TAX CONSEQUENCES TO THEM OF PURCHASING, OWNING AND DISPOSING OF OUR SECURITIES, AS WELL AS THE APPLICATION OF ANY, STATE, LOCAL AND NON-U.S. INCOME, ESTATE AND OTHER TAX CONSIDERATIONS. IN ADDITION, PROSPECTIVE HOLDERS SHOULD CONSULT WITH THEIR TAX ADVISORS WITH RESPECT TO POTENTIAL CHANGES IN UNITED STATES FEDERAL TAX LAW AS WELL AS POTENTIAL CHANGES IN STATE, LOCAL OR NON-U.S. TAX LAWS.</w:t>
      </w:r>
    </w:p>
    <w:p>
      <w:pPr>
        <w:sectPr>
          <w:pgSz w:w="11900" w:h="16838" w:orient="portrait"/>
          <w:cols w:equalWidth="0" w:num="1">
            <w:col w:w="11240"/>
          </w:cols>
          <w:pgMar w:left="320" w:top="229" w:right="339" w:bottom="918"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918"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for 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Parabolic pays distributions to U.S. Holders of shares of Class A Common Stock or Warrants (subject to the remainder of the discussion under this section, “Tax Consequences for U.S. Holders-Taxation of Distributions”), such distributions will constitute dividends for U.S. federal income tax purposes to the extent paid from Parabolic’s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such holder’s shares of Class A Common Stock or Warrants (subject to the remainder of the discussion under this section, “Tax Consequences for U.S. Holders-Taxation of Distributions”). Any remaining excess will be treated as gain realized on the sale or other disposition of Class A Common Stock or Warrants (subject to the remainder of the discussion under this section, “Tax Consequences for U.S. Holders-Taxation of Distributions”) and will be treated as described under the section of this prospectus titled “Tax Consequences for U.S. Holders-Gain or Loss on Sale, Taxable Exchange or Other Taxable Disposition of Class A Common Stock or Warrants” or “Tax Consequences for U.S. Holders-Sale, Exchange, Redemption or Expiration of the Warrants,” as the case may be, below.</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Dividends that Parabolic pays to a U.S. Holder that is a taxable corporation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that Parabolic pays to a non-corporate U.S. Holder will generally constitute “qualified dividends” that will be subject to tax at the maximum tax rate accorded to long-term capital gains.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taxation of a distribution (if any) received with respect to the Warrants is unclear. Although the matter is not free from doubt, we intend to treat any distribution (excluding constructive distribution as discussed under the heading “Tax Consequences for U.S. Holders-Possible Constructive Distributions”) to a holder of the Warrants as a distribution with respect to our stock for U.S. federal income tax purposes, in which case, such a distribution would be treated as a distribution subject to the immediately preceding paragraphs. However, the matter is not entirely free from doubt, and U.S. Holders should consult their own tax advisors regarding the U.S. federal income consequences of distributions received with respect to the Warrants.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or Loss on Sale, Taxable Exchange or Other Taxable Disposition of Class A Common Stock</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U.S. Holder will recognize gain or loss on the sale, taxable exchange or other taxable disposition of Class A Common Stock. Any such gain or loss will be capital gain or loss and will be long-term capital gain or loss if the U.S. Holder’s holding period for Class A Common Stock so disposed of exceeds one year. Long-term capital gains recognized by non-corporate U.S. Holders generally will be eligible for taxation at reduced rates. The amount of capital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less any prior distributions treated as a return of capital. The deductibility of capital losses is subject to limitations.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the Warrants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the Warrants, a U.S. Holder will not recognize gain or loss upon the exercise of the Warrants. The U.S. Holder’s tax basis in the shares of our Class A Common Stock received upon exercise of the Warrants will generally be an amount equal to the sum of the U.S. Holder’s initial investment in the Warrants and the exercise price of such Warrants. A U.S. Holder’s holding period for Class A Common Stock received upon exercise of the Warrants will commence on the date of exercise of the Warrants and will not include the period during which the U.S. Holder held the Warrants.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tax consequences of a cashless exercise of the Warrants are not clear under current tax law. A cashless exercise may be nontaxable, either because the exercise is not a realization event or because the exercise is treated as a “recapitalization” for U.S. federal income tax purposes. In either situation, a U.S. Holder’s tax basis in Class A Common Stock received would generally equal the holder’s tax basis in the Warrants exercised therefor. If the cashless exercise were treated as not being a realization event, a U.S. Holder’s holding period for Class A Common Stock would generally commence on the date of exercise of the Warrants or the day following the date of exercise of the Warrants. If, however, the cashless exercise were treated as a recapitalization, the holding period of Class A Common Stock would include the holding period of the Warrants.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also possible that a cashless exercise could be treated as a taxable exchange in which gain, or loss is recognized. In such event, a U.S. Holder would be deemed to have surrendered a number of Warrants having a fair market value equal to the exercise price paid for the total number of Warrants to be exercised. The U.S. Holder would recognize capital gain or loss in an amount equal to the difference between the fair market value of Class A Common Stock represented by the Warrants deemed surrendered and the U.S. Holder’s tax basis in the Warrants deemed surrendered. In this case, a U.S. Holder’s tax basis in Class A Common Stock received would equal the sum of the U.S. Holder’s initial investment in the Warrants exercised and the exercise price of such Warrants. A U.S. Holder’s holding period for Class A Common Stock received upon exercise of the Warrants will commence on the date of exercise of the Warrants and will not include the period during which the U.S. Holder held the Warrants.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Alternative characterizations are also possible. Due to the absence of authority on the U.S. federal income tax treatment of a cashless exercise, there can be no assurance which, if any, of the alternative tax consequences and holding periods described above would be adopted by the IRS or a court of law. Accordingly, U.S. Holders are urged to consult their tax advisors regarding the tax consequences of a cashless exercise.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Exchange, Redemption or Expiration of the Warrants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the Warrants, a U.S. Holder will recognize taxable gain or loss in an amount equal to the difference between (1) the amount realized upon such disposition or expiration and (2) the U.S. Holder’s tax basis in the Warrants. Such gain or loss will generally be treated as long-term capital gain or loss if the Warrants is held by the U.S. Holder for more than one year at the time of such disposition or expiration. Long-term capital gains recognized by non-corporate U.S. Holders generally will be eligible for taxation at reduced rates. If the Warrants is allowed to lapse unexercised, a U.S. Holder generally will recognize a capital loss equal to such holder’s tax basis in the Warrants. The deductibility of capital losses is subject to certain limitations.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terms of the Warrants provide for an adjustment to the number of shares of Class A Common Stock for which the Warrants may be exercised or to the exercise price of the Warrants in certain events, as discussed in the section of this prospectus entitled “</w:t>
      </w:r>
      <w:r>
        <w:rPr>
          <w:rFonts w:ascii="Times New Roman" w:cs="Times New Roman" w:eastAsia="Times New Roman" w:hAnsi="Times New Roman"/>
          <w:sz w:val="18"/>
          <w:szCs w:val="18"/>
          <w:i w:val="1"/>
          <w:iCs w:val="1"/>
          <w:color w:val="auto"/>
        </w:rPr>
        <w:t>Description of the Securities We Are Offering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An adjustment which has the effect of preventing dilution in the event of a stock dividend is generally not a taxable event. Nevertheless, a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A Common Stock which is taxable to such holders as a distribution as described under the section of this prospectus entitled “Tax Consequences for U.S. Holders-Taxation of Distributions” above. Such constructive distribution would be subject to tax as described under that section in the same manner as if such U.S. Holder received a cash distribution from us equal to the fair market value of such increased interest.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Consequences for Non-U.S. Holders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Distributions</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Subject to the discussions below regarding the Foreign Account Tax Compliance Act and backup withholding, in general, any distributions that Parabolic makes to a Non-U.S. Holder of shares of Class A Common Stock or Warrants (subject to the remainder of the discussion under this section “Tax Consequences for Non-U.S. Holders-Taxation of Distributions”), to the extent paid out of Parabolic’s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(or, if a tax treaty applies, are attributable to a U.S. permanent establishment or fixed base maintained by the Non-U.S. Holder), Parabolic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paid to Non-U.S. Holders of Class A Common Stock or Warrants will be treated first as reducing (but not below zero) the Non-U.S. Holder’s adjusted tax basis in its shares of Class A Common Stock or Warrants (subject to the remainder of the discussion under this section “Tax Consequences for Non-U.S. Holders-Taxation of Distributions”) and, to the extent such distribution exceeds the Non-U.S. Holder’s adjusted tax basis, as gain realized from the sale or other disposition of Class A Common Stock or Warrants (subject to the remainder of the discussion under this section “Tax Consequences for Non-U.S. Holders-Taxation of Distributions”), which will be treated as described under the section of this prospectus titled “Tax Consequences for Non-U.S. Holders-Gain on Sale, Taxable Exchange or Other Taxable Disposition of Class A Common Stock or Warrants” below.</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that Parabolic pays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described above under the heading “Tax Consequences for U.S. Holders-Taxation of Distributions,” the taxation of a distribution received with respect to the Warrants is unclear. Although the matter is not free from doubt, we intend to treat any distribution (excluding constructive distribution as discussed under the heading “Tax Consequences for Non-U.S. Holders-Possible Constructive Distributions”) to a holder of the Warrants as a distribution with respect to our stock for U.S. federal income tax purposes, in which case, such a distribution would be treated as a distribution subject to the remainder of the discussion under this heading. However, the matter is not entirely free from doubt, and Non-U.S. Holders should consult their own tax advisors regarding the U.S. federal income consequences of distributions received with respect to the Warrants.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the Warrants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the Warrants generally will correspond to the U.S. federal income tax treatment of the exercise of the Warrants by a U.S. Holder, as described under the section of this prospectus entitled “Tax Consequences for U.S. Holders-Exercise of the Warrants” above, although to the extent a cashless exercise results in a taxable exchange, the tax consequences to the Non-U.S. Holder would be the same as those described below in the section of this prospectus entitled “Tax Consequences for Non-U.S. Holders-Gain on Sale, Exchange or Other Taxable Disposition of Class A Common Stock or Warrants.”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Possible Constructive Distributions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terms of the Warrants provide for an adjustment to the number of shares of Class A Common Stock for which the Warrants may be exercised or to the exercise price of the Warrants in certain events, as discussed in the section of this prospectus entitled </w:t>
      </w:r>
      <w:r>
        <w:rPr>
          <w:rFonts w:ascii="Times New Roman" w:cs="Times New Roman" w:eastAsia="Times New Roman" w:hAnsi="Times New Roman"/>
          <w:sz w:val="18"/>
          <w:szCs w:val="18"/>
          <w:i w:val="1"/>
          <w:iCs w:val="1"/>
          <w:color w:val="auto"/>
        </w:rPr>
        <w:t>“Description of the Securities We Are Offering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Warrants.” </w:t>
      </w:r>
      <w:r>
        <w:rPr>
          <w:rFonts w:ascii="Times New Roman" w:cs="Times New Roman" w:eastAsia="Times New Roman" w:hAnsi="Times New Roman"/>
          <w:sz w:val="18"/>
          <w:szCs w:val="18"/>
          <w:color w:val="auto"/>
        </w:rPr>
        <w:t>An adjustment which has the effect of preventing dilution in the event of a stock dividend is generally not a taxable event. Nevertheless, a Non-U.S. Holder of the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through a decrease to the exercise price) as a result of a distribution of cash to the holders of shares of our Class Common Stock which is taxable to such holders as a distribution as described under the section of this prospectus entitled “Tax Consequences for Non-U.S. Holders-Taxation of Distributions” above. Such constructive distribution would be subject to tax as described under that section in the same manner as if such Non-U.S. Holder received a cash distribution from us equal to the fair market value of such increased interest.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Sale, Exchange, or Other Taxable Disposition of Class A Common Stock or Warrants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regarding the Foreign Account Tax Compliance Act and backup withholding, a Non-U.S. Holder will generally not be subject to U.S. federal income or withholding tax in respect of gain recognized on a sale, taxable exchange or other taxable disposition of Class A Common Stock or a sale, taxable exchange, expiration, redemption or other taxable disposition of our Warrants unless:</w:t>
      </w:r>
    </w:p>
    <w:p>
      <w:pPr>
        <w:spacing w:after="0" w:line="176" w:lineRule="exact"/>
        <w:rPr>
          <w:sz w:val="20"/>
          <w:szCs w:val="20"/>
          <w:color w:val="auto"/>
        </w:rPr>
      </w:pPr>
    </w:p>
    <w:p>
      <w:pPr>
        <w:ind w:left="660" w:right="2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Parabolic is or has been a “United States real property holding corporation” for U.S. federal income tax purposes and, in the case where Class A Common Stock is traded on an established securities market, such Non-U.S. Holder has owned, directly or constructively, more than 5% of Class A Common Stock at any time within the shorter of the five-year period or such Non-U.S. Holder’s holding period for its Class A Common Stock.</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Parabolic will be classified as a United States real property holding corporation if the fair market value of Parabolic’s “United States real property interests” equals or exceeds 50% of the sum of the fair market value of Parabolic’s worldwide real property interests plus Parabolic’s other assets used or held for use in a trade or business, as determined for U.S. federal income tax purposes. Parabolic does not believe it currently is or will become a United States real property holding corporation, however there can be no assurance in this regard. Non-U.S. Holders are urged to consult their tax advisors regarding the application of these rules.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Account Tax Compliance Act</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below discussion of proposed Treasury Regulations, the gross proceeds of dispositions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(2) if required under an intergovernmental agreement between the United States and an applicable foreign country, reports such information to its local tax authority, which will exchange such information with the U.S. authorities. Under proposed Treasury Regulations promulgated by the Treasury Department on December 13, 2018, which state that taxpayers may rely on the proposed Treasury Regulations until final Treasury Regulations are issued, this withholding tax will not apply to the gross proceeds from the sale or disposition of our securities. An intergovernmental agreement between the United States and an applicable foreign country may modify these requirements. Accordingly, the entity through which our securities is held will affect the determination of whether such withholding is required. Similarly, dividends in respect of Class A Common Stock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Prospective Non-U.S. Holders should consult their tax advisors regarding the possible implications of FATCA on their investment in our securities.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Payments of dividends on our securities or proceeds received in connection with the sale, exchange or other taxable disposition of our securities may be subject to information reporting to the IRS and U.S. backup withholding. Backup withholding generally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a holder’s U.S. federal income tax liability, and a holder generally may claim a refund of any excess amounts withheld under the backup withholding rules by timely filing the appropriate claim for refund with the IRS and furnishing any required information.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validity of any securities offered by this prospectus will be passed upon for us by Hunter Taubman Fischer &amp; Li LLC. Kaufman &amp; Canoles, P.C., Richmond, Virgin</w:t>
      </w:r>
      <w:r>
        <w:rPr>
          <w:rFonts w:ascii="Times New Roman" w:cs="Times New Roman" w:eastAsia="Times New Roman" w:hAnsi="Times New Roman"/>
          <w:sz w:val="18"/>
          <w:szCs w:val="18"/>
          <w:b w:val="1"/>
          <w:bCs w:val="1"/>
          <w:color w:val="auto"/>
        </w:rPr>
        <w:t>ia</w:t>
      </w:r>
      <w:r>
        <w:rPr>
          <w:rFonts w:ascii="Times New Roman" w:cs="Times New Roman" w:eastAsia="Times New Roman" w:hAnsi="Times New Roman"/>
          <w:sz w:val="18"/>
          <w:szCs w:val="18"/>
          <w:color w:val="auto"/>
        </w:rPr>
        <w:t xml:space="preserve"> is acting as counsel for the Underwriter in connection with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of Banzai International, Inc. as of December 31, 2024, and for the year ended December 31, 2024, before the effects of the retrospective adjustments related to the 1-for-20 reverse stock split of Banzai International, Inc.’s Class A and Class B common stock, effective May 8, 2026, and before the effects of the retrospective adjustments related to the 1-for-10 reverse stock split of the Company’s Class A and Class B common stock, effective October 27, 2026, as disclosed in Note 1 to the consolidated financial statements, included in this prospectus and in the registration statement have been audited by Marcum, LLP,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Banzai International, Inc. as of December 31, 2025 and for the year ended December 31, 2025 included in this prospectus and in the registration statement have been audited by Bush &amp; Associates CPA LLC, independent registered public accounting firm, as set forth in their report which report includes an explanatory paragraph related to the substantial doubt about the Company’s ability to continue as a going concern, appearing elsewhere herein, and are included in reliance on such report given on the authority of such firm as experts in auditing and accounting.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ConnectAndSell, Inc. as of December 31, 2025 and 2024 and for each of the years in the two-year period ended December 31, 2025 have been audited by SingerLewak LLP, independent auditor, as stated in their report thereon which report expresses an unqualified opinion and includes an explanatory paragraph related to substantial doubt about ConnectAndSell, Inc.’s ability to continue as a going concern, and are included in this Prospectus and in the Registration Statement in reliance on such report and upon the authority of such firm as experts in auditing and accounting.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required to file annual, quarterly, and current reports, proxy statements and other information with the SEC as required by the Exchange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website address is www.parabolic.io. Through our website, we make available, free of charge, certain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 2026 (“Closing Date”), Banzai International, Inc. (“Parabolic” or the “Company”) and Banzai Acquisition Sub, Inc. (“Acquisition Sub”), a wholly-owned subsidiary of Parabolic, entered into an Asset Purchase Agreement (the “APA”) with ConnectAndSell, Inc. (“C&amp;S”), pursuant to which Acquisition Sub agreed to acquire substantially all of the assets and assume certain specified liabilities of C&amp;S (the “Acquisition”).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historical consolidated financial statements of Parabolic and C&amp;S and is intended to provide you with information about how the Acquisition might have affected Parabolic’s historical financial statements.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combines the historical balance sheets of Parabolic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Parabolic and C&amp;S for such periods on a pro forma basis as if the Acquisition and Transaction Financing (see Note B) had occurred on January 1, 2025, the beginning of the earliest period presented.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constitute forward-looking information and are subject to certain risks and uncertainties that could cause actual results to differ materially from those anticipated.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gives effect to the following:</w:t>
      </w:r>
    </w:p>
    <w:p>
      <w:pPr>
        <w:spacing w:after="0" w:line="225" w:lineRule="exact"/>
        <w:rPr>
          <w:sz w:val="20"/>
          <w:szCs w:val="20"/>
          <w:color w:val="auto"/>
        </w:rPr>
      </w:pPr>
    </w:p>
    <w:p>
      <w:pPr>
        <w:jc w:val="both"/>
        <w:ind w:left="660" w:hanging="328"/>
        <w:spacing w:after="0" w:line="261"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reclassification of certain C&amp;S historical financial information to conform to Parabolic’s presentation of similar revenues and expenses on the statements of operations, including reclassification of C&amp;S’s engineering, research and development expense and sales and marketing expense into general and administrative expense, and separate presentation of depreciation and amortization expense consistent with Parabolic’s presentation (see Note 2);</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Acquisition, which is expected to be accounted for under the acquisition method of accounting in accordance with Accounting Standards Codification (“ASC”) Topic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Under the acquisition method of accounting, the total purchase price is allocated to the tangible and intangible assets acquired and liabilities assumed of C&amp;S based on their estimated fair value.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final purchase price allocation will be reflected in subsequent periodic reports filed with the SEC;</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the related income tax effects of the pro forma adjustments.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actual adjustments may differ materially from those reflected in the unaudited pro forma condensed combined financial information and, upon completion of acquisition accounting, the purchase price will be finalized and the values assigned to assets and liabilities may change significantly from those reflected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financial information has been prepared by management in accordance with SEC Regulation S-X Article 11, Pro Forma Financial Information, as amended, and are not necessarily indicative of the financial position or results of operations that would have been realized if the aforementioned transactions had been completed on the dates indicated, nor is it indicative of future operating results or financial position. The pro forma adjustments are based upon available information and certain assumptions that management believes are reasonable.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was derived from and should be read together with the accompanying notes to the unaudited pro forma condensed combined financial information, Parabolic’s historical consolidated financial statements and accompanying notes and Management’s Discussion and Analysis of Financial Condition and Results of Operations included in its annual report on Form 10-K for the fiscal year ended December 31, 2025, and its quarterly report on Form 10-Q for the three months ended March 31, 2026. The unaudited pro forma condensed combined financial information was also derived from and should be read together with C&amp;S’s historical financial statements filed as an exhibit to this Current Report on Form 8-K.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words not otherwise defined herein, shall have the meaning set forth in the APA.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7"/>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2000" w:type="dxa"/>
            <w:vAlign w:val="bottom"/>
          </w:tcPr>
          <w:p>
            <w:pPr>
              <w:spacing w:after="0"/>
              <w:rPr>
                <w:sz w:val="24"/>
                <w:szCs w:val="24"/>
                <w:color w:val="auto"/>
              </w:rPr>
            </w:pPr>
          </w:p>
        </w:tc>
        <w:tc>
          <w:tcPr>
            <w:tcW w:w="5080" w:type="dxa"/>
            <w:vAlign w:val="bottom"/>
            <w:gridSpan w:val="1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Unaudited Pro Forma Condensed Combined Balance Sheet</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Transaction</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Pro</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Parabolic</w:t>
            </w:r>
          </w:p>
        </w:tc>
        <w:tc>
          <w:tcPr>
            <w:tcW w:w="16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ConnectAndSell</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Forma</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2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Combined</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453</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(1,203)</w:t>
            </w: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(A)(F)</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4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5,387</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1,143</w:t>
            </w: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(1,143)</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668</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174</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28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912</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8,649</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18,978</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40,970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Bifurcated embedded derivative asset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related party</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953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(953)</w:t>
            </w: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2,971</w:t>
            </w:r>
          </w:p>
        </w:tc>
        <w:tc>
          <w:tcPr>
            <w:tcW w:w="0" w:type="dxa"/>
            <w:vAlign w:val="bottom"/>
          </w:tcPr>
          <w:p>
            <w:pPr>
              <w:spacing w:after="0"/>
              <w:rPr>
                <w:sz w:val="1"/>
                <w:szCs w:val="1"/>
                <w:color w:val="auto"/>
              </w:rPr>
            </w:pPr>
          </w:p>
        </w:tc>
      </w:tr>
      <w:tr>
        <w:trPr>
          <w:trHeight w:val="198"/>
        </w:trPr>
        <w:tc>
          <w:tcPr>
            <w:tcW w:w="328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Accrued expenses and other current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liabilities</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991</w:t>
            </w:r>
          </w:p>
        </w:tc>
        <w:tc>
          <w:tcPr>
            <w:tcW w:w="3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(957)</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(F)(H)</w:t>
            </w: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 related party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5,117</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notes, carried at fair value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(Yorkville)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Note – Transaction Financing</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carried at fair value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2,000</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4,258</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0" w:type="dxa"/>
            <w:vAlign w:val="bottom"/>
          </w:tcPr>
          <w:p>
            <w:pPr>
              <w:spacing w:after="0"/>
              <w:rPr>
                <w:sz w:val="1"/>
                <w:szCs w:val="1"/>
                <w:color w:val="auto"/>
              </w:rPr>
            </w:pPr>
          </w:p>
        </w:tc>
      </w:tr>
      <w:tr>
        <w:trPr>
          <w:trHeight w:val="198"/>
        </w:trPr>
        <w:tc>
          <w:tcPr>
            <w:tcW w:w="12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center"/>
              <w:ind w:right="300"/>
              <w:spacing w:after="0" w:line="198" w:lineRule="exact"/>
              <w:rPr>
                <w:sz w:val="20"/>
                <w:szCs w:val="20"/>
                <w:color w:val="auto"/>
              </w:rPr>
            </w:pPr>
            <w:r>
              <w:rPr>
                <w:rFonts w:ascii="Times New Roman" w:cs="Times New Roman" w:eastAsia="Times New Roman" w:hAnsi="Times New Roman"/>
                <w:sz w:val="18"/>
                <w:szCs w:val="18"/>
                <w:color w:val="auto"/>
                <w:w w:val="99"/>
              </w:rPr>
              <w:t>(A)(D)</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4,962</w:t>
            </w:r>
          </w:p>
        </w:tc>
        <w:tc>
          <w:tcPr>
            <w:tcW w:w="3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(3,162)</w:t>
            </w: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Cash Payment liability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4,750</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(A)(B)</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Financial instruments – related party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(A)(C)</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4,139</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(4,139)</w:t>
            </w: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6,843</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(F)(G)</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stock liability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1,334</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(1,334)</w:t>
            </w: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(I)</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Holdback liability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1,340</w:t>
            </w: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5"/>
              </w:rPr>
              <w:t>(E)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1,340</w:t>
            </w:r>
          </w:p>
        </w:tc>
        <w:tc>
          <w:tcPr>
            <w:tcW w:w="0" w:type="dxa"/>
            <w:vAlign w:val="bottom"/>
          </w:tcPr>
          <w:p>
            <w:pPr>
              <w:spacing w:after="0"/>
              <w:rPr>
                <w:sz w:val="1"/>
                <w:szCs w:val="1"/>
                <w:color w:val="auto"/>
              </w:rPr>
            </w:pPr>
          </w:p>
        </w:tc>
      </w:tr>
      <w:tr>
        <w:trPr>
          <w:trHeight w:val="216"/>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9"/>
        </w:trPr>
        <w:tc>
          <w:tcPr>
            <w:tcW w:w="328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19,253</w:t>
            </w:r>
          </w:p>
        </w:tc>
        <w:tc>
          <w:tcPr>
            <w:tcW w:w="2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w:t>
            </w: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and B convertible preferred stock</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1,288</w:t>
            </w:r>
          </w:p>
        </w:tc>
        <w:tc>
          <w:tcPr>
            <w:tcW w:w="3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(1,288)</w:t>
            </w: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(F)</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117,346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40,366</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(35,806)</w:t>
            </w: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(A)(F)</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121,906</w:t>
            </w:r>
          </w:p>
        </w:tc>
        <w:tc>
          <w:tcPr>
            <w:tcW w:w="0" w:type="dxa"/>
            <w:vAlign w:val="bottom"/>
          </w:tcPr>
          <w:p>
            <w:pPr>
              <w:spacing w:after="0"/>
              <w:rPr>
                <w:sz w:val="1"/>
                <w:szCs w:val="1"/>
                <w:color w:val="auto"/>
              </w:rPr>
            </w:pPr>
          </w:p>
        </w:tc>
      </w:tr>
      <w:tr>
        <w:trPr>
          <w:trHeight w:val="198"/>
        </w:trPr>
        <w:tc>
          <w:tcPr>
            <w:tcW w:w="32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(58,101)</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58,067</w:t>
            </w:r>
          </w:p>
        </w:tc>
        <w:tc>
          <w:tcPr>
            <w:tcW w:w="92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8"/>
                <w:szCs w:val="18"/>
                <w:color w:val="auto"/>
                <w:w w:val="97"/>
              </w:rPr>
              <w:t>(F)(H)</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(109,223)</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2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20,970</w:t>
            </w:r>
          </w:p>
        </w:tc>
        <w:tc>
          <w:tcPr>
            <w:tcW w:w="38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3280" w:type="dxa"/>
            <w:vAlign w:val="bottom"/>
            <w:gridSpan w:val="2"/>
            <w:shd w:val="clear" w:color="auto" w:fill="CCEEFF"/>
          </w:tcPr>
          <w:p>
            <w:pPr>
              <w:ind w:left="360"/>
              <w:spacing w:after="0" w:line="177" w:lineRule="exact"/>
              <w:rPr>
                <w:sz w:val="20"/>
                <w:szCs w:val="20"/>
                <w:color w:val="auto"/>
              </w:rPr>
            </w:pPr>
            <w:r>
              <w:rPr>
                <w:rFonts w:ascii="Times New Roman" w:cs="Times New Roman" w:eastAsia="Times New Roman" w:hAnsi="Times New Roman"/>
                <w:sz w:val="18"/>
                <w:szCs w:val="18"/>
                <w:color w:val="auto"/>
              </w:rPr>
              <w:t>Total liabilities and stockholders’</w:t>
            </w:r>
          </w:p>
        </w:tc>
        <w:tc>
          <w:tcPr>
            <w:tcW w:w="28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31,474</w:t>
            </w:r>
          </w:p>
        </w:tc>
        <w:tc>
          <w:tcPr>
            <w:tcW w:w="2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2,809</w:t>
            </w:r>
          </w:p>
        </w:tc>
        <w:tc>
          <w:tcPr>
            <w:tcW w:w="3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16,544</w:t>
            </w: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6,000</w:t>
            </w:r>
          </w:p>
        </w:tc>
        <w:tc>
          <w:tcPr>
            <w:tcW w:w="60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56,827</w:t>
            </w:r>
          </w:p>
        </w:tc>
        <w:tc>
          <w:tcPr>
            <w:tcW w:w="0" w:type="dxa"/>
            <w:vAlign w:val="bottom"/>
          </w:tcPr>
          <w:p>
            <w:pPr>
              <w:spacing w:after="0"/>
              <w:rPr>
                <w:sz w:val="1"/>
                <w:szCs w:val="1"/>
                <w:color w:val="auto"/>
              </w:rPr>
            </w:pPr>
          </w:p>
        </w:tc>
      </w:tr>
      <w:tr>
        <w:trPr>
          <w:trHeight w:val="221"/>
        </w:trPr>
        <w:tc>
          <w:tcPr>
            <w:tcW w:w="32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gridSpan w:val="2"/>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Pro Forma Condensed Combined Financial Information</w:t>
      </w:r>
    </w:p>
    <w:p>
      <w:pPr>
        <w:sectPr>
          <w:pgSz w:w="11900" w:h="16838" w:orient="portrait"/>
          <w:cols w:equalWidth="0" w:num="1">
            <w:col w:w="11240"/>
          </w:cols>
          <w:pgMar w:left="320" w:top="216" w:right="339" w:bottom="0" w:gutter="0" w:footer="0" w:header="0"/>
        </w:sectPr>
      </w:pPr>
    </w:p>
    <w:bookmarkStart w:id="135" w:name="page136"/>
    <w:bookmarkEnd w:id="135"/>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March 31, 2026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100" w:type="dxa"/>
            <w:vAlign w:val="bottom"/>
          </w:tcPr>
          <w:p>
            <w:pPr>
              <w:spacing w:after="0"/>
              <w:rPr>
                <w:sz w:val="18"/>
                <w:szCs w:val="18"/>
                <w:color w:val="auto"/>
              </w:rPr>
            </w:pPr>
          </w:p>
        </w:tc>
        <w:tc>
          <w:tcPr>
            <w:tcW w:w="154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Pro</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Parabolic</w:t>
            </w: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ConnectAndSell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100" w:type="dxa"/>
            <w:vAlign w:val="bottom"/>
          </w:tcPr>
          <w:p>
            <w:pPr>
              <w:spacing w:after="0"/>
              <w:rPr>
                <w:sz w:val="18"/>
                <w:szCs w:val="18"/>
                <w:color w:val="auto"/>
              </w:rPr>
            </w:pPr>
          </w:p>
        </w:tc>
        <w:tc>
          <w:tcPr>
            <w:tcW w:w="154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10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Forma</w:t>
            </w:r>
          </w:p>
        </w:tc>
        <w:tc>
          <w:tcPr>
            <w:tcW w:w="0" w:type="dxa"/>
            <w:vAlign w:val="bottom"/>
          </w:tcPr>
          <w:p>
            <w:pPr>
              <w:spacing w:after="0"/>
              <w:rPr>
                <w:sz w:val="1"/>
                <w:szCs w:val="1"/>
                <w:color w:val="auto"/>
              </w:rPr>
            </w:pPr>
          </w:p>
        </w:tc>
      </w:tr>
      <w:tr>
        <w:trPr>
          <w:trHeight w:val="238"/>
        </w:trPr>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w w:val="97"/>
              </w:rPr>
              <w:t>(Historical)</w:t>
            </w:r>
          </w:p>
        </w:tc>
        <w:tc>
          <w:tcPr>
            <w:tcW w:w="140" w:type="dxa"/>
            <w:vAlign w:val="bottom"/>
          </w:tcPr>
          <w:p>
            <w:pPr>
              <w:spacing w:after="0"/>
              <w:rPr>
                <w:sz w:val="20"/>
                <w:szCs w:val="20"/>
                <w:color w:val="auto"/>
              </w:rPr>
            </w:pPr>
          </w:p>
        </w:tc>
        <w:tc>
          <w:tcPr>
            <w:tcW w:w="130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20"/>
                <w:szCs w:val="20"/>
                <w:color w:val="auto"/>
              </w:rPr>
            </w:pPr>
          </w:p>
        </w:tc>
        <w:tc>
          <w:tcPr>
            <w:tcW w:w="17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  Notes</w:t>
            </w:r>
          </w:p>
        </w:tc>
        <w:tc>
          <w:tcPr>
            <w:tcW w:w="16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Adjustments  Notes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660" w:type="dxa"/>
            <w:vAlign w:val="bottom"/>
            <w:gridSpan w:val="3"/>
          </w:tcPr>
          <w:p>
            <w:pPr>
              <w:jc w:val="center"/>
              <w:ind w:right="156"/>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0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Combined</w:t>
            </w:r>
          </w:p>
        </w:tc>
        <w:tc>
          <w:tcPr>
            <w:tcW w:w="0" w:type="dxa"/>
            <w:vAlign w:val="bottom"/>
          </w:tcPr>
          <w:p>
            <w:pPr>
              <w:spacing w:after="0"/>
              <w:rPr>
                <w:sz w:val="1"/>
                <w:szCs w:val="1"/>
                <w:color w:val="auto"/>
              </w:rPr>
            </w:pPr>
          </w:p>
        </w:tc>
      </w:tr>
      <w:tr>
        <w:trPr>
          <w:trHeight w:val="209"/>
        </w:trPr>
        <w:tc>
          <w:tcPr>
            <w:tcW w:w="1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2,696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521</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09"/>
        </w:trPr>
        <w:tc>
          <w:tcPr>
            <w:tcW w:w="1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2,175</w:t>
            </w: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center"/>
              <w:ind w:right="156"/>
              <w:spacing w:after="0"/>
              <w:rPr>
                <w:sz w:val="20"/>
                <w:szCs w:val="20"/>
                <w:color w:val="auto"/>
              </w:rPr>
            </w:pPr>
            <w:r>
              <w:rPr>
                <w:rFonts w:ascii="Times New Roman" w:cs="Times New Roman" w:eastAsia="Times New Roman" w:hAnsi="Times New Roman"/>
                <w:sz w:val="18"/>
                <w:szCs w:val="18"/>
                <w:color w:val="auto"/>
                <w:w w:val="99"/>
              </w:rPr>
              <w:t>(AA)</w:t>
            </w: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7,650</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2,052</w:t>
            </w:r>
          </w:p>
        </w:tc>
        <w:tc>
          <w:tcPr>
            <w:tcW w:w="660" w:type="dxa"/>
            <w:vAlign w:val="bottom"/>
            <w:gridSpan w:val="3"/>
            <w:shd w:val="clear" w:color="auto" w:fill="CCEEFF"/>
          </w:tcPr>
          <w:p>
            <w:pPr>
              <w:jc w:val="center"/>
              <w:ind w:right="136"/>
              <w:spacing w:after="0"/>
              <w:rPr>
                <w:sz w:val="20"/>
                <w:szCs w:val="20"/>
                <w:color w:val="auto"/>
              </w:rPr>
            </w:pPr>
            <w:r>
              <w:rPr>
                <w:rFonts w:ascii="Times New Roman" w:cs="Times New Roman" w:eastAsia="Times New Roman" w:hAnsi="Times New Roman"/>
                <w:sz w:val="18"/>
                <w:szCs w:val="18"/>
                <w:color w:val="auto"/>
                <w:w w:val="99"/>
              </w:rPr>
              <w:t>(BB)</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Engineering, research</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and development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5"/>
          </w:tcPr>
          <w:p>
            <w:pPr>
              <w:jc w:val="right"/>
              <w:ind w:right="176"/>
              <w:spacing w:after="0"/>
              <w:rPr>
                <w:sz w:val="20"/>
                <w:szCs w:val="20"/>
                <w:color w:val="auto"/>
              </w:rPr>
            </w:pPr>
            <w:r>
              <w:rPr>
                <w:rFonts w:ascii="Times New Roman" w:cs="Times New Roman" w:eastAsia="Times New Roman" w:hAnsi="Times New Roman"/>
                <w:sz w:val="18"/>
                <w:szCs w:val="18"/>
                <w:color w:val="auto"/>
              </w:rPr>
              <w:t>(804) (AA)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5"/>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(1,423) (AA)</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660" w:type="dxa"/>
            <w:vAlign w:val="bottom"/>
            <w:gridSpan w:val="3"/>
          </w:tcPr>
          <w:p>
            <w:pPr>
              <w:jc w:val="center"/>
              <w:ind w:right="136"/>
              <w:spacing w:after="0"/>
              <w:rPr>
                <w:sz w:val="20"/>
                <w:szCs w:val="20"/>
                <w:color w:val="auto"/>
              </w:rPr>
            </w:pPr>
            <w:r>
              <w:rPr>
                <w:rFonts w:ascii="Times New Roman" w:cs="Times New Roman" w:eastAsia="Times New Roman" w:hAnsi="Times New Roman"/>
                <w:sz w:val="18"/>
                <w:szCs w:val="18"/>
                <w:color w:val="auto"/>
                <w:w w:val="99"/>
              </w:rPr>
              <w:t>(BB)</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178"/>
        </w:trPr>
        <w:tc>
          <w:tcPr>
            <w:tcW w:w="16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Total operating</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7,955</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2,928</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10,883</w:t>
            </w: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(5,780)</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6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0" w:type="dxa"/>
            <w:vAlign w:val="bottom"/>
          </w:tcPr>
          <w:p>
            <w:pPr>
              <w:spacing w:after="0"/>
              <w:rPr>
                <w:sz w:val="1"/>
                <w:szCs w:val="1"/>
                <w:color w:val="auto"/>
              </w:rPr>
            </w:pPr>
          </w:p>
        </w:tc>
      </w:tr>
      <w:tr>
        <w:trPr>
          <w:trHeight w:val="209"/>
        </w:trPr>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extinguishment of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Private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Issuance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1,598</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extinguishment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debt, 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financial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instruments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of financial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instruments – related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convertible notes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198"/>
        </w:trPr>
        <w:tc>
          <w:tcPr>
            <w:tcW w:w="1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Yorkville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SEPA advances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 net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550</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178"/>
        </w:trPr>
        <w:tc>
          <w:tcPr>
            <w:tcW w:w="1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Total other expenses,</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2,689</w:t>
            </w:r>
          </w:p>
        </w:tc>
        <w:tc>
          <w:tcPr>
            <w:tcW w:w="14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178"/>
        </w:trPr>
        <w:tc>
          <w:tcPr>
            <w:tcW w:w="16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 before income</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(8,469)</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4"/>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5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0" w:type="dxa"/>
            <w:vAlign w:val="bottom"/>
          </w:tcPr>
          <w:p>
            <w:pPr>
              <w:spacing w:after="0"/>
              <w:rPr>
                <w:sz w:val="1"/>
                <w:szCs w:val="1"/>
                <w:color w:val="auto"/>
              </w:rPr>
            </w:pPr>
          </w:p>
        </w:tc>
      </w:tr>
      <w:tr>
        <w:trPr>
          <w:trHeight w:val="178"/>
        </w:trPr>
        <w:tc>
          <w:tcPr>
            <w:tcW w:w="16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(benefit)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20"/>
                <w:szCs w:val="20"/>
                <w:color w:val="auto"/>
              </w:rPr>
            </w:pP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9"/>
        </w:trPr>
        <w:tc>
          <w:tcPr>
            <w:tcW w:w="1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300" w:type="dxa"/>
            <w:vAlign w:val="bottom"/>
            <w:tcBorders>
              <w:top w:val="single" w:sz="8" w:color="CCEEFF"/>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common</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(8,417)</w:t>
            </w:r>
          </w:p>
        </w:tc>
        <w:tc>
          <w:tcPr>
            <w:tcW w:w="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vMerge w:val="restart"/>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(518)</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vMerge w:val="restart"/>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(8,935)</w:t>
            </w:r>
          </w:p>
        </w:tc>
        <w:tc>
          <w:tcPr>
            <w:tcW w:w="0" w:type="dxa"/>
            <w:vAlign w:val="bottom"/>
          </w:tcPr>
          <w:p>
            <w:pPr>
              <w:spacing w:after="0"/>
              <w:rPr>
                <w:sz w:val="1"/>
                <w:szCs w:val="1"/>
                <w:color w:val="auto"/>
              </w:rPr>
            </w:pPr>
          </w:p>
        </w:tc>
      </w:tr>
      <w:tr>
        <w:trPr>
          <w:trHeight w:val="221"/>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200" w:type="dxa"/>
            <w:vAlign w:val="bottom"/>
            <w:gridSpan w:val="2"/>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660" w:type="dxa"/>
            <w:vAlign w:val="bottom"/>
            <w:gridSpan w:val="4"/>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540" w:type="dxa"/>
            <w:vAlign w:val="bottom"/>
            <w:gridSpan w:val="3"/>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40" w:type="dxa"/>
            <w:vAlign w:val="bottom"/>
            <w:gridSpan w:val="2"/>
            <w:vMerge w:val="continue"/>
            <w:shd w:val="clear" w:color="auto" w:fill="CCEEFF"/>
          </w:tcPr>
          <w:p>
            <w:pPr>
              <w:spacing w:after="0"/>
              <w:rPr>
                <w:sz w:val="19"/>
                <w:szCs w:val="19"/>
                <w:color w:val="auto"/>
              </w:rPr>
            </w:pPr>
          </w:p>
        </w:tc>
        <w:tc>
          <w:tcPr>
            <w:tcW w:w="660" w:type="dxa"/>
            <w:vAlign w:val="bottom"/>
            <w:gridSpan w:val="3"/>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(116.91)</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4"/>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196"/>
        </w:trPr>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w:t>
            </w: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(in</w:t>
            </w:r>
          </w:p>
        </w:tc>
        <w:tc>
          <w:tcPr>
            <w:tcW w:w="1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thousands)</w:t>
            </w:r>
          </w:p>
        </w:tc>
        <w:tc>
          <w:tcPr>
            <w:tcW w:w="1560" w:type="dxa"/>
            <w:vAlign w:val="bottom"/>
            <w:vMerge w:val="restart"/>
          </w:tcPr>
          <w:p>
            <w:pPr>
              <w:jc w:val="right"/>
              <w:ind w:right="590"/>
              <w:spacing w:after="0"/>
              <w:rPr>
                <w:sz w:val="20"/>
                <w:szCs w:val="20"/>
                <w:color w:val="auto"/>
              </w:rPr>
            </w:pPr>
            <w:r>
              <w:rPr>
                <w:rFonts w:ascii="Times New Roman" w:cs="Times New Roman" w:eastAsia="Times New Roman" w:hAnsi="Times New Roman"/>
                <w:sz w:val="18"/>
                <w:szCs w:val="18"/>
                <w:color w:val="auto"/>
              </w:rPr>
              <w:t>72</w:t>
            </w:r>
          </w:p>
        </w:tc>
        <w:tc>
          <w:tcPr>
            <w:tcW w:w="148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560" w:type="dxa"/>
            <w:vAlign w:val="bottom"/>
            <w:vMerge w:val="continue"/>
          </w:tcPr>
          <w:p>
            <w:pPr>
              <w:spacing w:after="0"/>
              <w:rPr>
                <w:sz w:val="20"/>
                <w:szCs w:val="20"/>
                <w:color w:val="auto"/>
              </w:rPr>
            </w:pPr>
          </w:p>
        </w:tc>
        <w:tc>
          <w:tcPr>
            <w:tcW w:w="1480" w:type="dxa"/>
            <w:vAlign w:val="bottom"/>
            <w:vMerge w:val="continue"/>
          </w:tcPr>
          <w:p>
            <w:pPr>
              <w:spacing w:after="0"/>
              <w:rPr>
                <w:sz w:val="20"/>
                <w:szCs w:val="20"/>
                <w:color w:val="auto"/>
              </w:rPr>
            </w:pPr>
          </w:p>
        </w:tc>
        <w:tc>
          <w:tcPr>
            <w:tcW w:w="1580" w:type="dxa"/>
            <w:vAlign w:val="bottom"/>
            <w:vMerge w:val="continue"/>
          </w:tcPr>
          <w:p>
            <w:pPr>
              <w:spacing w:after="0"/>
              <w:rPr>
                <w:sz w:val="20"/>
                <w:szCs w:val="20"/>
                <w:color w:val="auto"/>
              </w:rPr>
            </w:pPr>
          </w:p>
        </w:tc>
        <w:tc>
          <w:tcPr>
            <w:tcW w:w="1800" w:type="dxa"/>
            <w:vAlign w:val="bottom"/>
            <w:vMerge w:val="continue"/>
          </w:tcPr>
          <w:p>
            <w:pPr>
              <w:spacing w:after="0"/>
              <w:rPr>
                <w:sz w:val="20"/>
                <w:szCs w:val="20"/>
                <w:color w:val="auto"/>
              </w:rPr>
            </w:pPr>
          </w:p>
        </w:tc>
        <w:tc>
          <w:tcPr>
            <w:tcW w:w="176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631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Notes to Unaudited Pro Forma Condensed Combined Financial Information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Transaction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6"/>
              </w:rPr>
              <w:t>Transaction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Pro</w:t>
            </w:r>
          </w:p>
        </w:tc>
      </w:tr>
      <w:tr>
        <w:trPr>
          <w:trHeight w:val="216"/>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7"/>
              </w:rPr>
              <w:t>Parabolic</w:t>
            </w:r>
          </w:p>
        </w:tc>
        <w:tc>
          <w:tcPr>
            <w:tcW w:w="15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ConnectAndSell</w:t>
            </w:r>
          </w:p>
        </w:tc>
        <w:tc>
          <w:tcPr>
            <w:tcW w:w="120" w:type="dxa"/>
            <w:vAlign w:val="bottom"/>
          </w:tcPr>
          <w:p>
            <w:pPr>
              <w:spacing w:after="0"/>
              <w:rPr>
                <w:sz w:val="18"/>
                <w:szCs w:val="18"/>
                <w:color w:val="auto"/>
              </w:rPr>
            </w:pPr>
          </w:p>
        </w:tc>
        <w:tc>
          <w:tcPr>
            <w:tcW w:w="11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Accounting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Accounting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Reclassification</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center"/>
              <w:ind w:right="201"/>
              <w:spacing w:after="0"/>
              <w:rPr>
                <w:sz w:val="20"/>
                <w:szCs w:val="20"/>
                <w:color w:val="auto"/>
              </w:rPr>
            </w:pPr>
            <w:r>
              <w:rPr>
                <w:rFonts w:ascii="Times New Roman" w:cs="Times New Roman" w:eastAsia="Times New Roman" w:hAnsi="Times New Roman"/>
                <w:sz w:val="18"/>
                <w:szCs w:val="18"/>
                <w:b w:val="1"/>
                <w:bCs w:val="1"/>
                <w:color w:val="auto"/>
                <w:w w:val="99"/>
              </w:rPr>
              <w:t>Forma</w:t>
            </w:r>
          </w:p>
        </w:tc>
      </w:tr>
      <w:tr>
        <w:trPr>
          <w:trHeight w:val="238"/>
        </w:trPr>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2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740" w:type="dxa"/>
            <w:vAlign w:val="bottom"/>
            <w:gridSpan w:val="5"/>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Notes  Adjustments</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08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Combined</w:t>
            </w:r>
          </w:p>
        </w:tc>
      </w:tr>
      <w:tr>
        <w:trPr>
          <w:trHeight w:val="209"/>
        </w:trPr>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12,161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14,716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26,877</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1,999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4,188</w:t>
            </w:r>
          </w:p>
        </w:tc>
      </w:tr>
      <w:tr>
        <w:trPr>
          <w:trHeight w:val="209"/>
        </w:trPr>
        <w:tc>
          <w:tcPr>
            <w:tcW w:w="2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22,689</w:t>
            </w:r>
          </w:p>
        </w:tc>
        <w:tc>
          <w:tcPr>
            <w:tcW w:w="100" w:type="dxa"/>
            <w:vAlign w:val="bottom"/>
            <w:tcBorders>
              <w:bottom w:val="single" w:sz="8" w:color="CCEEFF"/>
            </w:tcBorders>
          </w:tcPr>
          <w:p>
            <w:pPr>
              <w:spacing w:after="0"/>
              <w:rPr>
                <w:sz w:val="18"/>
                <w:szCs w:val="18"/>
                <w:color w:val="auto"/>
              </w:rPr>
            </w:pPr>
          </w:p>
        </w:tc>
      </w:tr>
      <w:tr>
        <w:trPr>
          <w:trHeight w:val="209"/>
        </w:trPr>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General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9"/>
              </w:rPr>
              <w:t>(AA)</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27,287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w:t>
            </w:r>
          </w:p>
        </w:tc>
        <w:tc>
          <w:tcPr>
            <w:tcW w:w="6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(H)</w:t>
            </w: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8,697</w:t>
            </w:r>
          </w:p>
        </w:tc>
        <w:tc>
          <w:tcPr>
            <w:tcW w:w="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w:t>
            </w: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38,816</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Engineering, research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development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(3,123) (AA)</w:t>
            </w:r>
          </w:p>
        </w:tc>
        <w:tc>
          <w:tcPr>
            <w:tcW w:w="16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6,339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4"/>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(6,339) (AA)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Depreciation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w:t>
            </w:r>
          </w:p>
        </w:tc>
        <w:tc>
          <w:tcPr>
            <w:tcW w:w="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(BB)</w:t>
            </w:r>
          </w:p>
        </w:tc>
        <w:tc>
          <w:tcPr>
            <w:tcW w:w="16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1,915</w:t>
            </w:r>
          </w:p>
        </w:tc>
      </w:tr>
      <w:tr>
        <w:trPr>
          <w:trHeight w:val="209"/>
        </w:trPr>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(18,465)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(18,042)</w:t>
            </w:r>
          </w:p>
        </w:tc>
      </w:tr>
      <w:tr>
        <w:trPr>
          <w:trHeight w:val="209"/>
        </w:trPr>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2,472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91</w:t>
            </w:r>
          </w:p>
        </w:tc>
        <w:tc>
          <w:tcPr>
            <w:tcW w:w="64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(D)</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1,504</w:t>
            </w:r>
          </w:p>
        </w:tc>
        <w:tc>
          <w:tcPr>
            <w:tcW w:w="5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(B)</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5,295</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Interest expense – related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1,157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1,157</w:t>
            </w: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extinguishment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Gain on release of Vidello</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revenue holdback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444</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Private Placement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Issuance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4,874</w:t>
            </w: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issuance of term</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111</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on issuance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bridge notes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153</w:t>
            </w: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extinguishment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net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2,403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3,488</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instruments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 related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bifurcated embedded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assets – related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party</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notes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173</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bridge notes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Loss on Yorkville SEPA</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974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974</w:t>
            </w: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Vidello earnout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486</w:t>
            </w: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Failed acquisition costs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1,382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1,382</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net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09"/>
        </w:trPr>
        <w:tc>
          <w:tcPr>
            <w:tcW w:w="2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net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2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(27,167)</w:t>
            </w:r>
          </w:p>
        </w:tc>
        <w:tc>
          <w:tcPr>
            <w:tcW w:w="100" w:type="dxa"/>
            <w:vAlign w:val="bottom"/>
            <w:tcBorders>
              <w:bottom w:val="single" w:sz="8" w:color="CCEEFF"/>
            </w:tcBorders>
          </w:tcPr>
          <w:p>
            <w:pPr>
              <w:spacing w:after="0"/>
              <w:rPr>
                <w:sz w:val="18"/>
                <w:szCs w:val="18"/>
                <w:color w:val="auto"/>
              </w:rPr>
            </w:pPr>
          </w:p>
        </w:tc>
      </w:tr>
      <w:tr>
        <w:trPr>
          <w:trHeight w:val="178"/>
        </w:trPr>
        <w:tc>
          <w:tcPr>
            <w:tcW w:w="202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Income tax expense</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w:t>
            </w:r>
          </w:p>
        </w:tc>
      </w:tr>
      <w:tr>
        <w:trPr>
          <w:trHeight w:val="249"/>
        </w:trPr>
        <w:tc>
          <w:tcPr>
            <w:tcW w:w="2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(22,494</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(22,494)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(3,111)</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(27,234)</w:t>
            </w:r>
          </w:p>
        </w:tc>
      </w:tr>
    </w:tbl>
    <w:p>
      <w:pPr>
        <w:sectPr>
          <w:pgSz w:w="11900" w:h="16838" w:orient="portrait"/>
          <w:cols w:equalWidth="0" w:num="1">
            <w:col w:w="11240"/>
          </w:cols>
          <w:pgMar w:left="320" w:top="229" w:right="339" w:bottom="0" w:gutter="0" w:footer="0" w:header="0"/>
        </w:sectPr>
      </w:pPr>
    </w:p>
    <w:bookmarkStart w:id="139" w:name="page140"/>
    <w:bookmarkEnd w:id="1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shareholders</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6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6"/>
        </w:trPr>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common</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(59.50)   $</w:t>
            </w:r>
          </w:p>
        </w:tc>
        <w:tc>
          <w:tcPr>
            <w:tcW w:w="142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(47.28)</w:t>
            </w: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20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shares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(in thousands)</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378</w:t>
            </w:r>
          </w:p>
        </w:tc>
        <w:tc>
          <w:tcPr>
            <w:tcW w:w="580" w:type="dxa"/>
            <w:vAlign w:val="bottom"/>
          </w:tcPr>
          <w:p>
            <w:pPr>
              <w:spacing w:after="0"/>
              <w:rPr>
                <w:sz w:val="18"/>
                <w:szCs w:val="18"/>
                <w:color w:val="auto"/>
              </w:rPr>
            </w:pPr>
          </w:p>
        </w:tc>
        <w:tc>
          <w:tcPr>
            <w:tcW w:w="142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2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Pr>
          <w:p>
            <w:pPr>
              <w:spacing w:after="0"/>
              <w:rPr>
                <w:sz w:val="18"/>
                <w:szCs w:val="18"/>
                <w:color w:val="auto"/>
              </w:rPr>
            </w:pPr>
          </w:p>
        </w:tc>
      </w:tr>
      <w:tr>
        <w:trPr>
          <w:trHeight w:val="20"/>
        </w:trPr>
        <w:tc>
          <w:tcPr>
            <w:tcW w:w="2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80" w:right="1940" w:hanging="1967"/>
        <w:spacing w:after="0" w:line="532" w:lineRule="auto"/>
        <w:rPr>
          <w:sz w:val="20"/>
          <w:szCs w:val="20"/>
          <w:color w:val="auto"/>
        </w:rPr>
      </w:pPr>
      <w:r>
        <w:rPr>
          <w:rFonts w:ascii="Times New Roman" w:cs="Times New Roman" w:eastAsia="Times New Roman" w:hAnsi="Times New Roman"/>
          <w:sz w:val="18"/>
          <w:szCs w:val="18"/>
          <w:color w:val="auto"/>
        </w:rPr>
        <w:t>See Notes to Unaudited Pro Forma Condensed Combined Financial Information 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except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Basis of Presentation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in accordance with accounting principles generally accepted in the United States of America (“GAAP”) and Article 11 of Regulation S-X. The accompanying pro forma condensed combined financial information is based on the historical consolidated financial statements of Parabolic and the historical financial statements of C&amp;S after giving effect to the Acquisition as well as certain reclassifications (see Note 2).</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 forma financial information was prepared using the acquisition method of accounting in accordance with ASC 805, with Parabolic as the acquirer of C&amp;S. Under the acquisition method of accounting, Parabolic must record assets acquired and liabilities assumed from C&amp;S at the Closing Date. Because the Closing Date occurred just prior to the filing of these pro forma financial statements, 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combines the historical balance sheets of Parabolic and C&amp;S as of March 31, 2026 on a pro forma basis as if the Acquisition had occurred as of that date. The unaudited pro forma condensed combined statements of operations for the year ended December 31, 2025, and the three months ended March 31, 2026 combines the historical statements of operations of Parabolic and C&amp;S for such periods on a pro forma basis as if the Acquisition and Transaction Financing (see Note B) had occurred on January 1, 2025, the beginning of the earliest period presented.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March 31, 2026 has been prepared using, and should be read in conjunction with, the following:</w:t>
      </w:r>
    </w:p>
    <w:p>
      <w:pPr>
        <w:spacing w:after="0" w:line="162" w:lineRule="exact"/>
        <w:rPr>
          <w:sz w:val="20"/>
          <w:szCs w:val="20"/>
          <w:color w:val="auto"/>
        </w:rPr>
      </w:pPr>
    </w:p>
    <w:p>
      <w:pPr>
        <w:ind w:left="660" w:right="20" w:hanging="328"/>
        <w:spacing w:after="0" w:line="26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Parabolic’s unaudited condensed consolidated balance sheet as of March 31, 2026, and the related notes as included in Parabolic’s quarterly report on Form 10-Q for the three months ended March 31, 2026; and</w:t>
      </w:r>
    </w:p>
    <w:p>
      <w:pPr>
        <w:ind w:left="660" w:hanging="328"/>
        <w:spacing w:after="0"/>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C&amp;S’s unaudited balance sheet as of March 31, 2026, and the related notes as filed as an exhibit to this Current Report on Form 8-K.</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for the year ended December 31, 2025, and the three months ended March 31, 2026, has been prepared using, and should be read in conjunction with, the following:</w:t>
      </w:r>
    </w:p>
    <w:p>
      <w:pPr>
        <w:spacing w:after="0" w:line="162" w:lineRule="exact"/>
        <w:rPr>
          <w:sz w:val="20"/>
          <w:szCs w:val="20"/>
          <w:color w:val="auto"/>
        </w:rPr>
      </w:pPr>
    </w:p>
    <w:p>
      <w:pPr>
        <w:jc w:val="both"/>
        <w:ind w:left="660" w:hanging="328"/>
        <w:spacing w:after="0" w:line="257"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Parabolic’s audited consolidated statement of operations for the year ended December 31, 2025, and the related notes included in Parabolic’s annual report on Form 10-K for the fiscal year ended December 31, 2025; and Parabolic’s unaudited condensed consolidated statement of operations for the three months ended March 31, 2026, included in Parabolic’s quarterly report on Form 10-Q for such period; and</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C&amp;S’s audited statements of operations for the year ended December 31, 2025, and the related notes as filed as an exhibit to this Current Report on Form 8-K; and C&amp;S’s unaudited statement of operations for the three months ended March 31, 2026, and the related notes as filed as an exhibit to this Current Report on Form 8-K.</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foregoing historical financial statements have been prepared in accordance with GAAP. The unaudited pro forma condensed combined financial information has been prepared based on the aforementioned historical financial statements and the assumptions and adjustments as described in the notes to the unaudited pro forma condensed combined financial information. 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synergies, operating efficiencies, tax savings or cost savings that may be associated with the Acquisition.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 forma adjustments reflecting the completion of the Acquisition are based on currently available information and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would have been had the Acquisition taken place on the date indicated, nor are they indicative of the future consolidated results of operations or financial position of the post-combination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Accounting Policies and Reclassifications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preparing the unaudited pro forma condensed combined financial information, Parabolic conducted a review of the accounting policies and practices of C&amp;S to determine if differences in accounting policies and practices require reclassification of results of operations to conform to Parabolic’s accounting policies and practices.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reclassifications were made to C&amp;S’s historical financial statements to conform to Parabolic’s financial statement presentation:</w:t>
      </w:r>
    </w:p>
    <w:p>
      <w:pPr>
        <w:spacing w:after="0" w:line="225" w:lineRule="exact"/>
        <w:rPr>
          <w:sz w:val="20"/>
          <w:szCs w:val="20"/>
          <w:color w:val="auto"/>
        </w:rPr>
      </w:pPr>
    </w:p>
    <w:p>
      <w:pPr>
        <w:ind w:left="980" w:right="20"/>
        <w:spacing w:after="0" w:line="261" w:lineRule="auto"/>
        <w:rPr>
          <w:sz w:val="20"/>
          <w:szCs w:val="20"/>
          <w:color w:val="auto"/>
        </w:rPr>
      </w:pPr>
      <w:r>
        <w:rPr>
          <w:rFonts w:ascii="Times New Roman" w:cs="Times New Roman" w:eastAsia="Times New Roman" w:hAnsi="Times New Roman"/>
          <w:sz w:val="18"/>
          <w:szCs w:val="18"/>
          <w:color w:val="auto"/>
        </w:rPr>
        <w:t>Note AA — Engineering, research and development expense, and sales and marketing expense, previously presented by C&amp;S as separate line items within operating expenses, have been reclassified to general and administrative expense, consistent with Parabolic’s presentation.</w:t>
      </w:r>
    </w:p>
    <w:p>
      <w:pPr>
        <w:ind w:left="980"/>
        <w:spacing w:after="0" w:line="260" w:lineRule="auto"/>
        <w:rPr>
          <w:sz w:val="20"/>
          <w:szCs w:val="20"/>
          <w:color w:val="auto"/>
        </w:rPr>
      </w:pPr>
      <w:r>
        <w:rPr>
          <w:rFonts w:ascii="Times New Roman" w:cs="Times New Roman" w:eastAsia="Times New Roman" w:hAnsi="Times New Roman"/>
          <w:sz w:val="18"/>
          <w:szCs w:val="18"/>
          <w:color w:val="auto"/>
        </w:rPr>
        <w:t>Note BB — Depreciation and amortization expense has been reclassified as a separate line item within operating expenses, consistent with Parabolic’s presentation.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have no effect on pro forma net loss or total pro forma stockholders’ equity (deficit).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Transaction Accounting Adjustments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describes each transaction accounting adjustment to the unaudited pro forma condensed combined balance sheet and statements of operations.</w:t>
      </w:r>
    </w:p>
    <w:p>
      <w:pPr>
        <w:sectPr>
          <w:pgSz w:w="11900" w:h="16838" w:orient="portrait"/>
          <w:cols w:equalWidth="0" w:num="1">
            <w:col w:w="11240"/>
          </w:cols>
          <w:pgMar w:left="320" w:top="229" w:right="339" w:bottom="1440" w:gutter="0" w:footer="0" w:header="0"/>
        </w:sectPr>
      </w:pP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Purchase Consideration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aggregate purchase consideration for the Acquisition is estimated at $13,260, comprised of the following:</w:t>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19685</wp:posOffset>
            </wp:positionV>
            <wp:extent cx="6626225" cy="1460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consideration (see Note B)</w:t>
      </w:r>
    </w:p>
    <w:p>
      <w:pPr>
        <w:spacing w:after="0" w:line="23" w:lineRule="exact"/>
        <w:rPr>
          <w:sz w:val="20"/>
          <w:szCs w:val="20"/>
          <w:color w:val="auto"/>
        </w:rPr>
      </w:pPr>
    </w:p>
    <w:p>
      <w:pPr>
        <w:ind w:left="660" w:right="2660"/>
        <w:spacing w:after="0" w:line="250" w:lineRule="auto"/>
        <w:rPr>
          <w:sz w:val="20"/>
          <w:szCs w:val="20"/>
          <w:color w:val="auto"/>
        </w:rPr>
      </w:pPr>
      <w:r>
        <w:rPr>
          <w:rFonts w:ascii="Times New Roman" w:cs="Times New Roman" w:eastAsia="Times New Roman" w:hAnsi="Times New Roman"/>
          <w:sz w:val="18"/>
          <w:szCs w:val="18"/>
          <w:color w:val="auto"/>
        </w:rPr>
        <w:t>Shares of Parabolic Class A Common Stock and/or Pre-Funded Warrants Of which: Holdback Shares withheld at Closing (see Note E) Employee Indebtedness Promissory Note (see Note D) Contingent consideration (earn-out) (see Note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-409575</wp:posOffset>
            </wp:positionV>
            <wp:extent cx="662622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26225"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-135255</wp:posOffset>
            </wp:positionV>
            <wp:extent cx="662622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b w:val="1"/>
          <w:bCs w:val="1"/>
          <w:color w:val="auto"/>
        </w:rPr>
        <w:t>Total estimated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31" w:lineRule="exact"/>
        <w:rPr>
          <w:sz w:val="20"/>
          <w:szCs w:val="20"/>
          <w:color w:val="auto"/>
        </w:rPr>
      </w:pPr>
    </w:p>
    <w:p>
      <w:pPr>
        <w:ind w:left="1380" w:hanging="1372"/>
        <w:spacing w:after="0"/>
        <w:tabs>
          <w:tab w:leader="none" w:pos="13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5,500</w:t>
      </w:r>
    </w:p>
    <w:p>
      <w:pPr>
        <w:spacing w:after="0" w:line="34" w:lineRule="exact"/>
        <w:rPr>
          <w:rFonts w:ascii="Times New Roman" w:cs="Times New Roman" w:eastAsia="Times New Roman" w:hAnsi="Times New Roman"/>
          <w:sz w:val="17"/>
          <w:szCs w:val="17"/>
          <w:color w:val="auto"/>
        </w:rPr>
      </w:pPr>
    </w:p>
    <w:p>
      <w:pPr>
        <w:ind w:left="1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5,900</w:t>
      </w:r>
    </w:p>
    <w:p>
      <w:pPr>
        <w:spacing w:after="0" w:line="21"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(1,340)</w:t>
      </w:r>
    </w:p>
    <w:p>
      <w:pPr>
        <w:spacing w:after="0" w:line="9" w:lineRule="exact"/>
        <w:rPr>
          <w:sz w:val="20"/>
          <w:szCs w:val="20"/>
          <w:color w:val="auto"/>
        </w:rPr>
      </w:pPr>
    </w:p>
    <w:p>
      <w:pPr>
        <w:jc w:val="right"/>
        <w:ind w:right="240"/>
        <w:spacing w:after="0"/>
        <w:rPr>
          <w:sz w:val="20"/>
          <w:szCs w:val="20"/>
          <w:color w:val="auto"/>
        </w:rPr>
      </w:pPr>
      <w:r>
        <w:rPr>
          <w:rFonts w:ascii="Times New Roman" w:cs="Times New Roman" w:eastAsia="Times New Roman" w:hAnsi="Times New Roman"/>
          <w:sz w:val="18"/>
          <w:szCs w:val="18"/>
          <w:color w:val="auto"/>
        </w:rPr>
        <w:t>1,800</w:t>
      </w:r>
    </w:p>
    <w:p>
      <w:pPr>
        <w:spacing w:after="0" w:line="9"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1226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11" w:lineRule="exact"/>
        <w:rPr>
          <w:sz w:val="20"/>
          <w:szCs w:val="20"/>
          <w:color w:val="auto"/>
        </w:rPr>
      </w:pPr>
    </w:p>
    <w:p>
      <w:pPr>
        <w:ind w:left="1280" w:hanging="1272"/>
        <w:spacing w:after="0"/>
        <w:tabs>
          <w:tab w:leader="none" w:pos="1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1226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11226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80" w:space="640"/>
            <w:col w:w="2020"/>
          </w:cols>
          <w:pgMar w:left="320" w:top="229" w:right="339" w:bottom="1440" w:gutter="0" w:footer="0" w:header="0"/>
          <w:type w:val="continuous"/>
        </w:sectPr>
      </w:pPr>
    </w:p>
    <w:p>
      <w:pPr>
        <w:spacing w:after="0" w:line="6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Pursuant to the APA, $5,500 of the aggregate consideration is payable in cash, consisting of: (i) $750 payable at Closing; (ii) $1,500 as the First Deferred Cash Payment; and (iii) $3,250 as the Second Deferred Cash Payment. The First Deferred Cash Payment is due and payable as soon as the Company has available cash and in any event within thirty (30) days of the Closing Date. The Second Deferred Cash Payment is due and payable within three (3) business days following the earlier of (i) the date the SEC declares effective the registration statement covering the securities issued in the Private Placement and (ii) December 31, 2026. If the Second Deferred Cash Payment becomes due and payable after September 30, 2026, the amount payable will be increased by simple interest at 8% per annum from September 30, 2026 until paid. No pro forma adjustment has been recorded for such contingent interest, as the obligation to pay interest would not arise until after the pro forma balance sheet date.</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total number of shares of Common Stock and Pre-Funded Warrants issued in connection with the Acquisition was 198,009, which was determined by dividing the $5,900 stock consideration by the Closing VWAP of $29.7966, defined in the APA as the 5-day volume-weighted average price of Parabolic’s Class A Common Stock ending on the trading day immediately preceding the Agreement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198,009 total shares and Pre-Funded Warrants was comprised of 29,492 shares of Common Stock and 168,518 Pre-Funded Warrants. The number of shares of Common Stock issued was determined to be the number of shares that would cause the holder to own not more than 9.99% of the shares of Parabolic Common Stock outstanding immediately following Closing. Pre-Funded Warrants were issued in lieu of shares of Common Stock for the remainder of the $5,900 stock consideration (i.e., to the extent that issuance of shares would have caused the holder to exceed owning 9.99% of the shares of Parabolic Common Stock outstanding immediately following Closing).</w:t>
      </w:r>
    </w:p>
    <w:p>
      <w:pPr>
        <w:spacing w:after="0" w:line="183"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addition, the APA provides that the aggregate number of shares issued to C&amp;S may not exceed 19.99% of the total number of shares of Parabolic Class A Common Stock and Class B Common Stock outstanding immediately prior to Closing (the “Nasdaq Issuance Cap”). Shares underlying Pre-Funded Warrants are exercisable upon stockholder approval of the issuance; such approval is required to be obtained within 120 days of Closing. If stockholder approval is not obtained within 120 days of closing, the Company is required, within 30 days thereafter, to pay in cash an amount equal to the Closing Non-Cash Consideration (i.e., the equity and warrant component of the Closing Consideration, excluding the Employee Indebtedness Note). Upon receipt of such cash payment, the Pre-Funded Warrants corresponding to the Shares for which such payment was made (being the warrants covering Shares that would have exceeded the Nasdaq Issuance Cap of 19.99%) shall be surrendered by Seller for cancellation. For the avoidance of doubt, Seller retains all Shares issued at closing and any Pre-Funded Warrants exercisable for Shares that do not exceed the 19.99% threshold.</w:t>
      </w:r>
    </w:p>
    <w:p>
      <w:pPr>
        <w:spacing w:after="0" w:line="188"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APA also provides that if the VWAP of the Shares over the five trading days immediately preceding the earlier of (i) the 120th day following the Closing Date and (ii) the Effective Date (i.e., the effective date of the Form S-3 registration statement covering the resale of shares issuable pursuant to the APA) (such earlier date, the “Measurement Date”) is less than the Closing VWAP, Parabolic will issue to Seller an additional number of shares equal to the difference between (x) the number of Shares that would have been issued at closing using the Measurement Date VWAP and (y) the 198,010 Shares of Common Stock and Pre-Funded Warrants issued at closing subject to a floor of 85% of the Closing VWAP (i.e. $25.32711). If the Measurement Date VWAP equals the floor price, the maximum number of additional shares issuable under this provision would be approximately 35 thousand shares, representing approximately $1,041 of additional stock consideration at the Closing VWAP, illustrated as follows:</w:t>
      </w:r>
    </w:p>
    <w:p>
      <w:pPr>
        <w:spacing w:after="0" w:line="201"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b w:val="1"/>
          <w:bCs w:val="1"/>
          <w:color w:val="auto"/>
        </w:rPr>
        <w:t>Sensitivity analysis for hypothetical additional shares issuable at the Measurement Date</w:t>
      </w:r>
    </w:p>
    <w:p>
      <w:pPr>
        <w:spacing w:after="0" w:line="31" w:lineRule="exact"/>
        <w:rPr>
          <w:sz w:val="20"/>
          <w:szCs w:val="20"/>
          <w:color w:val="auto"/>
        </w:rPr>
      </w:pPr>
    </w:p>
    <w:tbl>
      <w:tblPr>
        <w:tblLayout w:type="fixed"/>
        <w:tblInd w:w="660" w:type="dxa"/>
        <w:tblCellMar>
          <w:top w:w="0" w:type="dxa"/>
          <w:left w:w="0" w:type="dxa"/>
          <w:bottom w:w="0" w:type="dxa"/>
          <w:right w:w="0" w:type="dxa"/>
        </w:tblCellMar>
      </w:tblPr>
      <w:tr>
        <w:trPr>
          <w:trHeight w:val="187"/>
        </w:trPr>
        <w:tc>
          <w:tcPr>
            <w:tcW w:w="1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Total Shares</w:t>
            </w:r>
          </w:p>
        </w:tc>
        <w:tc>
          <w:tcPr>
            <w:tcW w:w="13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3"/>
              </w:rPr>
              <w:t>at</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Less: Shares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Value at</w:t>
            </w:r>
          </w:p>
        </w:tc>
      </w:tr>
      <w:tr>
        <w:trPr>
          <w:trHeight w:val="216"/>
        </w:trPr>
        <w:tc>
          <w:tcPr>
            <w:tcW w:w="120" w:type="dxa"/>
            <w:vAlign w:val="bottom"/>
          </w:tcPr>
          <w:p>
            <w:pPr>
              <w:spacing w:after="0"/>
              <w:rPr>
                <w:sz w:val="18"/>
                <w:szCs w:val="18"/>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2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Measurement</w:t>
            </w:r>
          </w:p>
        </w:tc>
        <w:tc>
          <w:tcPr>
            <w:tcW w:w="16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Issued at</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Closing</w:t>
            </w:r>
          </w:p>
        </w:tc>
      </w:tr>
      <w:tr>
        <w:trPr>
          <w:trHeight w:val="238"/>
        </w:trPr>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Date VWAP</w:t>
            </w:r>
          </w:p>
        </w:tc>
        <w:tc>
          <w:tcPr>
            <w:tcW w:w="320" w:type="dxa"/>
            <w:vAlign w:val="bottom"/>
            <w:tcBorders>
              <w:bottom w:val="single" w:sz="8" w:color="CCEEFF"/>
            </w:tcBorders>
          </w:tcPr>
          <w:p>
            <w:pPr>
              <w:spacing w:after="0"/>
              <w:rPr>
                <w:sz w:val="20"/>
                <w:szCs w:val="20"/>
                <w:color w:val="auto"/>
              </w:rPr>
            </w:pPr>
          </w:p>
        </w:tc>
        <w:tc>
          <w:tcPr>
            <w:tcW w:w="2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 of Closing VWAP</w:t>
            </w:r>
          </w:p>
        </w:tc>
        <w:tc>
          <w:tcPr>
            <w:tcW w:w="4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VWAP</w:t>
            </w:r>
          </w:p>
        </w:tc>
        <w:tc>
          <w:tcPr>
            <w:tcW w:w="3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Closing</w:t>
            </w:r>
          </w:p>
        </w:tc>
        <w:tc>
          <w:tcPr>
            <w:tcW w:w="3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4"/>
              </w:rPr>
              <w:t>VWAP</w:t>
            </w:r>
          </w:p>
        </w:tc>
        <w:tc>
          <w:tcPr>
            <w:tcW w:w="100" w:type="dxa"/>
            <w:vAlign w:val="bottom"/>
            <w:tcBorders>
              <w:bottom w:val="single" w:sz="8" w:color="CCEEFF"/>
            </w:tcBorders>
          </w:tcPr>
          <w:p>
            <w:pPr>
              <w:spacing w:after="0"/>
              <w:rPr>
                <w:sz w:val="20"/>
                <w:szCs w:val="20"/>
                <w:color w:val="auto"/>
              </w:rPr>
            </w:pPr>
          </w:p>
        </w:tc>
      </w:tr>
      <w:tr>
        <w:trPr>
          <w:trHeight w:val="210"/>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29.7966</w:t>
            </w:r>
          </w:p>
        </w:tc>
        <w:tc>
          <w:tcPr>
            <w:tcW w:w="32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198,009</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7"/>
              </w:rPr>
              <w:t>(198,009)</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28.3068</w:t>
            </w:r>
          </w:p>
        </w:tc>
        <w:tc>
          <w:tcPr>
            <w:tcW w:w="2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208,431</w:t>
            </w:r>
          </w:p>
        </w:tc>
        <w:tc>
          <w:tcPr>
            <w:tcW w:w="16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(198,009)</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10,421</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w:t>
            </w:r>
          </w:p>
        </w:tc>
      </w:tr>
      <w:tr>
        <w:trPr>
          <w:trHeight w:val="216"/>
        </w:trPr>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26.8170</w:t>
            </w:r>
          </w:p>
        </w:tc>
        <w:tc>
          <w:tcPr>
            <w:tcW w:w="2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16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220,010</w:t>
            </w:r>
          </w:p>
        </w:tc>
        <w:tc>
          <w:tcPr>
            <w:tcW w:w="164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(198,009)</w:t>
            </w: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22,001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r>
      <w:tr>
        <w:trPr>
          <w:trHeight w:val="234"/>
        </w:trPr>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25.3271</w:t>
            </w:r>
          </w:p>
        </w:tc>
        <w:tc>
          <w:tcPr>
            <w:tcW w:w="2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85% (floor)</w:t>
            </w:r>
          </w:p>
        </w:tc>
        <w:tc>
          <w:tcPr>
            <w:tcW w:w="1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232,952</w:t>
            </w:r>
          </w:p>
        </w:tc>
        <w:tc>
          <w:tcPr>
            <w:tcW w:w="164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(198,009)</w:t>
            </w: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34,943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1,041</w:t>
            </w:r>
          </w:p>
        </w:tc>
      </w:tr>
    </w:tbl>
    <w:p>
      <w:pPr>
        <w:spacing w:after="0" w:line="17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Holdback Shares, representing $1,340 of the stock consideration, are withheld by Parabolic for 12 months as security for indemnification obligations under the APA. The number of Holdback Shares is fixed at closing based on the Closing VWAP. The Holdback Shares are presented as a non-current liability of $1,340 on the unaudited pro forma condensed combined balance sheet; see Note E below.</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Transaction Financing</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July 1, 2026, the Company entered into a subordinated business loan and security agreement with Agile Lending, LLC (“Agile”) and Agile Capital Funding, LLC as the collateral agent (“Agile Funding”) and issued a subordinated secured promissory note (the “Agile Note”) for an aggregate principal amount of $2,100 and received net proceeds of $2,000, after administrative agent fees of $100 paid to Agile Funding, with a maturity date of February 4, 2027. The Agile Note bears interest at a rate of 44%. The Agile Note is classified as a current liability on the unaudited pro forma condensed combined balance sheet. Consistent with the Company’s existing Agile Notes, the Agile Note is expected to be measured at fair value under the fair value option.</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proceeds of the Agile Note are being used to fund the $750 cash consideration payable at Closing, to provide post-Acquisition working capital, and potentially to partially fund the First and/or Second Deferred Cash Payments.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order to provide additional financing in connection with the Acquisition (“Transaction Financing”), the Company is expected to issue a convertible promissory note (the “Financing Note”) with a principal amount of $4,000. The Financing Note had not yet closed as of the filing date of this unaudited pro forma condensed combined financial information included in this Current Report on Form 8-K. For purposes of the pro forma interest expense adjustment, the Company estimates the Financing Note to have a 1 year term and an interest rate of 12% per annum. The proceeds of the Private Placement are expected to be used to partially fund the First and/or Second Deferred Cash Payments.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reflect:</w:t>
      </w:r>
    </w:p>
    <w:p>
      <w:pPr>
        <w:spacing w:after="0" w:line="225" w:lineRule="exact"/>
        <w:rPr>
          <w:sz w:val="20"/>
          <w:szCs w:val="20"/>
          <w:color w:val="auto"/>
        </w:rPr>
      </w:pPr>
    </w:p>
    <w:p>
      <w:pPr>
        <w:ind w:left="1300" w:hanging="320"/>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 increase to cash representing the net proceeds of the Agile Note;</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$4,000 increase to cash representing the net proceeds of the Financing Note;</w:t>
      </w:r>
    </w:p>
    <w:p>
      <w:pPr>
        <w:spacing w:after="0" w:line="207" w:lineRule="exact"/>
        <w:rPr>
          <w:sz w:val="20"/>
          <w:szCs w:val="20"/>
          <w:color w:val="auto"/>
        </w:rPr>
      </w:pPr>
    </w:p>
    <w:p>
      <w:pPr>
        <w:ind w:left="1300" w:hanging="320"/>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$2,000 increase to current liabilities representing the Agile Note at its initial fair value, equal to net cash proceeds;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$4,000 increase to current liabilities representing the Financing Note at its initial fair value;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$453 decrease to cash representing C&amp;S’ cash and cash equivalents excluded from Purchased Assets pursuant to the APA;</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$750 decrease to cash representing the cash consideration paid at Closing;</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$1,500 increase to current liabilities representing the First Deferred Cash Payment; and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(vii)a $3,250 increase to current liabilities representing the Second Deferred Cash Payment.</w:t>
      </w:r>
    </w:p>
    <w:p>
      <w:pPr>
        <w:spacing w:after="0" w:line="20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pro forma adjustments to the unaudited pro forma condensed combined statements of operations reflect, for the year ended December 31, 2025 only: (i) contractual financing charges of $924 and amortization of administrative agent fees of $100 related to the Agile Note, totaling $1,024; and (ii) interest expense of $480 related to the Financing Note, calculated at 12% per annum on the $4,000 principal for the one year term, for a combined pro forma adjustment of $1,504, as an estimation of the cost of the financing as if the Agile Note and the Financing Note had been outstanding from January 1, 2025, the beginning of the earliest period presented. No adjustment has been recorded for the three months ended March 31, 2026, since the full term of the Agile Note and the Financing Note would have elapsed prior to January 1, 2026 under this assumption.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Contingent Consideration (Earn-Out)</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APA provides for contingent earn-out payments (the “Earn-Out Consideration”) payable during the twelve-month period following the Closing Date (the “Earn-Out Period”), contingent upon C&amp;S achieving specified monthly recurring revenue (“MRR”) targets. The Base Earn-Out of $2,000 is payable if Year 1 MRR is at least 95% of Closing MRR, and is payable in cash or, at the Company’s option, in shares of Common Stock and/or Pre-Funded Warrants. An additional Performance Earn-Out is payable if Year 1 MRR exceeds Closing MRR, equal to (i) 3x the amount of such excess if the excess is $333,333 or less, or (ii) 6x the amount of such excess if the excess is greater than $333,333; the Performance Earn-Out Consideration is payable solely in shares of Common Stock and/or Pre-Funded Warrants.</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ASC 805, contingent consideration is measured at fair value at the Closing Date and included in the total consideration transferred. Based on management’s probability assessment of the achievement of the MRR targets, the fair value of the Earn-Out Consideration has been estimated at $60. This estimate is subject to significant judgment and uncertainty; the actual fair value may differ materially. Changes in the fair value of the earn-out liability after the Closing Date will be recognized in earnings in subsequent periods and are not reflected in the unaudited pro forma condensed combined statement of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Employee Indebtedness Note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Pursuant to the APA, the Company issued to C&amp;S an Employee Indebtedness Note in the principal amount of $1,800, bearing interest at 8% per annum, payable in four equal quarterly installments. The Employee Indebtedness Note is classified as a current liability on the unaudited pro forma condensed combined balance sheet.</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pro forma adjustments reflect: (i) $1,800 as a new liability representing the Employee Indebtedness Note; and (ii) additional interest expense of $91 for the year ended December 31, 2025, calculated at 8% per annum as if the Employee Indebtedness Note had been outstanding from January 1, 2025, the beginning of the earliest period presented.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Holdback Shares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Pursuant to Section 3.4 of the APA, shares representing $1,340 of the $5,900 stock consideration (the “Holdback Shares”) are withheld by Parabolic at the Closing for a period of twelve (12) months as security for C&amp;S’s indemnification obligations under the APA. The Holdback Shares constitute the sole recourse for general indemnification claims under Section 9.2(a) of the APA (subject to a deductible equal to 1% of the Purchase Price and a per-item threshold of $35,000). At the end of the holdback period, unencumbered Holdback Shares are delivered to C&amp;S. Holdback Shares applied to indemnification claims are valued at the greater of the Closing VWAP and the 5-day VWAP immediately preceding the date on which the applicable claim is finally resolved.</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Because the Holdback Shares are not delivered to C&amp;S at Closing, the Company has recognized the holdback obligation as a non-current liability of $1,340 on the unaudited pro forma condensed combined balance sheet, with the remaining $4,560 of stock consideration recorded as additional paid-in capital. The total consideration transferred is unchanged at $13,260. The Holdback Shares are treated as legally issued and outstanding for purposes of the pro forma loss per share calculation (Note I).</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Preliminary Purchase Price Allocation</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Acquisition is expected to be accounted for as a business combination under ASC 805. The following table presents the preliminary allocation of the purchase price to the identifiable assets acquired and liabilities assumed:</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acquired</w:t>
            </w:r>
          </w:p>
        </w:tc>
        <w:tc>
          <w:tcPr>
            <w:tcW w:w="2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w:t>
            </w:r>
          </w:p>
        </w:tc>
      </w:tr>
      <w:tr>
        <w:trPr>
          <w:trHeight w:val="229"/>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7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acquired</w:t>
            </w:r>
          </w:p>
        </w:tc>
        <w:tc>
          <w:tcPr>
            <w:tcW w:w="270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18"/>
                <w:szCs w:val="18"/>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assumed:</w:t>
            </w:r>
          </w:p>
        </w:tc>
        <w:tc>
          <w:tcPr>
            <w:tcW w:w="2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(6,843)</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(liabilities) acquired</w:t>
            </w:r>
          </w:p>
        </w:tc>
        <w:tc>
          <w:tcPr>
            <w:tcW w:w="2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(5,718)</w:t>
            </w:r>
          </w:p>
        </w:tc>
      </w:tr>
      <w:tr>
        <w:trPr>
          <w:trHeight w:val="230"/>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Total estimated consideration</w:t>
            </w:r>
          </w:p>
        </w:tc>
        <w:tc>
          <w:tcPr>
            <w:tcW w:w="2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13,260</w:t>
            </w:r>
          </w:p>
        </w:tc>
      </w:tr>
      <w:tr>
        <w:trPr>
          <w:trHeight w:val="223"/>
        </w:trPr>
        <w:tc>
          <w:tcPr>
            <w:tcW w:w="5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7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allocation of the estimated purchase price to assets acquired and liabilities assumed is preliminary and based on the historical book values recorded on C&amp;S’ balance sheet and information as of the date of this Current Report on Form 8-K. No fair value adjustments have been made to the acquired assets because the valuation of such assets and the purchase price allocation is pending completion. As such, other adjustments, including expense associated with the allocation of the purchase price to the acquired assets (i.e., amortization expense), have not been made. The preliminary purchase price allocation is subject to change as additional information becomes available and as additional analyses are performed. The final purchase price allocation is expected to be completed no later than one year from the Closing Date and will be reflected in subsequent periodic reports filed with the SEC. The final purchase price allocation may differ materially from the amounts reflected herein.</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excess of total consideration over the net identifiable liabilities assumed has been allocated to goodwill. The goodwill is attributable to the assembled workforce, expected synergies, and the going-concern value of C&amp;S’s business. All goodwill is expected to be deductible for income tax purposes over 15 years as an asset acquisition under Section 197 of the Internal Revenue Code.</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Deferred Revenue</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 xml:space="preserve">C&amp;S’s deferred revenue as of the Closing Date ($6,843 in the aggregate) is recognized at its carrying value on the unaudited pro forma condensed combined balance sheet under ASU 2021-08, </w:t>
      </w:r>
      <w:r>
        <w:rPr>
          <w:rFonts w:ascii="Times New Roman" w:cs="Times New Roman" w:eastAsia="Times New Roman" w:hAnsi="Times New Roman"/>
          <w:sz w:val="18"/>
          <w:szCs w:val="18"/>
          <w:i w:val="1"/>
          <w:iCs w:val="1"/>
          <w:color w:val="auto"/>
        </w:rPr>
        <w:t>Accounting for Contract Assets and Contract Liabilities from Contracts with Customers</w:t>
      </w:r>
      <w:r>
        <w:rPr>
          <w:rFonts w:ascii="Times New Roman" w:cs="Times New Roman" w:eastAsia="Times New Roman" w:hAnsi="Times New Roman"/>
          <w:sz w:val="18"/>
          <w:szCs w:val="18"/>
          <w:color w:val="auto"/>
        </w:rPr>
        <w:t>, which requires an acquirer to recognize and measure contract liabilities acquired in a business combination in accordance with ASC 606, rather than at fair value. Accordingly, no fair value adjustment to C&amp;S’s deferred revenue has been reflected in this unaudited pro forma condensed combined financial information. No income statement adjustment is required for the periods presented, as the deferred revenue will be recognized as C&amp;S performs its remaining obligations under the applicable customer contracts.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Transaction Costs</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Transaction costs of $34 representing attorney’s fees directly attributable to the Acquisition incurred after March 31, 2026 have been reflected as a pro forma adjustment, increasing general and administrative expense, with a corresponding decrease to retained earnings in the unaudited pro forma condensed combined balance sheet. Per Regulation S-X Article 11, nonrecurring transaction costs are included in the annual period unaudited pro forma condensed combined statement of operations for the year ended December 31, 2025 only and excluded from the interim period for the three months ended March 31, 2026. These costs are not expected to have a continuing impact on the combined company.</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Transaction costs of approximately $1 and $10 were incurred by Parabolic in the year ended December 31, 2025 and three months ended March 31, 2026, respectively, and approximately $84 and $151 was incurred by C&amp;S in the year ended December 31, 2025 and three months ended March 31, 2026, respectively. These amounts are included in the respective historical financial statements and are not reflected as pro forma adjustments. Additional transaction costs of $356 were incurred by C&amp;S after March 31, 2026, which are not reflected as pro forma adjustments.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No income tax adjustment has been reflected in the unaudited pro forma condensed combined balance sheet or statement of operations for any period presented. In an asset acquisition accounted for as a business combination under ASC 805, deferred tax liabilities may arise from the difference between the fair values of acquired assets and their respective tax bases. However, the deferred tax consequences of this Acquisition are not determinable pending completion of the preliminary purchase price allocation and the related fair value assessments. Additionally, the Company maintains a full valuation allowance against its net deferred tax assets, and any incremental deferred tax liability arising from this Acquisition is expected to be offset by a corresponding reduction in the valuation allowance with no net income tax effect. Accordingly, no income tax adjustment has been reflected in this unaudited pro forma condensed combined financial information.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Note 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Pro Forma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computation of pro forma basic and diluted loss per share for each period presented: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20" w:type="dxa"/>
            <w:vAlign w:val="bottom"/>
          </w:tcPr>
          <w:p>
            <w:pPr>
              <w:spacing w:after="0"/>
              <w:rPr>
                <w:sz w:val="18"/>
                <w:szCs w:val="18"/>
                <w:color w:val="auto"/>
              </w:rPr>
            </w:pPr>
          </w:p>
        </w:tc>
        <w:tc>
          <w:tcPr>
            <w:tcW w:w="17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forma 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(27,234)</w:t>
            </w:r>
          </w:p>
        </w:tc>
      </w:tr>
      <w:tr>
        <w:trPr>
          <w:trHeight w:val="216"/>
        </w:trPr>
        <w:tc>
          <w:tcPr>
            <w:tcW w:w="6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Denominator: (in thousands)</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Historical weighted average shares outstanding - basic</w:t>
            </w:r>
          </w:p>
        </w:tc>
        <w:tc>
          <w:tcPr>
            <w:tcW w:w="10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w:t>
            </w:r>
          </w:p>
        </w:tc>
      </w:tr>
      <w:tr>
        <w:trPr>
          <w:trHeight w:val="230"/>
        </w:trPr>
        <w:tc>
          <w:tcPr>
            <w:tcW w:w="64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 forma shares issued in Acquisition (Note A)</w:t>
            </w:r>
          </w:p>
        </w:tc>
        <w:tc>
          <w:tcPr>
            <w:tcW w:w="100" w:type="dxa"/>
            <w:vAlign w:val="bottom"/>
          </w:tcPr>
          <w:p>
            <w:pPr>
              <w:spacing w:after="0"/>
              <w:rPr>
                <w:sz w:val="19"/>
                <w:szCs w:val="19"/>
                <w:color w:val="auto"/>
              </w:rPr>
            </w:pP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10"/>
        </w:trPr>
        <w:tc>
          <w:tcPr>
            <w:tcW w:w="64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weighted average shares outstanding - basic and diluted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6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basic and diluted loss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Shares issued reflect an assumed Closing VWAP of $29.7966 per share ($5,900 ÷ $29.7966 = 198,009 shares).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Per Article 11 of Regulation S-X, shares issued in an acquisition are assumed to have been outstanding from January 1, 2025, the beginning of the earliest period presented. Accordingly, 198,009 pro forma shares are included in the weighted-average share count for both periods at full weight.</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in a pro forma net loss position for all periods presented. Accordingly, all potentially dilutive securities (including warrants, options, convertible instruments, and unvested equity awards) are antidilutive and excluded from the diluted share count. Diluted loss per share equals basic loss per share for both periods.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104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820" w:type="dxa"/>
            <w:vAlign w:val="bottom"/>
          </w:tcPr>
          <w:p>
            <w:pPr>
              <w:spacing w:after="0"/>
              <w:rPr>
                <w:sz w:val="17"/>
                <w:szCs w:val="17"/>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20" w:type="dxa"/>
            <w:vAlign w:val="bottom"/>
            <w:gridSpan w:val="17"/>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82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0" w:type="dxa"/>
            <w:vAlign w:val="bottom"/>
            <w:gridSpan w:val="16"/>
          </w:tcPr>
          <w:p>
            <w:pPr>
              <w:jc w:val="center"/>
              <w:ind w:right="3400"/>
              <w:spacing w:after="0"/>
              <w:rPr>
                <w:sz w:val="20"/>
                <w:szCs w:val="20"/>
                <w:color w:val="auto"/>
              </w:rPr>
            </w:pPr>
            <w:r>
              <w:rPr>
                <w:rFonts w:ascii="Times New Roman" w:cs="Times New Roman" w:eastAsia="Times New Roman" w:hAnsi="Times New Roman"/>
                <w:sz w:val="18"/>
                <w:szCs w:val="18"/>
                <w:b w:val="1"/>
                <w:bCs w:val="1"/>
                <w:i w:val="1"/>
                <w:iCs w:val="1"/>
                <w:color w:val="auto"/>
              </w:rPr>
              <w:t>Banzai Financial Statements</w:t>
            </w:r>
          </w:p>
        </w:tc>
        <w:tc>
          <w:tcPr>
            <w:tcW w:w="820" w:type="dxa"/>
            <w:vAlign w:val="bottom"/>
          </w:tcPr>
          <w:p>
            <w:pPr>
              <w:spacing w:after="0"/>
              <w:rPr>
                <w:sz w:val="24"/>
                <w:szCs w:val="24"/>
                <w:color w:val="auto"/>
              </w:rPr>
            </w:pPr>
          </w:p>
        </w:tc>
      </w:tr>
      <w:tr>
        <w:trPr>
          <w:trHeight w:val="432"/>
        </w:trPr>
        <w:tc>
          <w:tcPr>
            <w:tcW w:w="104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Condensed Consolidated Financial Statements as of and for the three and six months ended June 30, 2026</w:t>
            </w:r>
          </w:p>
        </w:tc>
        <w:tc>
          <w:tcPr>
            <w:tcW w:w="820" w:type="dxa"/>
            <w:vAlign w:val="bottom"/>
          </w:tcPr>
          <w:p>
            <w:pPr>
              <w:spacing w:after="0"/>
              <w:rPr>
                <w:sz w:val="24"/>
                <w:szCs w:val="24"/>
                <w:color w:val="auto"/>
              </w:rPr>
            </w:pPr>
          </w:p>
        </w:tc>
      </w:tr>
      <w:tr>
        <w:trPr>
          <w:trHeight w:val="196"/>
        </w:trPr>
        <w:tc>
          <w:tcPr>
            <w:tcW w:w="70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June 30, 2026 (Unaudited) and December 31, 2025</w:t>
            </w:r>
          </w:p>
        </w:tc>
        <w:tc>
          <w:tcPr>
            <w:tcW w:w="3360" w:type="dxa"/>
            <w:vAlign w:val="bottom"/>
            <w:tcBorders>
              <w:bottom w:val="single" w:sz="8" w:color="CCEEFF"/>
            </w:tcBorders>
            <w:gridSpan w:val="8"/>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5"/>
        </w:trPr>
        <w:tc>
          <w:tcPr>
            <w:tcW w:w="10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Operations for the three and six months ended June 30, 2026 and 2025</w:t>
            </w:r>
          </w:p>
        </w:tc>
        <w:tc>
          <w:tcPr>
            <w:tcW w:w="82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14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Equity (Deficit) Stockholders’ Deficit for the three months ended June 30, 2026 and 2025</w:t>
            </w:r>
          </w:p>
        </w:tc>
        <w:tc>
          <w:tcPr>
            <w:tcW w:w="2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6"/>
        </w:trPr>
        <w:tc>
          <w:tcPr>
            <w:tcW w:w="10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Consolidated Statements of Equity (Deficit) Stockholders’ Deficit for the six months ended June 30, 2026 and 2025</w:t>
            </w:r>
          </w:p>
        </w:tc>
        <w:tc>
          <w:tcPr>
            <w:tcW w:w="82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six months ended June 30, 2026 and 2025</w:t>
            </w:r>
          </w:p>
        </w:tc>
        <w:tc>
          <w:tcPr>
            <w:tcW w:w="2320" w:type="dxa"/>
            <w:vAlign w:val="bottom"/>
            <w:tcBorders>
              <w:bottom w:val="single" w:sz="8" w:color="CCEEFF"/>
            </w:tcBorders>
            <w:gridSpan w:val="4"/>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w w:val="95"/>
              </w:rPr>
              <w:t>F-8</w:t>
            </w:r>
          </w:p>
        </w:tc>
      </w:tr>
      <w:tr>
        <w:trPr>
          <w:trHeight w:val="175"/>
        </w:trPr>
        <w:tc>
          <w:tcPr>
            <w:tcW w:w="480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5620" w:type="dxa"/>
            <w:vAlign w:val="bottom"/>
            <w:gridSpan w:val="14"/>
          </w:tcPr>
          <w:p>
            <w:pPr>
              <w:spacing w:after="0"/>
              <w:rPr>
                <w:sz w:val="15"/>
                <w:szCs w:val="15"/>
                <w:color w:val="auto"/>
              </w:rPr>
            </w:pPr>
          </w:p>
        </w:tc>
        <w:tc>
          <w:tcPr>
            <w:tcW w:w="82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F-10</w:t>
            </w:r>
          </w:p>
        </w:tc>
      </w:tr>
      <w:tr>
        <w:trPr>
          <w:trHeight w:val="453"/>
        </w:trPr>
        <w:tc>
          <w:tcPr>
            <w:tcW w:w="104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Audited Consolidated Financial Statements as of and for the years ended December 31, 2025 and 2024</w:t>
            </w:r>
          </w:p>
        </w:tc>
        <w:tc>
          <w:tcPr>
            <w:tcW w:w="820" w:type="dxa"/>
            <w:vAlign w:val="bottom"/>
          </w:tcPr>
          <w:p>
            <w:pPr>
              <w:spacing w:after="0"/>
              <w:rPr>
                <w:sz w:val="24"/>
                <w:szCs w:val="24"/>
                <w:color w:val="auto"/>
              </w:rPr>
            </w:pPr>
          </w:p>
        </w:tc>
      </w:tr>
      <w:tr>
        <w:trPr>
          <w:trHeight w:val="176"/>
        </w:trPr>
        <w:tc>
          <w:tcPr>
            <w:tcW w:w="10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6797)</w:t>
            </w:r>
          </w:p>
        </w:tc>
        <w:tc>
          <w:tcPr>
            <w:tcW w:w="82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F-50</w:t>
            </w:r>
          </w:p>
        </w:tc>
      </w:tr>
      <w:tr>
        <w:trPr>
          <w:trHeight w:val="20"/>
        </w:trPr>
        <w:tc>
          <w:tcPr>
            <w:tcW w:w="1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82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F-51</w:t>
            </w: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2025 and 2024</w:t>
            </w:r>
          </w:p>
        </w:tc>
        <w:tc>
          <w:tcPr>
            <w:tcW w:w="5760" w:type="dxa"/>
            <w:vAlign w:val="bottom"/>
            <w:tcBorders>
              <w:bottom w:val="single" w:sz="8" w:color="CCEEFF"/>
            </w:tcBorders>
            <w:gridSpan w:val="15"/>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F-52</w:t>
            </w:r>
          </w:p>
        </w:tc>
      </w:tr>
      <w:tr>
        <w:trPr>
          <w:trHeight w:val="175"/>
        </w:trPr>
        <w:tc>
          <w:tcPr>
            <w:tcW w:w="10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2025 and 2024</w:t>
            </w:r>
          </w:p>
        </w:tc>
        <w:tc>
          <w:tcPr>
            <w:tcW w:w="820" w:type="dxa"/>
            <w:vAlign w:val="bottom"/>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F-53</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(Deficit) for the Years ended December 31, 2025 and 2024</w:t>
            </w:r>
          </w:p>
        </w:tc>
        <w:tc>
          <w:tcPr>
            <w:tcW w:w="82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F-54</w:t>
            </w:r>
          </w:p>
        </w:tc>
      </w:tr>
      <w:tr>
        <w:trPr>
          <w:trHeight w:val="176"/>
        </w:trPr>
        <w:tc>
          <w:tcPr>
            <w:tcW w:w="782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Years ended December 31, 2025 and 2024</w:t>
            </w:r>
          </w:p>
        </w:tc>
        <w:tc>
          <w:tcPr>
            <w:tcW w:w="2600" w:type="dxa"/>
            <w:vAlign w:val="bottom"/>
            <w:tcBorders>
              <w:top w:val="single" w:sz="8" w:color="CCEEFF"/>
            </w:tcBorders>
            <w:gridSpan w:val="5"/>
          </w:tcPr>
          <w:p>
            <w:pPr>
              <w:spacing w:after="0"/>
              <w:rPr>
                <w:sz w:val="15"/>
                <w:szCs w:val="15"/>
                <w:color w:val="auto"/>
              </w:rPr>
            </w:pPr>
          </w:p>
        </w:tc>
        <w:tc>
          <w:tcPr>
            <w:tcW w:w="820" w:type="dxa"/>
            <w:vAlign w:val="bottom"/>
            <w:tcBorders>
              <w:top w:val="single" w:sz="8" w:color="CCEEFF"/>
            </w:tcBorders>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F-56</w:t>
            </w: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10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820" w:type="dxa"/>
            <w:vAlign w:val="bottom"/>
            <w:shd w:val="clear" w:color="auto" w:fill="CCEEFF"/>
          </w:tcPr>
          <w:p>
            <w:pPr>
              <w:jc w:val="center"/>
              <w:ind w:left="70"/>
              <w:spacing w:after="0" w:line="176" w:lineRule="exact"/>
              <w:rPr>
                <w:sz w:val="20"/>
                <w:szCs w:val="20"/>
                <w:color w:val="auto"/>
              </w:rPr>
            </w:pPr>
            <w:r>
              <w:rPr>
                <w:rFonts w:ascii="Times New Roman" w:cs="Times New Roman" w:eastAsia="Times New Roman" w:hAnsi="Times New Roman"/>
                <w:sz w:val="18"/>
                <w:szCs w:val="18"/>
                <w:color w:val="auto"/>
                <w:w w:val="99"/>
              </w:rPr>
              <w:t>F-58</w:t>
            </w:r>
          </w:p>
        </w:tc>
      </w:tr>
      <w:tr>
        <w:trPr>
          <w:trHeight w:val="432"/>
        </w:trPr>
        <w:tc>
          <w:tcPr>
            <w:tcW w:w="12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620" w:type="dxa"/>
            <w:vAlign w:val="bottom"/>
            <w:tcBorders>
              <w:top w:val="single" w:sz="8" w:color="CCEEFF"/>
            </w:tcBorders>
            <w:gridSpan w:val="17"/>
          </w:tcPr>
          <w:p>
            <w:pPr>
              <w:jc w:val="center"/>
              <w:ind w:right="2980"/>
              <w:spacing w:after="0"/>
              <w:rPr>
                <w:sz w:val="20"/>
                <w:szCs w:val="20"/>
                <w:color w:val="auto"/>
              </w:rPr>
            </w:pPr>
            <w:r>
              <w:rPr>
                <w:rFonts w:ascii="Times New Roman" w:cs="Times New Roman" w:eastAsia="Times New Roman" w:hAnsi="Times New Roman"/>
                <w:sz w:val="18"/>
                <w:szCs w:val="18"/>
                <w:b w:val="1"/>
                <w:bCs w:val="1"/>
                <w:i w:val="1"/>
                <w:iCs w:val="1"/>
                <w:color w:val="auto"/>
                <w:w w:val="99"/>
              </w:rPr>
              <w:t>ConnectAndSell Financial Statements</w:t>
            </w:r>
          </w:p>
        </w:tc>
        <w:tc>
          <w:tcPr>
            <w:tcW w:w="820" w:type="dxa"/>
            <w:vAlign w:val="bottom"/>
            <w:tcBorders>
              <w:top w:val="single" w:sz="8" w:color="CCEEFF"/>
            </w:tcBorders>
          </w:tcPr>
          <w:p>
            <w:pPr>
              <w:spacing w:after="0"/>
              <w:rPr>
                <w:sz w:val="24"/>
                <w:szCs w:val="24"/>
                <w:color w:val="auto"/>
              </w:rPr>
            </w:pPr>
          </w:p>
        </w:tc>
      </w:tr>
      <w:tr>
        <w:trPr>
          <w:trHeight w:val="432"/>
        </w:trPr>
        <w:tc>
          <w:tcPr>
            <w:tcW w:w="104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Condensed Financial Statements as of March 31, 2026 and for the three months ended March 31, 2026 and 2025</w:t>
            </w:r>
          </w:p>
        </w:tc>
        <w:tc>
          <w:tcPr>
            <w:tcW w:w="820" w:type="dxa"/>
            <w:vAlign w:val="bottom"/>
          </w:tcPr>
          <w:p>
            <w:pPr>
              <w:spacing w:after="0"/>
              <w:rPr>
                <w:sz w:val="24"/>
                <w:szCs w:val="24"/>
                <w:color w:val="auto"/>
              </w:rPr>
            </w:pPr>
          </w:p>
        </w:tc>
      </w:tr>
      <w:tr>
        <w:trPr>
          <w:trHeight w:val="176"/>
        </w:trPr>
        <w:tc>
          <w:tcPr>
            <w:tcW w:w="10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March 31, 2026 (Unaudited) and December 31, 2025</w:t>
            </w:r>
          </w:p>
        </w:tc>
        <w:tc>
          <w:tcPr>
            <w:tcW w:w="82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F-103</w:t>
            </w:r>
          </w:p>
        </w:tc>
      </w:tr>
      <w:tr>
        <w:trPr>
          <w:trHeight w:val="20"/>
        </w:trPr>
        <w:tc>
          <w:tcPr>
            <w:tcW w:w="1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Operations for the three months ended March 31, 2026 and 2025</w:t>
            </w:r>
          </w:p>
        </w:tc>
        <w:tc>
          <w:tcPr>
            <w:tcW w:w="82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F-104</w:t>
            </w: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810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Unaudited Condensed Statements of Stockholders’ Deficit for the three months ended March 31, 2026 and 2025</w:t>
            </w:r>
          </w:p>
        </w:tc>
        <w:tc>
          <w:tcPr>
            <w:tcW w:w="2320" w:type="dxa"/>
            <w:vAlign w:val="bottom"/>
            <w:tcBorders>
              <w:bottom w:val="single" w:sz="8" w:color="CCEEFF"/>
            </w:tcBorders>
            <w:gridSpan w:val="4"/>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F-105</w:t>
            </w:r>
          </w:p>
        </w:tc>
      </w:tr>
      <w:tr>
        <w:trPr>
          <w:trHeight w:val="175"/>
        </w:trPr>
        <w:tc>
          <w:tcPr>
            <w:tcW w:w="10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Cash Flows for the three months ended March 31, 2026 and 2025</w:t>
            </w:r>
          </w:p>
        </w:tc>
        <w:tc>
          <w:tcPr>
            <w:tcW w:w="82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F-106</w:t>
            </w:r>
          </w:p>
        </w:tc>
      </w:tr>
      <w:tr>
        <w:trPr>
          <w:trHeight w:val="21"/>
        </w:trPr>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75"/>
        </w:trPr>
        <w:tc>
          <w:tcPr>
            <w:tcW w:w="10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82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F-107</w:t>
            </w:r>
          </w:p>
        </w:tc>
      </w:tr>
      <w:tr>
        <w:trPr>
          <w:trHeight w:val="20"/>
        </w:trPr>
        <w:tc>
          <w:tcPr>
            <w:tcW w:w="1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432"/>
        </w:trPr>
        <w:tc>
          <w:tcPr>
            <w:tcW w:w="104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i w:val="1"/>
                <w:iCs w:val="1"/>
                <w:color w:val="auto"/>
              </w:rPr>
              <w:t>Audited Financial Statements as of and for the years ended December 31, 2025 and 2024</w:t>
            </w:r>
          </w:p>
        </w:tc>
        <w:tc>
          <w:tcPr>
            <w:tcW w:w="820" w:type="dxa"/>
            <w:vAlign w:val="bottom"/>
          </w:tcPr>
          <w:p>
            <w:pPr>
              <w:spacing w:after="0"/>
              <w:rPr>
                <w:sz w:val="24"/>
                <w:szCs w:val="24"/>
                <w:color w:val="auto"/>
              </w:rPr>
            </w:pPr>
          </w:p>
        </w:tc>
      </w:tr>
      <w:tr>
        <w:trPr>
          <w:trHeight w:val="175"/>
        </w:trPr>
        <w:tc>
          <w:tcPr>
            <w:tcW w:w="104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Independent Auditor’s Report </w:t>
            </w:r>
            <w:r>
              <w:rPr>
                <w:rFonts w:ascii="Times New Roman" w:cs="Times New Roman" w:eastAsia="Times New Roman" w:hAnsi="Times New Roman"/>
                <w:sz w:val="18"/>
                <w:szCs w:val="18"/>
                <w:color w:val="000000"/>
              </w:rPr>
              <w:t>(PCAOB ID: 367)</w:t>
            </w:r>
          </w:p>
        </w:tc>
        <w:tc>
          <w:tcPr>
            <w:tcW w:w="820" w:type="dxa"/>
            <w:vAlign w:val="bottom"/>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F-131</w:t>
            </w:r>
          </w:p>
        </w:tc>
      </w:tr>
      <w:tr>
        <w:trPr>
          <w:trHeight w:val="20"/>
        </w:trPr>
        <w:tc>
          <w:tcPr>
            <w:tcW w:w="128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2025 and 2024</w:t>
            </w:r>
          </w:p>
        </w:tc>
        <w:tc>
          <w:tcPr>
            <w:tcW w:w="82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F-133</w:t>
            </w: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Operations for the Years ended December 31, 2025 and 2024</w:t>
            </w:r>
          </w:p>
        </w:tc>
        <w:tc>
          <w:tcPr>
            <w:tcW w:w="4980" w:type="dxa"/>
            <w:vAlign w:val="bottom"/>
            <w:tcBorders>
              <w:bottom w:val="single" w:sz="8" w:color="CCEEFF"/>
            </w:tcBorders>
            <w:gridSpan w:val="13"/>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F-134</w:t>
            </w:r>
          </w:p>
        </w:tc>
      </w:tr>
      <w:tr>
        <w:trPr>
          <w:trHeight w:val="175"/>
        </w:trPr>
        <w:tc>
          <w:tcPr>
            <w:tcW w:w="10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Deficit for the Years ended December 31, 2025 and 2024</w:t>
            </w:r>
          </w:p>
        </w:tc>
        <w:tc>
          <w:tcPr>
            <w:tcW w:w="82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F-135</w:t>
            </w:r>
          </w:p>
        </w:tc>
      </w:tr>
      <w:tr>
        <w:trPr>
          <w:trHeight w:val="20"/>
        </w:trPr>
        <w:tc>
          <w:tcPr>
            <w:tcW w:w="1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96"/>
        </w:trPr>
        <w:tc>
          <w:tcPr>
            <w:tcW w:w="550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Statements of Cash Flows for the Years ended December 31, 2025 and 2024</w:t>
            </w:r>
          </w:p>
        </w:tc>
        <w:tc>
          <w:tcPr>
            <w:tcW w:w="4920" w:type="dxa"/>
            <w:vAlign w:val="bottom"/>
            <w:tcBorders>
              <w:bottom w:val="single" w:sz="8" w:color="CCEEFF"/>
            </w:tcBorders>
            <w:gridSpan w:val="12"/>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F-136</w:t>
            </w:r>
          </w:p>
        </w:tc>
      </w:tr>
      <w:tr>
        <w:trPr>
          <w:trHeight w:val="176"/>
        </w:trPr>
        <w:tc>
          <w:tcPr>
            <w:tcW w:w="1042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Notes to the Financial Statements</w:t>
            </w:r>
          </w:p>
        </w:tc>
        <w:tc>
          <w:tcPr>
            <w:tcW w:w="820" w:type="dxa"/>
            <w:vAlign w:val="bottom"/>
          </w:tcPr>
          <w:p>
            <w:pPr>
              <w:jc w:val="center"/>
              <w:ind w:left="90"/>
              <w:spacing w:after="0" w:line="176" w:lineRule="exact"/>
              <w:rPr>
                <w:sz w:val="20"/>
                <w:szCs w:val="20"/>
                <w:color w:val="auto"/>
              </w:rPr>
            </w:pPr>
            <w:r>
              <w:rPr>
                <w:rFonts w:ascii="Times New Roman" w:cs="Times New Roman" w:eastAsia="Times New Roman" w:hAnsi="Times New Roman"/>
                <w:sz w:val="18"/>
                <w:szCs w:val="18"/>
                <w:color w:val="auto"/>
              </w:rPr>
              <w:t>F-137</w:t>
            </w:r>
          </w:p>
        </w:tc>
      </w:tr>
      <w:tr>
        <w:trPr>
          <w:trHeight w:val="453"/>
        </w:trPr>
        <w:tc>
          <w:tcPr>
            <w:tcW w:w="1280" w:type="dxa"/>
            <w:vAlign w:val="bottom"/>
            <w:tcBorders>
              <w:top w:val="single" w:sz="8" w:color="0000EE"/>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12"/>
          </w:tcPr>
          <w:p>
            <w:pPr>
              <w:jc w:val="center"/>
              <w:ind w:right="4680"/>
              <w:spacing w:after="0"/>
              <w:rPr>
                <w:sz w:val="20"/>
                <w:szCs w:val="20"/>
                <w:color w:val="auto"/>
              </w:rPr>
            </w:pPr>
            <w:r>
              <w:rPr>
                <w:rFonts w:ascii="Times New Roman" w:cs="Times New Roman" w:eastAsia="Times New Roman" w:hAnsi="Times New Roman"/>
                <w:sz w:val="18"/>
                <w:szCs w:val="18"/>
                <w:color w:val="auto"/>
                <w:w w:val="95"/>
              </w:rPr>
              <w:t>F-1</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16" w:right="33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1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48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and per share data)</w:t>
            </w: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9"/>
                <w:szCs w:val="19"/>
                <w:color w:val="auto"/>
              </w:rPr>
            </w:pPr>
          </w:p>
        </w:tc>
      </w:tr>
      <w:tr>
        <w:trPr>
          <w:trHeight w:val="210"/>
        </w:trPr>
        <w:tc>
          <w:tcPr>
            <w:tcW w:w="39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3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646</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7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$6 and $41, respectively</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30"/>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445</w:t>
            </w:r>
          </w:p>
        </w:tc>
      </w:tr>
      <w:tr>
        <w:trPr>
          <w:trHeight w:val="209"/>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30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8,027</w:t>
            </w: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21,992</w:t>
            </w: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3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r>
      <w:tr>
        <w:trPr>
          <w:trHeight w:val="23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3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390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rPr>
              <w:t>LIABILITIES AND STOCKHOLDERS’ EQUITY</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4,354</w:t>
            </w: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 related party</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4,923</w:t>
            </w: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notes, carried at fair value</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(Yorkville)</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Notes payable, carried at fair value</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2,591</w:t>
            </w: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Financial instruments – related party</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3,642</w:t>
            </w:r>
          </w:p>
        </w:tc>
      </w:tr>
      <w:tr>
        <w:trPr>
          <w:trHeight w:val="229"/>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0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210"/>
        </w:trPr>
        <w:tc>
          <w:tcPr>
            <w:tcW w:w="3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22,370</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3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3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3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w:t>
            </w:r>
          </w:p>
        </w:tc>
      </w:tr>
      <w:tr>
        <w:trPr>
          <w:trHeight w:val="230"/>
        </w:trPr>
        <w:tc>
          <w:tcPr>
            <w:tcW w:w="39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10"/>
        </w:trPr>
        <w:tc>
          <w:tcPr>
            <w:tcW w:w="390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30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$0.0001 par value, 275,000,000 (250,000,000 Class A and 25,000,000 Class</w:t>
      </w:r>
    </w:p>
    <w:p>
      <w:pPr>
        <w:spacing w:after="0" w:line="9" w:lineRule="exact"/>
        <w:rPr>
          <w:sz w:val="20"/>
          <w:szCs w:val="20"/>
          <w:color w:val="auto"/>
        </w:rPr>
      </w:pPr>
    </w:p>
    <w:p>
      <w:pPr>
        <w:ind w:right="4500" w:firstLine="8"/>
        <w:spacing w:after="0" w:line="265" w:lineRule="auto"/>
        <w:tabs>
          <w:tab w:leader="none" w:pos="225"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authorized and 269,058 (265,672 Class A and 3,386 Class B) and 52,732 (51,576 Class A and 1,156 Class B) shares issued and outstanding at June 30, 2026 and December 31,</w:t>
      </w:r>
    </w:p>
    <w:tbl>
      <w:tblPr>
        <w:tblLayout w:type="fixed"/>
        <w:tblInd w:w="0" w:type="dxa"/>
        <w:tblCellMar>
          <w:top w:w="0" w:type="dxa"/>
          <w:left w:w="0" w:type="dxa"/>
          <w:bottom w:w="0" w:type="dxa"/>
          <w:right w:w="0" w:type="dxa"/>
        </w:tblCellMar>
      </w:tblP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2025, respectively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68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75,000,000 shares authorized, 1 and 1 shares issued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2026 and December 31, 2025, respectively</w:t>
            </w: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126,445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108,912</w:t>
            </w:r>
          </w:p>
        </w:tc>
        <w:tc>
          <w:tcPr>
            <w:tcW w:w="8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2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(114,154)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(100,772)</w:t>
            </w:r>
          </w:p>
        </w:tc>
      </w:tr>
      <w:tr>
        <w:trPr>
          <w:trHeight w:val="210"/>
        </w:trPr>
        <w:tc>
          <w:tcPr>
            <w:tcW w:w="68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31,301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18"/>
                <w:szCs w:val="18"/>
                <w:color w:val="auto"/>
              </w:rPr>
            </w:pPr>
          </w:p>
        </w:tc>
        <w:tc>
          <w:tcPr>
            <w:tcW w:w="3000" w:type="dxa"/>
            <w:vAlign w:val="bottom"/>
            <w:gridSpan w:val="6"/>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2,273</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3,127</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4,969</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6,506</w:t>
            </w: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450</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554</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1,160</w:t>
            </w:r>
          </w:p>
        </w:tc>
      </w:tr>
      <w:tr>
        <w:trPr>
          <w:trHeight w:val="210"/>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3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3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Borders>
              <w:bottom w:val="single" w:sz="8" w:color="CCEEFF"/>
            </w:tcBorders>
          </w:tcPr>
          <w:p>
            <w:pPr>
              <w:spacing w:after="0"/>
              <w:rPr>
                <w:sz w:val="18"/>
                <w:szCs w:val="18"/>
                <w:color w:val="auto"/>
              </w:rPr>
            </w:pPr>
          </w:p>
        </w:tc>
      </w:tr>
      <w:tr>
        <w:trPr>
          <w:trHeight w:val="209"/>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5,906</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7,113</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13,556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14,546</w:t>
            </w:r>
          </w:p>
        </w:tc>
      </w:tr>
      <w:tr>
        <w:trPr>
          <w:trHeight w:val="229"/>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303</w:t>
            </w:r>
          </w:p>
        </w:tc>
        <w:tc>
          <w:tcPr>
            <w:tcW w:w="360" w:type="dxa"/>
            <w:vAlign w:val="bottom"/>
          </w:tcPr>
          <w:p>
            <w:pPr>
              <w:spacing w:after="0"/>
              <w:rPr>
                <w:sz w:val="19"/>
                <w:szCs w:val="19"/>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300</w:t>
            </w:r>
          </w:p>
        </w:tc>
        <w:tc>
          <w:tcPr>
            <w:tcW w:w="32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547</w:t>
            </w:r>
          </w:p>
        </w:tc>
      </w:tr>
      <w:tr>
        <w:trPr>
          <w:trHeight w:val="209"/>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7,413</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0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(10,166</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202</w:t>
            </w:r>
          </w:p>
        </w:tc>
        <w:tc>
          <w:tcPr>
            <w:tcW w:w="36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537</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(715)</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(146)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159</w:t>
            </w:r>
          </w:p>
        </w:tc>
        <w:tc>
          <w:tcPr>
            <w:tcW w:w="36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169</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443</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837</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837</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52</w:t>
            </w:r>
          </w:p>
        </w:tc>
        <w:tc>
          <w:tcPr>
            <w:tcW w:w="36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1,770</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571</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126</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266</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financial instruments – related</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Pr>
          <w:p>
            <w:pPr>
              <w:spacing w:after="0"/>
              <w:rPr>
                <w:sz w:val="20"/>
                <w:szCs w:val="20"/>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20"/>
                <w:szCs w:val="20"/>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(179)</w:t>
            </w: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79</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199</w:t>
            </w:r>
          </w:p>
        </w:tc>
        <w:tc>
          <w:tcPr>
            <w:tcW w:w="360" w:type="dxa"/>
            <w:vAlign w:val="bottom"/>
          </w:tcPr>
          <w:p>
            <w:pPr>
              <w:spacing w:after="0"/>
              <w:rPr>
                <w:sz w:val="18"/>
                <w:szCs w:val="18"/>
                <w:color w:val="auto"/>
              </w:rPr>
            </w:pPr>
          </w:p>
        </w:tc>
        <w:tc>
          <w:tcPr>
            <w:tcW w:w="14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362</w:t>
            </w:r>
          </w:p>
        </w:tc>
        <w:tc>
          <w:tcPr>
            <w:tcW w:w="320" w:type="dxa"/>
            <w:vAlign w:val="bottom"/>
          </w:tcPr>
          <w:p>
            <w:pPr>
              <w:spacing w:after="0"/>
              <w:rPr>
                <w:sz w:val="18"/>
                <w:szCs w:val="18"/>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747</w:t>
            </w:r>
          </w:p>
        </w:tc>
      </w:tr>
      <w:tr>
        <w:trPr>
          <w:trHeight w:val="229"/>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224</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1,336</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1,211</w:t>
            </w:r>
          </w:p>
        </w:tc>
      </w:tr>
      <w:tr>
        <w:trPr>
          <w:trHeight w:val="210"/>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3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w:t>
            </w:r>
          </w:p>
        </w:tc>
        <w:tc>
          <w:tcPr>
            <w:tcW w:w="3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tcPr>
          <w:p>
            <w:pPr>
              <w:spacing w:after="0"/>
              <w:rPr>
                <w:sz w:val="18"/>
                <w:szCs w:val="18"/>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4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340" w:type="dxa"/>
            <w:vAlign w:val="bottom"/>
            <w:tcBorders>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(13,382</w:t>
            </w:r>
          </w:p>
        </w:tc>
        <w:tc>
          <w:tcPr>
            <w:tcW w:w="20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120" w:type="dxa"/>
            <w:vAlign w:val="bottom"/>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(4,965)</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(7,928)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(13,382)</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(30.46)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(792.80)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(113.41)</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(1,446.50)</w:t>
            </w:r>
          </w:p>
        </w:tc>
      </w:tr>
      <w:tr>
        <w:trPr>
          <w:trHeight w:val="197"/>
        </w:trPr>
        <w:tc>
          <w:tcPr>
            <w:tcW w:w="4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(in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163</w:t>
            </w:r>
          </w:p>
        </w:tc>
        <w:tc>
          <w:tcPr>
            <w:tcW w:w="36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9" w:name="page150"/>
    <w:bookmarkEnd w:id="149"/>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10"/>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80" w:type="dxa"/>
            <w:vAlign w:val="bottom"/>
            <w:gridSpan w:val="18"/>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Equity (Deficit)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8"/>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40" w:type="dxa"/>
            <w:vAlign w:val="bottom"/>
            <w:gridSpan w:val="1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June 30, 2026 and 2025</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10"/>
          </w:tcPr>
          <w:p>
            <w:pPr>
              <w:jc w:val="center"/>
              <w:ind w:right="50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data)</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Series FE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2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3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Shares  Amount</w:t>
            </w:r>
          </w:p>
        </w:tc>
        <w:tc>
          <w:tcPr>
            <w:tcW w:w="140" w:type="dxa"/>
            <w:vAlign w:val="bottom"/>
          </w:tcPr>
          <w:p>
            <w:pPr>
              <w:spacing w:after="0"/>
              <w:rPr>
                <w:sz w:val="19"/>
                <w:szCs w:val="19"/>
                <w:color w:val="auto"/>
              </w:rPr>
            </w:pPr>
          </w:p>
        </w:tc>
        <w:tc>
          <w:tcPr>
            <w:tcW w:w="1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140" w:type="dxa"/>
            <w:vAlign w:val="bottom"/>
          </w:tcPr>
          <w:p>
            <w:pPr>
              <w:spacing w:after="0"/>
              <w:rPr>
                <w:sz w:val="19"/>
                <w:szCs w:val="19"/>
                <w:color w:val="auto"/>
              </w:rPr>
            </w:pPr>
          </w:p>
        </w:tc>
        <w:tc>
          <w:tcPr>
            <w:tcW w:w="8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2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(loss) income</w:t>
            </w:r>
          </w:p>
        </w:tc>
        <w:tc>
          <w:tcPr>
            <w:tcW w:w="180" w:type="dxa"/>
            <w:vAlign w:val="bottom"/>
          </w:tcPr>
          <w:p>
            <w:pPr>
              <w:spacing w:after="0"/>
              <w:rPr>
                <w:sz w:val="19"/>
                <w:szCs w:val="19"/>
                <w:color w:val="auto"/>
              </w:rPr>
            </w:pP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10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209"/>
        </w:trPr>
        <w:tc>
          <w:tcPr>
            <w:tcW w:w="1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5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86,736</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117,346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(109,189)</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8,097</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Adjustment for reverse</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split</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20"/>
                <w:szCs w:val="20"/>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Yorkville</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the SEPA</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119,640</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4,808</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4,808</w:t>
            </w:r>
          </w:p>
        </w:tc>
        <w:tc>
          <w:tcPr>
            <w:tcW w:w="60" w:type="dxa"/>
            <w:vAlign w:val="bottom"/>
            <w:shd w:val="clear" w:color="auto" w:fill="CCEEFF"/>
          </w:tcPr>
          <w:p>
            <w:pPr>
              <w:spacing w:after="0"/>
              <w:rPr>
                <w:sz w:val="20"/>
                <w:szCs w:val="20"/>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to CP BF</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conversions of debt</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11,183</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567</w:t>
            </w:r>
          </w:p>
        </w:tc>
        <w:tc>
          <w:tcPr>
            <w:tcW w:w="60" w:type="dxa"/>
            <w:vAlign w:val="bottom"/>
          </w:tcPr>
          <w:p>
            <w:pPr>
              <w:spacing w:after="0"/>
              <w:rPr>
                <w:sz w:val="20"/>
                <w:szCs w:val="20"/>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1800</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Diagonal for conversions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debt</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3,645</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60" w:type="dxa"/>
            <w:vAlign w:val="bottom"/>
            <w:shd w:val="clear" w:color="auto" w:fill="CCEEFF"/>
          </w:tcPr>
          <w:p>
            <w:pPr>
              <w:spacing w:after="0"/>
              <w:rPr>
                <w:sz w:val="20"/>
                <w:szCs w:val="20"/>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to 3i for</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conversions of debt</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14,455</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1,228</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1,228</w:t>
            </w:r>
          </w:p>
        </w:tc>
        <w:tc>
          <w:tcPr>
            <w:tcW w:w="60" w:type="dxa"/>
            <w:vAlign w:val="bottom"/>
          </w:tcPr>
          <w:p>
            <w:pPr>
              <w:spacing w:after="0"/>
              <w:rPr>
                <w:sz w:val="20"/>
                <w:szCs w:val="20"/>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Agile for</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of debt</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27,414</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1,231</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1,231</w:t>
            </w:r>
          </w:p>
        </w:tc>
        <w:tc>
          <w:tcPr>
            <w:tcW w:w="60" w:type="dxa"/>
            <w:vAlign w:val="bottom"/>
            <w:shd w:val="clear" w:color="auto" w:fill="CCEEFF"/>
          </w:tcPr>
          <w:p>
            <w:pPr>
              <w:spacing w:after="0"/>
              <w:rPr>
                <w:sz w:val="20"/>
                <w:szCs w:val="20"/>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1,103</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1,103</w:t>
            </w:r>
          </w:p>
        </w:tc>
        <w:tc>
          <w:tcPr>
            <w:tcW w:w="60" w:type="dxa"/>
            <w:vAlign w:val="bottom"/>
          </w:tcPr>
          <w:p>
            <w:pPr>
              <w:spacing w:after="0"/>
              <w:rPr>
                <w:sz w:val="20"/>
                <w:szCs w:val="20"/>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3,748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CEO</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 and bonus (see</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 15)</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2,230</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tcPr>
          <w:p>
            <w:pPr>
              <w:spacing w:after="0"/>
              <w:rPr>
                <w:sz w:val="20"/>
                <w:szCs w:val="20"/>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Modification of CEO</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 from equity to</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(see Note 15)</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Currency translation</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(4,965)</w:t>
            </w:r>
          </w:p>
        </w:tc>
        <w:tc>
          <w:tcPr>
            <w:tcW w:w="18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(4,965)</w:t>
            </w:r>
          </w:p>
        </w:tc>
      </w:tr>
      <w:tr>
        <w:trPr>
          <w:trHeight w:val="223"/>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June 30, 2026</w:t>
            </w:r>
          </w:p>
        </w:tc>
        <w:tc>
          <w:tcPr>
            <w:tcW w:w="50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269,058</w:t>
            </w:r>
          </w:p>
        </w:tc>
        <w:tc>
          <w:tcPr>
            <w:tcW w:w="1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126,445</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(114,154</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BANZAI INTERNATIONAL, INC.</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 (Deficit) (continued)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0" w:type="dxa"/>
            <w:vAlign w:val="bottom"/>
            <w:gridSpan w:val="15"/>
          </w:tcPr>
          <w:p>
            <w:pPr>
              <w:ind w:left="28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 June 30, 2026 and 2025</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10"/>
          </w:tcPr>
          <w:p>
            <w:pPr>
              <w:ind w:left="6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Series FE</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52"/>
        </w:trPr>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62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52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1"/>
                <w:szCs w:val="2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23"/>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9"/>
                <w:szCs w:val="19"/>
                <w:color w:val="auto"/>
              </w:rPr>
            </w:pPr>
          </w:p>
        </w:tc>
        <w:tc>
          <w:tcPr>
            <w:tcW w:w="7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9"/>
                <w:szCs w:val="19"/>
                <w:color w:val="auto"/>
              </w:rPr>
            </w:pPr>
          </w:p>
        </w:tc>
        <w:tc>
          <w:tcPr>
            <w:tcW w:w="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(loss) income</w:t>
            </w:r>
          </w:p>
        </w:tc>
        <w:tc>
          <w:tcPr>
            <w:tcW w:w="180" w:type="dxa"/>
            <w:vAlign w:val="bottom"/>
          </w:tcPr>
          <w:p>
            <w:pPr>
              <w:spacing w:after="0"/>
              <w:rPr>
                <w:sz w:val="19"/>
                <w:szCs w:val="19"/>
                <w:color w:val="auto"/>
              </w:rPr>
            </w:pP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6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r>
      <w:tr>
        <w:trPr>
          <w:trHeight w:val="209"/>
        </w:trPr>
        <w:tc>
          <w:tcPr>
            <w:tcW w:w="19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50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7,344</w:t>
            </w: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84,868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(81,924)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2,944</w:t>
            </w:r>
          </w:p>
        </w:tc>
        <w:tc>
          <w:tcPr>
            <w:tcW w:w="80" w:type="dxa"/>
            <w:vAlign w:val="bottom"/>
            <w:tcBorders>
              <w:top w:val="single" w:sz="8" w:color="CCEEFF"/>
            </w:tcBorders>
            <w:shd w:val="clear" w:color="auto" w:fill="CCEEFF"/>
          </w:tcPr>
          <w:p>
            <w:pPr>
              <w:spacing w:after="0"/>
              <w:rPr>
                <w:sz w:val="18"/>
                <w:szCs w:val="18"/>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to Yorkville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SEPA</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3,786</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6,521</w:t>
            </w:r>
          </w:p>
        </w:tc>
        <w:tc>
          <w:tcPr>
            <w:tcW w:w="8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6,521</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Hudson</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321</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756</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756</w:t>
            </w:r>
          </w:p>
        </w:tc>
      </w:tr>
      <w:tr>
        <w:trPr>
          <w:trHeight w:val="230"/>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(7,928)</w:t>
            </w:r>
          </w:p>
        </w:tc>
        <w:tc>
          <w:tcPr>
            <w:tcW w:w="16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(7,928)</w:t>
            </w:r>
          </w:p>
        </w:tc>
      </w:tr>
      <w:tr>
        <w:trPr>
          <w:trHeight w:val="223"/>
        </w:trPr>
        <w:tc>
          <w:tcPr>
            <w:tcW w:w="1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5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(89,852</w:t>
            </w:r>
          </w:p>
        </w:tc>
        <w:tc>
          <w:tcPr>
            <w:tcW w:w="1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gridSpan w:val="10"/>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80" w:type="dxa"/>
            <w:vAlign w:val="bottom"/>
            <w:gridSpan w:val="18"/>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w w:val="99"/>
              </w:rPr>
              <w:t>Unaudited Condensed Consolidated Statements of Equity (Deficit)</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13"/>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 2026 and 2025</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10"/>
          </w:tcPr>
          <w:p>
            <w:pPr>
              <w:jc w:val="center"/>
              <w:ind w:right="50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data)</w:t>
            </w: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Series FE</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2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2"/>
        </w:trPr>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gridSpan w:val="5"/>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56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6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10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Paid-in-</w:t>
            </w:r>
          </w:p>
        </w:tc>
        <w:tc>
          <w:tcPr>
            <w:tcW w:w="1340" w:type="dxa"/>
            <w:vAlign w:val="bottom"/>
            <w:gridSpan w:val="3"/>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23"/>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Shares  Amount</w:t>
            </w:r>
          </w:p>
        </w:tc>
        <w:tc>
          <w:tcPr>
            <w:tcW w:w="140" w:type="dxa"/>
            <w:vAlign w:val="bottom"/>
          </w:tcPr>
          <w:p>
            <w:pPr>
              <w:spacing w:after="0"/>
              <w:rPr>
                <w:sz w:val="19"/>
                <w:szCs w:val="19"/>
                <w:color w:val="auto"/>
              </w:rPr>
            </w:pPr>
          </w:p>
        </w:tc>
        <w:tc>
          <w:tcPr>
            <w:tcW w:w="14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140" w:type="dxa"/>
            <w:vAlign w:val="bottom"/>
          </w:tcPr>
          <w:p>
            <w:pPr>
              <w:spacing w:after="0"/>
              <w:rPr>
                <w:sz w:val="19"/>
                <w:szCs w:val="19"/>
                <w:color w:val="auto"/>
              </w:rPr>
            </w:pPr>
          </w:p>
        </w:tc>
        <w:tc>
          <w:tcPr>
            <w:tcW w:w="8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2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8"/>
              </w:rPr>
              <w:t>(loss) income</w:t>
            </w:r>
          </w:p>
        </w:tc>
        <w:tc>
          <w:tcPr>
            <w:tcW w:w="180" w:type="dxa"/>
            <w:vAlign w:val="bottom"/>
          </w:tcPr>
          <w:p>
            <w:pPr>
              <w:spacing w:after="0"/>
              <w:rPr>
                <w:sz w:val="19"/>
                <w:szCs w:val="19"/>
                <w:color w:val="auto"/>
              </w:rPr>
            </w:pPr>
          </w:p>
        </w:tc>
        <w:tc>
          <w:tcPr>
            <w:tcW w:w="10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74"/>
        </w:trPr>
        <w:tc>
          <w:tcPr>
            <w:tcW w:w="196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52,732</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108,912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(85)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(100,772)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8,055</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Adjustment for reverse</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 split</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Yorkville</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 the SEPA</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122,815</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5,505</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5,505</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 the</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10,726</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2,636</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2,636</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CP BF</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conversions of debt</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11,183</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567</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567</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to 1800</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Diagonal for conversions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debt</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6,026</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534</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534</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3i for</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of debt</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28,835</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3,963</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to Agile for</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conversions of debt</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30,345</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1,897</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1,897</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2,411</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2,411</w:t>
            </w: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4,159</w:t>
            </w:r>
          </w:p>
        </w:tc>
        <w:tc>
          <w:tcPr>
            <w:tcW w:w="26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CEO</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Award and bonus (see</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15)</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2,230</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Modification of CEO</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Award from equity to</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(see Note 15)</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20"/>
                <w:szCs w:val="20"/>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Currency translation</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r>
      <w:tr>
        <w:trPr>
          <w:trHeight w:val="230"/>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(13,382)</w:t>
            </w:r>
          </w:p>
        </w:tc>
        <w:tc>
          <w:tcPr>
            <w:tcW w:w="1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(13,382)</w:t>
            </w:r>
          </w:p>
        </w:tc>
      </w:tr>
      <w:tr>
        <w:trPr>
          <w:trHeight w:val="223"/>
        </w:trPr>
        <w:tc>
          <w:tcPr>
            <w:tcW w:w="1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2026</w:t>
            </w:r>
          </w:p>
        </w:tc>
        <w:tc>
          <w:tcPr>
            <w:tcW w:w="5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269,058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126,445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60" w:type="dxa"/>
            <w:vAlign w:val="bottom"/>
            <w:tcBorders>
              <w:top w:val="single" w:sz="8" w:color="CCEEFF"/>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(114,154</w:t>
            </w:r>
          </w:p>
        </w:tc>
        <w:tc>
          <w:tcPr>
            <w:tcW w:w="18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80" w:type="dxa"/>
            <w:vAlign w:val="bottom"/>
            <w:gridSpan w:val="1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80" w:type="dxa"/>
            <w:vAlign w:val="bottom"/>
            <w:gridSpan w:val="21"/>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Equity (Deficit) (continued)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8"/>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120" w:type="dxa"/>
            <w:vAlign w:val="bottom"/>
            <w:gridSpan w:val="15"/>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for the six months ended June 30, 2026 and 2025</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20" w:type="dxa"/>
            <w:vAlign w:val="bottom"/>
            <w:gridSpan w:val="12"/>
          </w:tcPr>
          <w:p>
            <w:pPr>
              <w:jc w:val="center"/>
              <w:ind w:right="620"/>
              <w:spacing w:after="0"/>
              <w:rPr>
                <w:sz w:val="20"/>
                <w:szCs w:val="20"/>
                <w:color w:val="auto"/>
              </w:rPr>
            </w:pPr>
            <w:r>
              <w:rPr>
                <w:rFonts w:ascii="Times New Roman" w:cs="Times New Roman" w:eastAsia="Times New Roman" w:hAnsi="Times New Roman"/>
                <w:sz w:val="18"/>
                <w:szCs w:val="18"/>
                <w:i w:val="1"/>
                <w:iCs w:val="1"/>
                <w:color w:val="auto"/>
                <w:w w:val="99"/>
              </w:rPr>
              <w:t>(in thousands, except share data)</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Series FE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2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52"/>
        </w:trPr>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46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0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80" w:type="dxa"/>
            <w:vAlign w:val="bottom"/>
          </w:tcPr>
          <w:p>
            <w:pPr>
              <w:spacing w:after="0"/>
              <w:rPr>
                <w:sz w:val="21"/>
                <w:szCs w:val="21"/>
                <w:color w:val="auto"/>
              </w:rPr>
            </w:pPr>
          </w:p>
        </w:tc>
        <w:tc>
          <w:tcPr>
            <w:tcW w:w="11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23"/>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Shares  Amount</w:t>
            </w:r>
          </w:p>
        </w:tc>
        <w:tc>
          <w:tcPr>
            <w:tcW w:w="160" w:type="dxa"/>
            <w:vAlign w:val="bottom"/>
          </w:tcPr>
          <w:p>
            <w:pPr>
              <w:spacing w:after="0"/>
              <w:rPr>
                <w:sz w:val="19"/>
                <w:szCs w:val="19"/>
                <w:color w:val="auto"/>
              </w:rPr>
            </w:pPr>
          </w:p>
        </w:tc>
        <w:tc>
          <w:tcPr>
            <w:tcW w:w="8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9"/>
                <w:szCs w:val="19"/>
                <w:color w:val="auto"/>
              </w:rPr>
            </w:pPr>
          </w:p>
        </w:tc>
        <w:tc>
          <w:tcPr>
            <w:tcW w:w="6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19"/>
                <w:szCs w:val="19"/>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174"/>
        </w:trPr>
        <w:tc>
          <w:tcPr>
            <w:tcW w:w="196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3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4,098</w:t>
            </w:r>
          </w:p>
        </w:tc>
        <w:tc>
          <w:tcPr>
            <w:tcW w:w="36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75,516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(78,280)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(2,764)</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to Yorkville</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SEPA</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13,592</w:t>
            </w:r>
          </w:p>
        </w:tc>
        <w:tc>
          <w:tcPr>
            <w:tcW w:w="20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13,592</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Hudson</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632</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for</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to Verista</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330</w:t>
            </w: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Vidello</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1,662</w:t>
            </w:r>
          </w:p>
        </w:tc>
        <w:tc>
          <w:tcPr>
            <w:tcW w:w="200" w:type="dxa"/>
            <w:vAlign w:val="bottom"/>
          </w:tcPr>
          <w:p>
            <w:pPr>
              <w:spacing w:after="0"/>
              <w:rPr>
                <w:sz w:val="20"/>
                <w:szCs w:val="20"/>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1,662</w:t>
            </w: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2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1,093</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1,093</w:t>
            </w:r>
          </w:p>
        </w:tc>
      </w:tr>
      <w:tr>
        <w:trPr>
          <w:trHeight w:val="230"/>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(11,572)</w:t>
            </w:r>
          </w:p>
        </w:tc>
      </w:tr>
      <w:tr>
        <w:trPr>
          <w:trHeight w:val="223"/>
        </w:trPr>
        <w:tc>
          <w:tcPr>
            <w:tcW w:w="1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500" w:type="dxa"/>
            <w:vAlign w:val="bottom"/>
            <w:tcBorders>
              <w:top w:val="single" w:sz="8" w:color="auto"/>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92,875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(89,852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7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(13,382)</w:t>
            </w:r>
          </w:p>
        </w:tc>
        <w:tc>
          <w:tcPr>
            <w:tcW w:w="1400" w:type="dxa"/>
            <w:vAlign w:val="bottom"/>
            <w:gridSpan w:val="2"/>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(11,572)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 on accounts receivable</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shares issued for consulting expenses</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Discount at issuance on notes carried at fair value</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 - related party</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 and issuance costs - related party</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2,479</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1,093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(715)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issuance</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1,598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837</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1,770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instruments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1,179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266</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financial instruments – related party</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value of convertible notes, carried at fair value</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(551)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448</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5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(9,366</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acquisition of Vidello, net of cash acquired</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GEM commitment fee promissory note</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convertible notes (Yorkville)</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 notes, net of issuance costs</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4,250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term notes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Partial repayment of convertible notes - related party</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2,121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5,302</w:t>
            </w:r>
          </w:p>
        </w:tc>
        <w:tc>
          <w:tcPr>
            <w:tcW w:w="0" w:type="dxa"/>
            <w:vAlign w:val="bottom"/>
          </w:tcPr>
          <w:p>
            <w:pPr>
              <w:spacing w:after="0"/>
              <w:rPr>
                <w:sz w:val="1"/>
                <w:szCs w:val="1"/>
                <w:color w:val="auto"/>
              </w:rPr>
            </w:pPr>
          </w:p>
        </w:tc>
      </w:tr>
      <w:tr>
        <w:trPr>
          <w:trHeight w:val="216"/>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to Yorkville under the SEPA</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5,505</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13,593</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shares issued to Verista</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198"/>
        </w:trPr>
        <w:tc>
          <w:tcPr>
            <w:tcW w:w="64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issuance of common stock and pre-funded warrants under private</w:t>
            </w:r>
          </w:p>
        </w:tc>
        <w:tc>
          <w:tcPr>
            <w:tcW w:w="5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placement</w:t>
            </w: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2,726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9,722</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w:t>
            </w:r>
          </w:p>
        </w:tc>
        <w:tc>
          <w:tcPr>
            <w:tcW w:w="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1,167</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5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5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F-8</w:t>
            </w:r>
          </w:p>
        </w:tc>
        <w:tc>
          <w:tcPr>
            <w:tcW w:w="5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8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Hudson consulting fee</w:t>
            </w:r>
          </w:p>
        </w:tc>
        <w:tc>
          <w:tcPr>
            <w:tcW w:w="16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 transferred for acquisition of Vidello</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1,662</w:t>
            </w: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acquired in acquisition of Vidello</w:t>
            </w:r>
          </w:p>
        </w:tc>
        <w:tc>
          <w:tcPr>
            <w:tcW w:w="16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8,393</w:t>
            </w: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Liabilities assumed in acquisition of Vidello</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3,986</w:t>
            </w: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CP BF Note conversions of debt</w:t>
            </w:r>
          </w:p>
        </w:tc>
        <w:tc>
          <w:tcPr>
            <w:tcW w:w="16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567</w:t>
            </w:r>
          </w:p>
        </w:tc>
        <w:tc>
          <w:tcPr>
            <w:tcW w:w="9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private placement convertible notes, carried at fair value</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3,963</w:t>
            </w: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payment of outstanding debt</w:t>
            </w:r>
          </w:p>
        </w:tc>
        <w:tc>
          <w:tcPr>
            <w:tcW w:w="1620" w:type="dxa"/>
            <w:vAlign w:val="bottom"/>
          </w:tcPr>
          <w:p>
            <w:pPr>
              <w:spacing w:after="0"/>
              <w:rPr>
                <w:sz w:val="18"/>
                <w:szCs w:val="18"/>
                <w:color w:val="auto"/>
              </w:rPr>
            </w:pP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1,897</w:t>
            </w:r>
          </w:p>
        </w:tc>
        <w:tc>
          <w:tcPr>
            <w:tcW w:w="96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issued for 1800 Diagonal Note conversions of debt</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534</w:t>
            </w:r>
          </w:p>
        </w:tc>
        <w:tc>
          <w:tcPr>
            <w:tcW w:w="96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“we,” “us,” or “our”) was incorporated in Delaware on September 30, 2015. We are a leading enterprise SaaS Video Engagement platform used by marketers to power webinars, trainings, virtual events, and on-demand video content.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on August 6, 2026, we began doing business under the trade name “Parabolic.” This rebrand does not change our legal name, which remains Banzai International, Inc., and in connection with the rebrand, the trading symbols for our Class A common stock and redeemable warrants on The Nasdaq Capital Market changed from “BNZI” and “BNZIW” to “PARA” and “PARAW,” respectively, effective on August 7,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Concurrently with the proposed rebranding, the Company also announced a new business unit structure designed to align leadership and go-to-market execution with its evolved vision. The Company’s operations will be organized into three business units: ConnectAndSell, the Company’s AI sales acceleration platform; Banzai, which will operate the Company’s Demio and OpenReel products; and CreateStudio, an AI-powered video content creation platform. Accordingly, the Company will reassess its operating and reportable segments, and reporting units during the third quarter 2026.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the stockholders of the Company collectively approved an amendment to the Company’s Certificate of Incorporation, as amended and restated, to effect a reverse stock split (the “May 2026 Reverse Stock Split”) of the Company’s outstanding Class A Common Stock and Class B Common Stock at a ratio of 1-for-20 effective on May 8,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16, 2026, the stockholders of the Company collectively approved an amendment to the Company’s Certificate of Incorporation, as amended and restated, to effect a reverse stock split (the “October 2026 Reverse Stock Split” of the Company’s outstanding Class A Common Stock and Class B Common Stock at a ratio of 1-for-10 effective on October 27, 2026.</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 cash or fractional shares were issued in connection with the May 2026 Reverse Stock Split and the October 2026 Reverse Stock Split (collectively, the “Reverse Stock Splits,”) and instead the Company rounded up to the next whole share in lieu of issuing fractional shares that would have been issued in the reverse split.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Quarterly Report on Form 10-Q has been retroactively adjusted to reflect the impact of the Reverse Stock Splits.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2026, the Company had cash of approximately $0.6 million. For the six months ended June 30, 2026, the Company used approximately $9.4 million in cash for operating activities. The Company has incurred recurring net losses from operations and negative cash flows from operating activities since inception. As of June 30, 2026, the Company had an accumulated deficit of approximately $114.2 million. These factors raise substantial doubt regarding the Company’s ability to continue as a going concern within one year of the date these financial statements were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financings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equity financings associated with the Yorkville SEPA and the ATM (as defined in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accompanying condensed consolidated financial statements have been prepared assuming that the Company will continue as a going concern and do not include any adjustments that might result from the outcome of this uncertainty.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for interim financial information and with the instructions to Form 10-Q of Regulation S-X. Certain information and note disclosures normally included in financial statements prepared in accordance with GAAP have been omitted pursuant to such rules and regulations of the SEC relating to interim financial statements. The December 31, 2025 balance sheet information was derived from the audited financial statements as of that date. Except as disclosed herein, there has been no material change in the information disclosed in the notes to the consolidated financial statements for the year ended December 31, 2025 included in the Company’s Annual Report on Form 10-K, as filed with the SEC on March 31, 2026. The interim unaudited condensed consolidated financial statements should be read in conjunction with those consolidated financial statements included in the Form 10-K. In the opinion of management, all adjustments considered necessary for a fair statement of the financial statements, consisting solely of normal recurring adjustments, have been made. Operating results for the period ended June 30, 2026 are not necessarily indicative of the results that may be expected for the year ending December 31,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consist of balances due from customers as well as from payment service providers. Payment terms range from due upon receipt, to net 30 days. Accounts receivable are stated net of an allowance for credit losses.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 for the six months ended June 30,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provision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8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3"/>
        </w:trPr>
        <w:tc>
          <w:tcPr>
            <w:tcW w:w="20" w:type="dxa"/>
            <w:vAlign w:val="bottom"/>
            <w:tcBorders>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600" w:lineRule="exact"/>
        <w:rPr>
          <w:sz w:val="20"/>
          <w:szCs w:val="20"/>
          <w:color w:val="auto"/>
        </w:rPr>
      </w:pPr>
    </w:p>
    <w:p>
      <w:pPr>
        <w:sectPr>
          <w:pgSz w:w="11900" w:h="16838" w:orient="portrait"/>
          <w:cols w:equalWidth="0" w:num="2">
            <w:col w:w="8500" w:space="720"/>
            <w:col w:w="2020"/>
          </w:cols>
          <w:pgMar w:left="320" w:top="229" w:right="339" w:bottom="1440" w:gutter="0" w:footer="0" w:header="0"/>
          <w:type w:val="continuous"/>
        </w:sectPr>
      </w:pPr>
    </w:p>
    <w:p>
      <w:pPr>
        <w:spacing w:after="0" w:line="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Warrant Liability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warrants originally issued in 7GC’s initial public offering (the “Public Warrants”) are recognized as derivative liabilities in accordance with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unaudited condensed consolidated statements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condensed consolidated balance sheets. The changes in the fair value of the derivative warrant liability is presented in the line item “change in fair value of warrant liabilities – related party” in the accompanying unaudited condensed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Warrant Liability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unaudited condensed consolidated statements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4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320" w:type="dxa"/>
            <w:vAlign w:val="bottom"/>
          </w:tcPr>
          <w:p>
            <w:pPr>
              <w:spacing w:after="0"/>
              <w:rPr>
                <w:sz w:val="18"/>
                <w:szCs w:val="18"/>
                <w:color w:val="auto"/>
              </w:rPr>
            </w:pPr>
          </w:p>
        </w:tc>
        <w:tc>
          <w:tcPr>
            <w:tcW w:w="300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For the Six Months Ended</w:t>
            </w:r>
          </w:p>
        </w:tc>
      </w:tr>
      <w:tr>
        <w:trPr>
          <w:trHeight w:val="238"/>
        </w:trPr>
        <w:tc>
          <w:tcPr>
            <w:tcW w:w="4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common shareholders—basic</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(4,965)</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(7,928)</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(13,382)</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(11,572)</w:t>
            </w:r>
          </w:p>
        </w:tc>
      </w:tr>
      <w:tr>
        <w:trPr>
          <w:trHeight w:val="216"/>
        </w:trPr>
        <w:tc>
          <w:tcPr>
            <w:tcW w:w="4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Weighted average shares—basic and diluted (in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thousands)</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w:t>
            </w:r>
          </w:p>
        </w:tc>
        <w:tc>
          <w:tcPr>
            <w:tcW w:w="36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198"/>
        </w:trPr>
        <w:tc>
          <w:tcPr>
            <w:tcW w:w="4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(30.46)</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(792.80)</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(113.41)</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(1,446.50)</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that could potentially be dilutive in future periods are as follows:</w:t>
      </w:r>
    </w:p>
    <w:p>
      <w:pPr>
        <w:spacing w:after="0" w:line="17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8"/>
          <w:szCs w:val="18"/>
          <w:b w:val="1"/>
          <w:bCs w:val="1"/>
          <w:color w:val="auto"/>
        </w:rPr>
        <w:t>As of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Borders>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2,292</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1,082</w:t>
            </w: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 shares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GEM warrant shares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warrant shares</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58,264</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2,800</w:t>
            </w:r>
          </w:p>
        </w:tc>
      </w:tr>
      <w:tr>
        <w:trPr>
          <w:trHeight w:val="23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Placement agent warrant shares</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22,307</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unaudited condensed consolidated statements of operations each period. Bifurcated embedded derivatives are classified with the related host contract in the condensed consolidated balance sheets. Refer to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ind w:left="400"/>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three months ended June 30, 2026 and 2025. The carrying amount of cash, accounts receivable, prepaid expenses and other current assets, accounts payable, accrued expenses, deferred revenue, and other current liabilities approximated their fair values as of June 30,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Election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together the “FVO Notes”) were eligible for the fair value option, in accordance with FASB ASC 825-10-50-28, and made such election to account for these instruments at fair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fair value option election, direct and incremental debt issuance costs and consideration paid to the respective lender were expensed as incurred and recorded in other income (expense), net in the unaudited condensed consolidated statements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Losses recognized upon issuance of debt represent the difference between issuance date fair value and the proceeds received net of discount or premium, which are recorded in loss on debt issuance in the unaudited condensed consolidated statements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the portion of the FVO Notes that are issued and outstanding for accounting purposes at fair value with changes in fair value recorded in change in fair value in the unaudited condensed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on the FVO Notes is included in the respective debt instrument’s balance on the condensed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ASU No. 2024-03, </w:t>
      </w:r>
      <w:r>
        <w:rPr>
          <w:rFonts w:ascii="Times New Roman" w:cs="Times New Roman" w:eastAsia="Times New Roman" w:hAnsi="Times New Roman"/>
          <w:sz w:val="18"/>
          <w:szCs w:val="18"/>
          <w:i w:val="1"/>
          <w:iCs w:val="1"/>
          <w:color w:val="auto"/>
        </w:rPr>
        <w:t>Disaggregation of Income Statement Expenses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The ASU requires the disaggregated disclosure of specific expense categories, including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condensed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which provides a practical expedient to measure credit losses on accounts receivable and contract assets. This guidance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beginning after December 15, 2025 and will be adopted prospectively. Early adoption is permitted. The adoption of this guidance did not have a material impact on our condensed consolidated financial statements and related disclosures.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 in cash (the “Vidello Cash Consideration”), whereby $2.5 million are withheld for indemnification expenses and other holdback provisions in accordance with the Vidello Merger Agreement, and issued 449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holdback amount, this consists of three distinct components, being (1) the withholding of $1.0 million, as security for the obligations of Company Shareholders for a period of twelve months (the “Indemnification Holdback Amount”), (2) the withholding of $500 as security for the obligations of Company Shareholders to cooperate with best efforts and in good faith with to complete the transition, integration and related matters of Vidello’s business with Parabolic, including, but not limited to (a) the transition of data of Vidello managed and/or held by Vidello to Parabolic, (b) certain services relating to the continued operations of Vidello, and (c) the training of certain employees of Parabolic regarding the operations of Vidello including any proprietary business processes and trade secrets following the Closing, during the six months following the Closing (the “Transition Holdback Period”), and (3) the withholding of $1.0 million subject to certain revenue related conditions being met during the 180 day period following the Closing (the “Revenue Holdback Amount” and together with the Indemnification Holdback Amount and the Transition Holdback Amount, the “Holdback Amount”).</w:t>
      </w:r>
    </w:p>
    <w:p>
      <w:pPr>
        <w:spacing w:after="0" w:line="200" w:lineRule="exact"/>
        <w:rPr>
          <w:sz w:val="20"/>
          <w:szCs w:val="20"/>
          <w:color w:val="auto"/>
        </w:rPr>
      </w:pP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recognized $486 of expense after foreign currency translation in the consolidated statements of operations related to the Transition Holdback Amount in the line Vidello earnout expense. During the three months ended September 30, 2025, the Company paid the contractual amount of $500 to the Vidello Shareholders for the Transition Holdback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the 180 day measurement period for the Revenue Holdback lapsed and the revenue conditions as defined in the Vidello Merger Agreement had not been met. As such the Company recognized a gain on the extinguishment of Vidello revenue holdback of $973 during the three months ended September 30, 2025.</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2025, the Company incurred transaction costs of approximately $730 which are included in the unaudited condensed consolidated statements of operations.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Vidello Merger was accounted for as a business combination under the acquisition method pursuant to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fair value of the consideration transferred totaled $6,268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4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48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Vidello Stockholders</w:t>
            </w:r>
          </w:p>
        </w:tc>
        <w:tc>
          <w:tcPr>
            <w:tcW w:w="4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1,662</w:t>
            </w: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Holdback Amount</w:t>
            </w:r>
          </w:p>
        </w:tc>
        <w:tc>
          <w:tcPr>
            <w:tcW w:w="4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1,861</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48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400" w:type="dxa"/>
            <w:vAlign w:val="bottom"/>
            <w:tcBorders>
              <w:bottom w:val="single" w:sz="8" w:color="auto"/>
            </w:tcBorders>
          </w:tcPr>
          <w:p>
            <w:pPr>
              <w:spacing w:after="0"/>
              <w:rPr>
                <w:sz w:val="24"/>
                <w:szCs w:val="24"/>
                <w:color w:val="auto"/>
              </w:rPr>
            </w:pPr>
          </w:p>
        </w:tc>
        <w:tc>
          <w:tcPr>
            <w:tcW w:w="5200" w:type="dxa"/>
            <w:vAlign w:val="bottom"/>
            <w:tcBorders>
              <w:bottom w:val="single" w:sz="8" w:color="auto"/>
            </w:tcBorders>
            <w:gridSpan w:val="2"/>
          </w:tcPr>
          <w:p>
            <w:pPr>
              <w:jc w:val="right"/>
              <w:ind w:right="3710"/>
              <w:spacing w:after="0"/>
              <w:rPr>
                <w:sz w:val="20"/>
                <w:szCs w:val="20"/>
                <w:color w:val="auto"/>
              </w:rPr>
            </w:pPr>
            <w:r>
              <w:rPr>
                <w:rFonts w:ascii="Times New Roman" w:cs="Times New Roman" w:eastAsia="Times New Roman" w:hAnsi="Times New Roman"/>
                <w:sz w:val="18"/>
                <w:szCs w:val="18"/>
                <w:color w:val="auto"/>
              </w:rPr>
              <w:t>F-14</w:t>
            </w:r>
          </w:p>
        </w:tc>
        <w:tc>
          <w:tcPr>
            <w:tcW w:w="1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allocated the purchase price of the Vidello Merger to the assets acquired and liabilities assumed as of the acquisition date,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gridSpan w:val="2"/>
          </w:tcPr>
          <w:p>
            <w:pPr>
              <w:jc w:val="right"/>
              <w:ind w:right="61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551</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trade name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w:t>
            </w:r>
          </w:p>
        </w:tc>
      </w:tr>
      <w:tr>
        <w:trPr>
          <w:trHeight w:val="23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4,010</w:t>
            </w:r>
          </w:p>
        </w:tc>
        <w:tc>
          <w:tcPr>
            <w:tcW w:w="80" w:type="dxa"/>
            <w:vAlign w:val="bottom"/>
          </w:tcPr>
          <w:p>
            <w:pPr>
              <w:spacing w:after="0"/>
              <w:rPr>
                <w:sz w:val="19"/>
                <w:szCs w:val="19"/>
                <w:color w:val="auto"/>
              </w:rPr>
            </w:pPr>
          </w:p>
        </w:tc>
      </w:tr>
      <w:tr>
        <w:trPr>
          <w:trHeight w:val="209"/>
        </w:trPr>
        <w:tc>
          <w:tcPr>
            <w:tcW w:w="9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 current</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w:t>
            </w:r>
          </w:p>
        </w:tc>
        <w:tc>
          <w:tcPr>
            <w:tcW w:w="80" w:type="dxa"/>
            <w:vAlign w:val="bottom"/>
          </w:tcPr>
          <w:p>
            <w:pPr>
              <w:spacing w:after="0"/>
              <w:rPr>
                <w:sz w:val="18"/>
                <w:szCs w:val="18"/>
                <w:color w:val="auto"/>
              </w:rPr>
            </w:pPr>
          </w:p>
        </w:tc>
      </w:tr>
      <w:tr>
        <w:trPr>
          <w:trHeight w:val="22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0"/>
        </w:trPr>
        <w:tc>
          <w:tcPr>
            <w:tcW w:w="9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recorded:</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CCEEFF"/>
          </w:tcPr>
          <w:p>
            <w:pPr>
              <w:spacing w:after="0"/>
              <w:rPr>
                <w:sz w:val="19"/>
                <w:szCs w:val="19"/>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We believe that in this acquisition goodwill represents the value of Vidello’s existing products, combined with the added business synergies of integrating with the existing Parabolic products and customer base.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intangible assets acquired are subject to amortization and their associated estimated useful lives are as follows:</w:t>
            </w: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9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c>
          <w:tcPr>
            <w:tcW w:w="0" w:type="dxa"/>
            <w:vAlign w:val="bottom"/>
          </w:tcPr>
          <w:p>
            <w:pPr>
              <w:spacing w:after="0"/>
              <w:rPr>
                <w:sz w:val="1"/>
                <w:szCs w:val="1"/>
                <w:color w:val="auto"/>
              </w:rPr>
            </w:pPr>
          </w:p>
        </w:tc>
      </w:tr>
      <w:tr>
        <w:trPr>
          <w:trHeight w:val="234"/>
        </w:trPr>
        <w:tc>
          <w:tcPr>
            <w:tcW w:w="9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34"/>
        </w:trPr>
        <w:tc>
          <w:tcPr>
            <w:tcW w:w="9220" w:type="dxa"/>
            <w:vAlign w:val="bottom"/>
            <w:gridSpan w:val="2"/>
            <w:vMerge w:val="continue"/>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years)</w:t>
            </w:r>
          </w:p>
        </w:tc>
        <w:tc>
          <w:tcPr>
            <w:tcW w:w="0" w:type="dxa"/>
            <w:vAlign w:val="bottom"/>
          </w:tcPr>
          <w:p>
            <w:pPr>
              <w:spacing w:after="0"/>
              <w:rPr>
                <w:sz w:val="1"/>
                <w:szCs w:val="1"/>
                <w:color w:val="auto"/>
              </w:rPr>
            </w:pPr>
          </w:p>
        </w:tc>
      </w:tr>
      <w:tr>
        <w:trPr>
          <w:trHeight w:val="210"/>
        </w:trPr>
        <w:tc>
          <w:tcPr>
            <w:tcW w:w="9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7 - 8</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 the unaudited condensed consolidated statements of operations for the three and six months ended June 30, 2025 includes net income of approximately $163 and $484, respectively, of Vidello from the date of acquisition to June 30,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disclosure for the Vidello acquisition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reflects the consolidated results of operations of the Company as if the Merger with Vidello had taken place on January 1, 2025.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not necessarily indicative of the results of operations as they would have been had the transactions been effected on the assumed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0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14,164</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15,166</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2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3,349</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attributable to common stockholders</w:t>
            </w:r>
          </w:p>
        </w:tc>
        <w:tc>
          <w:tcPr>
            <w:tcW w:w="20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(13,515)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(11,762)</w:t>
            </w:r>
          </w:p>
        </w:tc>
      </w:tr>
      <w:tr>
        <w:trPr>
          <w:trHeight w:val="432"/>
        </w:trPr>
        <w:tc>
          <w:tcPr>
            <w:tcW w:w="49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jc w:val="right"/>
              <w:ind w:right="2350"/>
              <w:spacing w:after="0"/>
              <w:rPr>
                <w:sz w:val="20"/>
                <w:szCs w:val="20"/>
                <w:color w:val="auto"/>
              </w:rPr>
            </w:pPr>
            <w:r>
              <w:rPr>
                <w:rFonts w:ascii="Times New Roman" w:cs="Times New Roman" w:eastAsia="Times New Roman" w:hAnsi="Times New Roman"/>
                <w:sz w:val="18"/>
                <w:szCs w:val="18"/>
                <w:color w:val="auto"/>
              </w:rPr>
              <w:t>F-15</w:t>
            </w: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 Agreement with CP BF</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5, 2024, the Company and CP BF agreed to amend the outstanding balance of all debt previously in the form of one term note and two convertible notes into one consolidated convertible note. The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consolidated convertible note.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for further details related to the transaction and associated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generated through the Company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we generally have net 30-day payment terms with the payment made directly through check or electronic means. Management believes its exposure to credit risk is sufficiently mitigated by collection through credit card sales or direct payment from established clients.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contract inception, once the contract is determined to be within the scope of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spacing w:after="0" w:line="175"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contract(s) with a customer;</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revenues when (or as) the Company satisfies a performance obligation.</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to which it expects to be entitled in exchange for the transfer of promised services to its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Reach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Trade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one customer for which the customer is also a vendor. For this one customer, the Company exchanged services for approximately $62 and $177, during the six months ended June 30, 2026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4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38"/>
        </w:trPr>
        <w:tc>
          <w:tcPr>
            <w:tcW w:w="42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w w:val="98"/>
              </w:rPr>
              <w:t>of Revenue</w:t>
            </w: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160" w:type="dxa"/>
            <w:vAlign w:val="bottom"/>
            <w:tcBorders>
              <w:bottom w:val="single" w:sz="8" w:color="CCEEFF"/>
            </w:tcBorders>
            <w:gridSpan w:val="2"/>
          </w:tcPr>
          <w:p>
            <w:pPr>
              <w:spacing w:after="0"/>
              <w:rPr>
                <w:sz w:val="20"/>
                <w:szCs w:val="20"/>
                <w:color w:val="auto"/>
              </w:rPr>
            </w:pPr>
          </w:p>
        </w:tc>
      </w:tr>
      <w:tr>
        <w:trPr>
          <w:trHeight w:val="21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1,675</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2,390</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0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463</w:t>
            </w:r>
          </w:p>
        </w:tc>
        <w:tc>
          <w:tcPr>
            <w:tcW w:w="1160" w:type="dxa"/>
            <w:vAlign w:val="bottom"/>
          </w:tcPr>
          <w:p>
            <w:pPr>
              <w:spacing w:after="0"/>
              <w:rPr>
                <w:sz w:val="18"/>
                <w:szCs w:val="18"/>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tcPr>
          <w:p>
            <w:pPr>
              <w:spacing w:after="0"/>
              <w:rPr>
                <w:sz w:val="18"/>
                <w:szCs w:val="18"/>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556</w:t>
            </w:r>
          </w:p>
        </w:tc>
        <w:tc>
          <w:tcPr>
            <w:tcW w:w="16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135</w:t>
            </w:r>
          </w:p>
        </w:tc>
        <w:tc>
          <w:tcPr>
            <w:tcW w:w="1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bottom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2,273</w:t>
            </w:r>
          </w:p>
        </w:tc>
        <w:tc>
          <w:tcPr>
            <w:tcW w:w="320" w:type="dxa"/>
            <w:vAlign w:val="bottom"/>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3,127</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26"/>
        </w:trPr>
        <w:tc>
          <w:tcPr>
            <w:tcW w:w="42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42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4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ind w:left="3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ind w:right="210"/>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gridSpan w:val="2"/>
          </w:tcPr>
          <w:p>
            <w:pPr>
              <w:spacing w:after="0"/>
              <w:rPr>
                <w:sz w:val="16"/>
                <w:szCs w:val="16"/>
                <w:color w:val="auto"/>
              </w:rPr>
            </w:pPr>
          </w:p>
        </w:tc>
      </w:tr>
      <w:tr>
        <w:trPr>
          <w:trHeight w:val="238"/>
        </w:trPr>
        <w:tc>
          <w:tcPr>
            <w:tcW w:w="42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b w:val="1"/>
                <w:bCs w:val="1"/>
                <w:color w:val="auto"/>
                <w:w w:val="98"/>
              </w:rPr>
              <w:t>of Revenue</w:t>
            </w: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of Revenue</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104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3,745</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5,002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4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10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949</w:t>
            </w:r>
          </w:p>
        </w:tc>
        <w:tc>
          <w:tcPr>
            <w:tcW w:w="1160" w:type="dxa"/>
            <w:vAlign w:val="bottom"/>
          </w:tcPr>
          <w:p>
            <w:pPr>
              <w:spacing w:after="0"/>
              <w:rPr>
                <w:sz w:val="18"/>
                <w:szCs w:val="18"/>
                <w:color w:val="auto"/>
              </w:rPr>
            </w:pPr>
          </w:p>
        </w:tc>
        <w:tc>
          <w:tcPr>
            <w:tcW w:w="6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1040" w:type="dxa"/>
            <w:vAlign w:val="bottom"/>
          </w:tcPr>
          <w:p>
            <w:pPr>
              <w:spacing w:after="0"/>
              <w:rPr>
                <w:sz w:val="18"/>
                <w:szCs w:val="18"/>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1,112</w:t>
            </w:r>
          </w:p>
        </w:tc>
        <w:tc>
          <w:tcPr>
            <w:tcW w:w="160" w:type="dxa"/>
            <w:vAlign w:val="bottom"/>
          </w:tcPr>
          <w:p>
            <w:pPr>
              <w:spacing w:after="0"/>
              <w:rPr>
                <w:sz w:val="18"/>
                <w:szCs w:val="18"/>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10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275</w:t>
            </w:r>
          </w:p>
        </w:tc>
        <w:tc>
          <w:tcPr>
            <w:tcW w:w="1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top w:val="single" w:sz="8" w:color="auto"/>
            </w:tcBorders>
          </w:tcPr>
          <w:p>
            <w:pPr>
              <w:jc w:val="right"/>
              <w:ind w:right="87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4,969</w:t>
            </w:r>
          </w:p>
        </w:tc>
        <w:tc>
          <w:tcPr>
            <w:tcW w:w="3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104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6,506</w:t>
            </w: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accounts receivable, net as of the dates presented:</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8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709</w:t>
            </w:r>
          </w:p>
        </w:tc>
      </w:tr>
      <w:tr>
        <w:trPr>
          <w:trHeight w:val="234"/>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2026</w:t>
            </w: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r>
      <w:tr>
        <w:trPr>
          <w:trHeight w:val="414"/>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summarizes the activity related to costs to obtain a contract during the periods presented:</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17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r>
      <w:tr>
        <w:trPr>
          <w:trHeight w:val="26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March 31, 2026</w:t>
            </w:r>
          </w:p>
        </w:tc>
        <w:tc>
          <w:tcPr>
            <w:tcW w:w="86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22"/>
                <w:szCs w:val="22"/>
                <w:color w:val="auto"/>
              </w:rPr>
            </w:pPr>
          </w:p>
        </w:tc>
      </w:tr>
      <w:tr>
        <w:trPr>
          <w:trHeight w:val="197"/>
        </w:trPr>
        <w:tc>
          <w:tcPr>
            <w:tcW w:w="836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Commissions incurred</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17"/>
                <w:szCs w:val="17"/>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2026</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1700" w:type="dxa"/>
            <w:vAlign w:val="bottom"/>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 incurred</w:t>
            </w: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8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63"/>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 March 31, 2025</w:t>
            </w:r>
          </w:p>
        </w:tc>
        <w:tc>
          <w:tcPr>
            <w:tcW w:w="860" w:type="dxa"/>
            <w:vAlign w:val="bottom"/>
            <w:tcBorders>
              <w:bottom w:val="single" w:sz="8" w:color="CCEEFF"/>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2"/>
                <w:szCs w:val="22"/>
                <w:color w:val="auto"/>
              </w:rPr>
            </w:pPr>
          </w:p>
        </w:tc>
      </w:tr>
      <w:tr>
        <w:trPr>
          <w:trHeight w:val="196"/>
        </w:trPr>
        <w:tc>
          <w:tcPr>
            <w:tcW w:w="8360" w:type="dxa"/>
            <w:vAlign w:val="bottom"/>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Commissions incurred</w:t>
            </w:r>
          </w:p>
        </w:tc>
        <w:tc>
          <w:tcPr>
            <w:tcW w:w="8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7"/>
                <w:szCs w:val="17"/>
                <w:color w:val="auto"/>
              </w:rPr>
            </w:pPr>
          </w:p>
        </w:tc>
      </w:tr>
      <w:tr>
        <w:trPr>
          <w:trHeight w:val="230"/>
        </w:trPr>
        <w:tc>
          <w:tcPr>
            <w:tcW w:w="8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June 30, 2025</w:t>
            </w: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229"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six months ended June 30, 2026 and the year ended December 31, 2025, the Company recognized $2,914 and $3,868 in revenue that was included in the prior year deferred revenue balance,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total deferred revenue was as follows for the periods indicated:</w:t>
            </w: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6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 beginning of period</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Billings</w:t>
            </w:r>
          </w:p>
        </w:tc>
        <w:tc>
          <w:tcPr>
            <w:tcW w:w="180" w:type="dxa"/>
            <w:vAlign w:val="bottom"/>
          </w:tcPr>
          <w:p>
            <w:pPr>
              <w:spacing w:after="0"/>
              <w:rPr>
                <w:sz w:val="18"/>
                <w:szCs w:val="18"/>
                <w:color w:val="auto"/>
              </w:rPr>
            </w:pPr>
          </w:p>
        </w:tc>
        <w:tc>
          <w:tcPr>
            <w:tcW w:w="2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4,411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9,487</w:t>
            </w:r>
          </w:p>
        </w:tc>
        <w:tc>
          <w:tcPr>
            <w:tcW w:w="80" w:type="dxa"/>
            <w:vAlign w:val="bottom"/>
          </w:tcPr>
          <w:p>
            <w:pPr>
              <w:spacing w:after="0"/>
              <w:rPr>
                <w:sz w:val="18"/>
                <w:szCs w:val="18"/>
                <w:color w:val="auto"/>
              </w:rPr>
            </w:pPr>
          </w:p>
        </w:tc>
      </w:tr>
      <w:tr>
        <w:trPr>
          <w:trHeight w:val="216"/>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(3,868)</w:t>
            </w:r>
          </w:p>
        </w:tc>
      </w:tr>
      <w:tr>
        <w:trPr>
          <w:trHeight w:val="216"/>
        </w:trPr>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180" w:type="dxa"/>
            <w:vAlign w:val="bottom"/>
          </w:tcPr>
          <w:p>
            <w:pPr>
              <w:spacing w:after="0"/>
              <w:rPr>
                <w:sz w:val="18"/>
                <w:szCs w:val="18"/>
                <w:color w:val="auto"/>
              </w:rPr>
            </w:pP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(6,383)</w:t>
            </w:r>
          </w:p>
        </w:tc>
      </w:tr>
      <w:tr>
        <w:trPr>
          <w:trHeight w:val="230"/>
        </w:trPr>
        <w:tc>
          <w:tcPr>
            <w:tcW w:w="6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deferred revenue of Vidello (see Note 4 – Acquisitions)</w:t>
            </w:r>
          </w:p>
        </w:tc>
        <w:tc>
          <w:tcPr>
            <w:tcW w:w="1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revenue,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periods ended June 30, 2026 and the year ended December 31, 2025. The carrying amount of accounts payable approximated fair value as they are short term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guidance in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June 30, 2026 and December 31, 2025,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260" w:type="dxa"/>
            <w:vAlign w:val="bottom"/>
          </w:tcPr>
          <w:p>
            <w:pPr>
              <w:spacing w:after="0"/>
              <w:rPr>
                <w:sz w:val="20"/>
                <w:szCs w:val="20"/>
                <w:color w:val="auto"/>
              </w:rPr>
            </w:pPr>
          </w:p>
        </w:tc>
        <w:tc>
          <w:tcPr>
            <w:tcW w:w="18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5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57"/>
        </w:trPr>
        <w:tc>
          <w:tcPr>
            <w:tcW w:w="564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Definite-lived intangibles </w:t>
            </w:r>
            <w:r>
              <w:rPr>
                <w:rFonts w:ascii="Times New Roman" w:cs="Times New Roman" w:eastAsia="Times New Roman" w:hAnsi="Times New Roman"/>
                <w:sz w:val="29"/>
                <w:szCs w:val="29"/>
                <w:color w:val="auto"/>
                <w:vertAlign w:val="superscript"/>
              </w:rPr>
              <w:t>(1)</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7,434</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8,027</w:t>
            </w:r>
          </w:p>
        </w:tc>
      </w:tr>
      <w:tr>
        <w:trPr>
          <w:trHeight w:val="256"/>
        </w:trPr>
        <w:tc>
          <w:tcPr>
            <w:tcW w:w="5640" w:type="dxa"/>
            <w:vAlign w:val="bottom"/>
            <w:gridSpan w:val="2"/>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Goodwill </w:t>
            </w:r>
            <w:r>
              <w:rPr>
                <w:rFonts w:ascii="Times New Roman" w:cs="Times New Roman" w:eastAsia="Times New Roman" w:hAnsi="Times New Roman"/>
                <w:sz w:val="29"/>
                <w:szCs w:val="29"/>
                <w:color w:val="auto"/>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21,992</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21,992</w:t>
            </w: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GEM warrant liabilities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Earnout liability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w:t>
            </w:r>
          </w:p>
        </w:tc>
      </w:tr>
      <w:tr>
        <w:trPr>
          <w:trHeight w:val="216"/>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1,200</w:t>
            </w:r>
          </w:p>
        </w:tc>
      </w:tr>
      <w:tr>
        <w:trPr>
          <w:trHeight w:val="216"/>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Agile term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1,728</w:t>
            </w:r>
          </w:p>
        </w:tc>
      </w:tr>
      <w:tr>
        <w:trPr>
          <w:trHeight w:val="216"/>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1800 Diagonal convertible notes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Convertible Notes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1,856</w:t>
            </w:r>
          </w:p>
        </w:tc>
      </w:tr>
      <w:tr>
        <w:trPr>
          <w:trHeight w:val="216"/>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liability – related party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Boot Capital note</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TVT Capital note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ind w:left="5460" w:right="3300" w:hanging="5357"/>
        <w:spacing w:after="0" w:line="500" w:lineRule="auto"/>
        <w:tabs>
          <w:tab w:leader="none" w:pos="365" w:val="left"/>
        </w:tabs>
        <w:numPr>
          <w:ilvl w:val="0"/>
          <w:numId w:val="7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For assets and liabilities that are measured at fair value on the acquisition date,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summarizes the changes in the fair value of the Public Warrants liability for the six months ended June 30, 2026. See also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33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GEM Warrants liability for the six months ended June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GEM Warrants</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5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35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tc>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20" w:type="dxa"/>
            <w:vAlign w:val="bottom"/>
            <w:vMerge w:val="continue"/>
          </w:tcPr>
          <w:p>
            <w:pPr>
              <w:spacing w:after="0"/>
              <w:rPr>
                <w:sz w:val="24"/>
                <w:szCs w:val="24"/>
                <w:color w:val="auto"/>
              </w:rPr>
            </w:pPr>
          </w:p>
        </w:tc>
        <w:tc>
          <w:tcPr>
            <w:tcW w:w="3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Yorkville convertible notes for the six months ended June 30, 2026:</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 in cash of Yorkville convertible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Assets (Liabilities) - related party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Yorkville</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Convertible Note</w:t>
      </w:r>
    </w:p>
    <w:p>
      <w:pPr>
        <w:spacing w:after="0" w:line="9" w:lineRule="exact"/>
        <w:rPr>
          <w:sz w:val="20"/>
          <w:szCs w:val="20"/>
          <w:color w:val="auto"/>
        </w:rPr>
      </w:pPr>
    </w:p>
    <w:p>
      <w:pPr>
        <w:jc w:val="both"/>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1,200</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(1,218)</w:t>
      </w:r>
    </w:p>
    <w:p>
      <w:pPr>
        <w:spacing w:after="0" w:line="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840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11"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084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120840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8500" w:space="720"/>
            <w:col w:w="2020"/>
          </w:cols>
          <w:pgMar w:left="320" w:top="229"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(“Derivative”) and assigned probabilities of being affected and initially measured at fair value in the amount of $12. The fair value of the Derivative was estimated utilizing the with and without method which uses the probability weighted difference between the scenarios with the Derivative and the plain vanilla maturity scenario without a Derivative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Derivative asset (liability) for the six months ended June 30, 2026, relating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 to CP BF issued on September 23,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Derivative Asset</w:t>
            </w:r>
          </w:p>
        </w:tc>
      </w:tr>
      <w:tr>
        <w:trPr>
          <w:trHeight w:val="238"/>
        </w:trPr>
        <w:tc>
          <w:tcPr>
            <w:tcW w:w="9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09"/>
        </w:trPr>
        <w:tc>
          <w:tcPr>
            <w:tcW w:w="9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2025 - Bifurcated embedded derivative asset – related party</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19"/>
                <w:szCs w:val="19"/>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2026 - Bifurcated embedded derivative liability – related party</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9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Term Notes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(“ASC 825”).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 summary of the changes in the fair value of the Agile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Convertible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 summary of the changes in the fair value of the 1800 Diagonal Convertible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 summary of the changes in the fair value of the Private Placement Convertible Notes, and to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r>
        <w:rPr>
          <w:rFonts w:ascii="Times New Roman" w:cs="Times New Roman" w:eastAsia="Times New Roman" w:hAnsi="Times New Roman"/>
          <w:sz w:val="18"/>
          <w:szCs w:val="18"/>
          <w:color w:val="auto"/>
        </w:rPr>
        <w:t xml:space="preserve"> for a description of the warrants issued in connection with the Private Placement Offering.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further details.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including share price, term, risk-free rate, exercise price and dividend yield.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ranges of inputs to and the changes in the fair value of the Private Placement Warrant liability for the six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5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6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5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30.20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5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5"/>
              </w:rPr>
              <w:t>- 4.62</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5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- 4.14%</w:t>
            </w:r>
          </w:p>
        </w:tc>
      </w:tr>
      <w:tr>
        <w:trPr>
          <w:trHeight w:val="256"/>
        </w:trPr>
        <w:tc>
          <w:tcPr>
            <w:tcW w:w="36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9"/>
                <w:szCs w:val="29"/>
                <w:color w:val="auto"/>
                <w:vertAlign w:val="superscript"/>
              </w:rPr>
              <w:t>(1)</w:t>
            </w:r>
          </w:p>
        </w:tc>
        <w:tc>
          <w:tcPr>
            <w:tcW w:w="5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127.1% - 134.4%</w:t>
            </w: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58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8"/>
              </w:rPr>
              <w:t>33.00</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5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414"/>
        </w:trPr>
        <w:tc>
          <w:tcPr>
            <w:tcW w:w="362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3"/>
          </w:tcPr>
          <w:p>
            <w:pPr>
              <w:jc w:val="right"/>
              <w:ind w:right="3640"/>
              <w:spacing w:after="0"/>
              <w:rPr>
                <w:sz w:val="20"/>
                <w:szCs w:val="20"/>
                <w:color w:val="auto"/>
              </w:rPr>
            </w:pPr>
            <w:r>
              <w:rPr>
                <w:rFonts w:ascii="Times New Roman" w:cs="Times New Roman" w:eastAsia="Times New Roman" w:hAnsi="Times New Roman"/>
                <w:sz w:val="18"/>
                <w:szCs w:val="18"/>
                <w:color w:val="auto"/>
              </w:rPr>
              <w:t>F-21</w:t>
            </w:r>
          </w:p>
        </w:tc>
        <w:tc>
          <w:tcPr>
            <w:tcW w:w="1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ind w:left="2460"/>
        <w:spacing w:after="0"/>
        <w:rPr>
          <w:sz w:val="20"/>
          <w:szCs w:val="20"/>
          <w:color w:val="auto"/>
        </w:rPr>
      </w:pPr>
      <w:r>
        <w:rPr>
          <w:rFonts w:ascii="Times New Roman" w:cs="Times New Roman" w:eastAsia="Times New Roman" w:hAnsi="Times New Roman"/>
          <w:sz w:val="17"/>
          <w:szCs w:val="17"/>
          <w:i w:val="1"/>
          <w:iCs w:val="1"/>
          <w:color w:val="auto"/>
        </w:rPr>
        <w:t>(Dollar amounts in thousands unless otherwise stated,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issuance – February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Private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Placement Warrants</w:t>
      </w:r>
    </w:p>
    <w:p>
      <w:pPr>
        <w:spacing w:after="0" w:line="9"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296</w:t>
      </w:r>
    </w:p>
    <w:p>
      <w:pPr>
        <w:spacing w:after="0" w:line="2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559</w:t>
      </w:r>
    </w:p>
    <w:p>
      <w:pPr>
        <w:spacing w:after="0" w:line="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844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84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11"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1,699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2084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840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12084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8780" w:space="440"/>
            <w:col w:w="2020"/>
          </w:cols>
          <w:pgMar w:left="320" w:top="229" w:right="339" w:bottom="1440" w:gutter="0" w:footer="0" w:header="0"/>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7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software costs</w:t>
            </w:r>
          </w:p>
        </w:tc>
        <w:tc>
          <w:tcPr>
            <w:tcW w:w="3360" w:type="dxa"/>
            <w:vAlign w:val="bottom"/>
            <w:gridSpan w:val="2"/>
          </w:tcPr>
          <w:p>
            <w:pPr>
              <w:jc w:val="right"/>
              <w:ind w:right="139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trade</w:t>
            </w:r>
          </w:p>
        </w:tc>
        <w:tc>
          <w:tcPr>
            <w:tcW w:w="1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receivable</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 costs</w:t>
            </w:r>
          </w:p>
        </w:tc>
        <w:tc>
          <w:tcPr>
            <w:tcW w:w="1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commissions</w:t>
            </w:r>
          </w:p>
        </w:tc>
        <w:tc>
          <w:tcPr>
            <w:tcW w:w="17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merchant fees</w:t>
            </w:r>
          </w:p>
        </w:tc>
        <w:tc>
          <w:tcPr>
            <w:tcW w:w="17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7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Goodwill and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reportable segment as of and for the six months ended June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2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Banzai Operating</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7"/>
              </w:rPr>
              <w:t>Co.</w:t>
            </w:r>
          </w:p>
        </w:tc>
        <w:tc>
          <w:tcPr>
            <w:tcW w:w="280" w:type="dxa"/>
            <w:vAlign w:val="bottom"/>
          </w:tcPr>
          <w:p>
            <w:pPr>
              <w:spacing w:after="0"/>
              <w:rPr>
                <w:sz w:val="20"/>
                <w:szCs w:val="20"/>
                <w:color w:val="auto"/>
              </w:rPr>
            </w:pPr>
          </w:p>
        </w:tc>
        <w:tc>
          <w:tcPr>
            <w:tcW w:w="12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w w:val="97"/>
              </w:rPr>
              <w:t>OpenReel</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2025</w:t>
            </w:r>
          </w:p>
        </w:tc>
        <w:tc>
          <w:tcPr>
            <w:tcW w:w="9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Goodwill – June 30, 2026</w:t>
            </w:r>
          </w:p>
        </w:tc>
        <w:tc>
          <w:tcPr>
            <w:tcW w:w="14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2,172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3,019</w:t>
            </w:r>
          </w:p>
        </w:tc>
        <w:tc>
          <w:tcPr>
            <w:tcW w:w="6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16,801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21,992</w:t>
            </w:r>
          </w:p>
        </w:tc>
        <w:tc>
          <w:tcPr>
            <w:tcW w:w="0" w:type="dxa"/>
            <w:vAlign w:val="bottom"/>
          </w:tcPr>
          <w:p>
            <w:pPr>
              <w:spacing w:after="0"/>
              <w:rPr>
                <w:sz w:val="1"/>
                <w:szCs w:val="1"/>
                <w:color w:val="auto"/>
              </w:rPr>
            </w:pPr>
          </w:p>
        </w:tc>
      </w:tr>
      <w:tr>
        <w:trPr>
          <w:trHeight w:val="20"/>
        </w:trPr>
        <w:tc>
          <w:tcPr>
            <w:tcW w:w="3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9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Intangible assets subject to amortization consist of the following:</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3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40" w:type="dxa"/>
            <w:vAlign w:val="bottom"/>
            <w:gridSpan w:val="10"/>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540" w:type="dxa"/>
            <w:vAlign w:val="bottom"/>
            <w:gridSpan w:val="10"/>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Life (years):</w:t>
            </w:r>
          </w:p>
        </w:tc>
        <w:tc>
          <w:tcPr>
            <w:tcW w:w="172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9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- 7</w:t>
            </w: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1"/>
              </w:rPr>
              <w:t>- 15</w:t>
            </w: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- 8</w:t>
            </w: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gross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(1,768)</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related to intangible assets was $607 for the six months ended June 30, 2026. Expected amortization expense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2026</w:t>
            </w:r>
          </w:p>
        </w:tc>
        <w:tc>
          <w:tcPr>
            <w:tcW w:w="6600" w:type="dxa"/>
            <w:vAlign w:val="bottom"/>
            <w:gridSpan w:val="2"/>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1,215</w:t>
            </w: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5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r>
      <w:tr>
        <w:trPr>
          <w:trHeight w:val="230"/>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1,975</w:t>
            </w:r>
          </w:p>
        </w:tc>
      </w:tr>
      <w:tr>
        <w:trPr>
          <w:trHeight w:val="223"/>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580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42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2"/>
          </w:tcPr>
          <w:p>
            <w:pPr>
              <w:jc w:val="right"/>
              <w:ind w:right="4130"/>
              <w:spacing w:after="0"/>
              <w:rPr>
                <w:sz w:val="20"/>
                <w:szCs w:val="20"/>
                <w:color w:val="auto"/>
              </w:rPr>
            </w:pPr>
            <w:r>
              <w:rPr>
                <w:rFonts w:ascii="Times New Roman" w:cs="Times New Roman" w:eastAsia="Times New Roman" w:hAnsi="Times New Roman"/>
                <w:sz w:val="18"/>
                <w:szCs w:val="18"/>
                <w:color w:val="auto"/>
              </w:rPr>
              <w:t>F-22</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2025</w:t>
            </w: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3040" w:type="dxa"/>
            <w:vAlign w:val="bottom"/>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8"/>
              </w:rPr>
              <w:t>1,287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2,365</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tax payable</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Excise tax payable</w:t>
            </w: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tax payable</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w:t>
            </w: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legal costs</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15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15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r>
      <w:tr>
        <w:trPr>
          <w:trHeight w:val="223"/>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ind w:right="13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 million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18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Parabolic and GEM, dated December 13, 2023, and (ii) terminate the share repurchase agreement, dated May 27, 2022, by and among the Company and GEM, and (b) the Company</w:t>
      </w:r>
    </w:p>
    <w:p>
      <w:pPr>
        <w:spacing w:after="0" w:line="2" w:lineRule="exact"/>
        <w:rPr>
          <w:sz w:val="20"/>
          <w:szCs w:val="20"/>
          <w:color w:val="auto"/>
        </w:rPr>
      </w:pPr>
    </w:p>
    <w:p>
      <w:pPr>
        <w:jc w:val="both"/>
        <w:ind w:right="20" w:firstLine="8"/>
        <w:spacing w:after="0" w:line="255" w:lineRule="auto"/>
        <w:tabs>
          <w:tab w:leader="none" w:pos="21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 of $1.0 million, payable in monthly installments of $100 beginning on March 1, 2024, with the final payment to be made on December 1, 2024 (the “GEM Promissory Note”). The Company paid GEM the $1.2 million in cash in February 2024.</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condensed consolidated balance sheets.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issued an aggregate of 95 shares of Class A Common Stock to GEM in lieu of monthly payment obligations and during the three months ended March 31, 2025 the Company paid an aggregate of $215 to satisfy the remaining balance of the GEM Promissory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for further details on the SEPA), Yorkville agreed to advance to the Company, in exchange for convertible promissory notes, an aggregate principal amount of up to $3.5 million, $2.0 million of which was funded at the Closing in exchange for the issuance by the Company of a Convertible Promissory Note (the “December Yorkville Convertible Note”). The Company received net proceeds of $1.8 million after a non-cash original issue discount of $200.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 million (the “Additional Pre-Paid Advance Amount”), for an aggregate principal amount of $4.5 million to be advanced by Yorkville to the Company in the form of convertible promissory notes. On February 5, 2024 in exchange for a promissory note in the principal amount of $1.0 million (the “February Yorkville Promissory Note”), with the same terms as the December Yorkville Convertible Note, the Company received net proceeds of $900 after an original issue discount of $100.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 million (the “March Yorkville Promissory Note” and, together with the December Yorkville Convertible Note and February Yorkville Promissory Note, the “Yorkville Promissory Notes”), received net proceeds of $1,250 after an original issue discount of $250.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 million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 payment premium due in connection with an early redemption through the issuance of an Advance Notice for shares of Class A Common Stock (the “Q2 Prepayment Premium”). The Amended Debt Repayment Agreement was conditioned on the completion of the offering by May 29, 2024, which condition was satisfied upon the closing of the offering on May 28, 2024 (the “May 2024 Offering”).</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Amended Repayment Agreement, the Company made a cash principal payment of $750 on May 31, 2024 (the “Repayment Date”), and issued an Advance Notice for the purchase of 6 shares of Class A Common Stock (the “Premium Advance Shares”) (representing the number of shares the Company reasonably believed would be sufficient to result in net proceeds of $75 as of the Repayment Date) (the “Premium Advance”). The total purchase price for the Premium Advance was $110, of which $75 was applied in satisfaction of the Payment Premium, and the remaining $35 was paid by Yorkville to the Company in cash (the “Cash Surplus”). The Premium Advance Shares were recorded at fair value totaling $116 on the Repayment Date, and the excess of fair value over the Cash Surplus was recorded to the consolidated statement of operations in line Yorkville prepayment premium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$4,000.00 per share, and the maturity date for the Outstanding Promissory Notes is extended by 120 days to January 17,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Yorkville Promissory Notes have a maturity date (as modified by the Floor Price Reduction Agreement) of January 17, 2025, and accrue interest at 0% per annum, subject to an increase to 18% per annum upon events of default as defined in the agreement. As of June 30, 2026, no events of default have occurred.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 million, plus (y) 10% in respect of such amount, and (z) all outstanding accrued and unpaid interest as of each payment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January 2024, the Company’s stock price fell below the then in effect Floor Price (as defined in the Standby Equity Purchase Agreement disclosure in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of $4,000.00 per share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$588.00 per share of Class A Common Stock, thus curing the Amortization Event condition.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$2.0 million of the full outstanding principal under the December Yorkville Convertible Note, respectively, was converted into 138 shares of Class A Common stock of the Company. During the year ended December 31, 2024, the full principal amount of $1.0 million under the February Yorkville Promissory Note was converted into 25 Class A Common stock of the Company. During the year ended December 31, 2024, the full outstanding principal amount of $750 under the March Yorkville Promissory Note was converted into 75 shares of Class A Common Stock.</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January 30, 2025 (the “Issuance Date”), in connection with and pursuant to the terms of the SEPA (refer to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xml:space="preserve"> for further details), Yorkville agreed to advance to the Company, in exchange for a Convertible Promissory Note (the “January 2025 Yorkville Note”), a total principal amount of $3.5 million. The Company received net proceeds of $3,140 after an original issue discount of $350, and $10 in debt issuance costs paid to Yorkville.</w:t>
      </w:r>
    </w:p>
    <w:p>
      <w:pPr>
        <w:spacing w:after="0" w:line="17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January 2025 Yorkville Note had a maturity date of July 31, 2025, but may be extended at the option of the Company. Beginning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from the Issuance Date, and continuing on the same day of each successive calendar month thereafter, (each, an “Installment Date”), the Company shall repay a portion of the outstanding balance of the January 2025 Yorkville Note in an amount equal to the sum of (i) $1.0 million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 of which approximately $3,500 was applied against outstanding principal, and approximately $140 was paid to Yorkville as Payment Premiums and expensed as incurred. As of June 30, 2025, the January 2025 Yorkville Note was fully repaid.</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2025, the Company entered into a Convertible Promissory Note (the “September 2025 Yorkville Note”) with Yorkville in principal amount of $2.0 million (the “Original Principal Amount”) to the Company, to be used as an advance under the SEPA. The Company received $890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 million, less 10% discount of the Original Principal Amount, netted from the purchase price due and structured as a purchase discount (“Advance #2”).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September 2025 Yorkville Note was issued on September 16, 2025 and the maturity date of the September 2025 Yorkville Note is March 16, 2026, but may be extended at the option of the Company. Beginning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from the date of issuance, and continuing on the same day of each successive calendar month thereafter, (each, an “Installment Date”), the Company shall repay a portion of the outstanding balance of the Note in an amount equal to the sum of (i) $500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$500.00 per share (the “Conversion Price”). The Investor may elect to convert part or all of the outstanding balance of the September 2025 Yorkville Note at any time or from time 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6, 2025, the Company issued an Advance Notice to Yorkville pursuant to the SEPA in which the Company requested the purchase of 575 shares of the Company’s Class A Common Stock at a purchase price of $616.00 for a total purchase price of $354 to be applied against the outstanding Yorkville Convertible Notes. Upon settlement on October 8, 2025, the Company issued 575 shares of Class A Common Stock to Yorkville.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2025, the Company issued an Advance Notice to Yorkville pursuant to the SEPA in which the Company requested the purchase of 325 shares of the Company’s Class A Common Stock at a purchase price of $590.00 for a total purchase price of $191 to be applied against the outstanding Yorkville Convertible Notes. Upon settlement on October 15, 2025, the Company issued 325 shares of Class A Common Stock to Yorkville.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April 24, 2026 and May 6, 2026, the Company issued Advance Notices to Yorkville pursuant to the SEPA in which the Company requested the purchase of approximately 15,500 shares of the Company’s Class A Common Stock at an aggregate gross value of approximately $896, and net proceeds of approximately $368 were applied against the outstanding Yorkville Convertible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Convertible notes - related party (CP BF)</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conversion price, which was $500.00 per unit at June 30, 2026. If not sooner converted or prepaid, the Convertible Note principal together with accrued and unpaid interest thereon, unpaid fees and expenses and any other Obligations then due, shall be paid on the Loan Maturity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2022 the Loan Agreement was amended, where CP BF waived payment by the Company of four months of cash interest with respect to the Term Note in replacement for a Convertible Note (“First Amendment Convertible Note”) in the principal amount of $321, which is not considered an Additional Loan as defined above. The First Amendment Convertible Note has the same features as the Convertible Note described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rate for the Term Note was 16% and interest expense totaled $851 for the year ended December 31, 2024, comprised of $773 of contractual interest and $79 of amortization of the discount. The effective interest rate for the CP BF Convertible Note and First Amendment Convertible Note was 16% for the year ended December 31, 2024. For the year ended December 31, 2024, interest expense on the Convertible Notes totaled $350 comprised of $326 of contractual interest and $25 for the amortization of the discount.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 (CP BF restructuring)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treated the Old CP BF Notes as extinguished and recognized a loss on debt extinguishment of $6.5 million,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conjunction with the side letter, the Company agreed to issue to CP BF, 35 shares of the Company’s Class A Common Stock. On September 23, 2024 the transaction was finalized and the Company issued the 2024 CP BF Convertible Note with a principal amount of $10.8 million.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$7,780.00. Upon the occurrence, and during the continuance, of an Event of Default (as defined in the agreement), interest on the 2024 CP BF Convertible Note will bear PIK interest at a per annum rate of 20% (“2024 Default Rate.”)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2024 CP BF Convertible Note has an embedded redemption put feature upon a Prepayment and Default Interest triggering events. For further discussion of this derivative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CP BF exercised its optional conversion option in which it received 28 Class A Common Stock at the fixed conversion price per share of $7,780.00 in satisfaction of $216 of the Company’s obligations under the 2024 CP BF Convertible Note.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 million in debt into 131 shares of Class A Common Stock, CP BF Warrants to purchase up to 284 shares of Class A Common Stock and CP BF Pre-Funded Warrants to purchase up to 152 shares of Class A Common Stock (all such securities and shares collectively referred to as the “CP BF Registrable Securities”). The CP BF Warrant can be exercised at an initial exercise price of $7,780.00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1,156 shares of Class B Common Stock that he owns until such time as CP BF no longer owns any of the CP BF Registrable Securities.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 million. For the year ended December 31, 2025, the Company paid a total of $2,840 which satisfied outstanding principal under the 2024 CP BF Convertible Note.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interest rate for the 2024 CP BF Convertible Note was approximately 15.4% as of June 30, 2026. Interest expense on the 2024 CP BF Convertible Note totaled $194 and $396 for the three and six months ended June 30, 2026,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 June 30, 2026 and December 31,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June 30, 2026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Pr>
          <w:p>
            <w:pPr>
              <w:spacing w:after="0"/>
              <w:rPr>
                <w:sz w:val="19"/>
                <w:szCs w:val="19"/>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1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Debt premium, net</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1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made</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(5,012)</w:t>
            </w:r>
          </w:p>
        </w:tc>
      </w:tr>
      <w:tr>
        <w:trPr>
          <w:trHeight w:val="230"/>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 - October 2025</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 million against the Balance until the earlier of (a) 60 days following the date of the CP BF Letter Agreement and (b) receipt of $10.0 million in gross proceeds from the sale of Company securities, the Company will no longer be required to prepay a certain percentage of other proceeds received from securities offerings to CP BF, as stipulated in the Loan Agreement.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 million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failure to comply with the Letter Agreement shall constitute an Event of Default under the Loan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CP BF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17, 2025 and December 31, 2025, CP BF exercised its optional conversion option multiple times and received an aggregate of 314 shares of Class A Common Stock at conversion prices per share ranging from $542.00 to $550.00 in satisfaction of $165 of the Company’s obligations under the 2024 CP BF Convertible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 - May 2026</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Conversion Price of CP BF Convertible Note was proportionately adjusted to reflect the Reverse Stock Split effective at the close of business on May 8, 2026, pursuant to Section 2.3(a)(i) of the Note. On May 15, 2026, the Company, the Guarantors and CP BF entered into a letter agreement (the “Floor Price Amendment”), further amending the Loan Agreement and the Note. Pursuant to the Floor Price Amendment, the Floor Price applicable to the Conversion Price under the Note was reduced from $500.00 (as adjusted for the Reverse Stock Split) to $45.00 (on a post-Reverse Stock Split basis). For the avoidance of doubt, the Conversion Price remains equal to 95% of the price of the Class A Common Stock on the Trading Day immediately preceding delivery of any Conversion Notice, subject to the Floor Price as amended by the Floor Price Amendment.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carried at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Agile Term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$788 and received net proceeds of $750, after administrative agent fees of $38 paid to Agile Funding, with a maturity date of February 5, 2025. The July Agile Note bears interest at a rate of 42%.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$263 and received net proceeds of $250, after administrative agent fees of $13 paid to Agile Funding, with a maturity date of March 3, 2025. The September Agile Note bears interest at a rate of 48%.</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 and received net proceeds of $1,782, after administrative agent fees of $120 paid to Agile Funding, and net of payments to Agile of $320 and $178 in respect to early prepayment of the remaining outstanding balances of the July Agile Note and September Agile Note. The December Agile Note has a maturity date of July 10,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 and received net proceeds of $2,044, after administrative agent fees of $200 paid to Agile Funding, and net of payments to Agile of $1,756 in respect to early prepayment of the remaining outstanding balances of the December Agile Note. The March Agile Note has a maturity date of November 12,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$1,770.</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June 12, 2025, the Company issued a subordinated secured promissory note (the “June Agile Note”) for an aggregate principal amount of $263 and received net proceeds of $250, after administrative agent fees of $13 paid to Agile Funding. The June Agile note has a maturity date of December 15, 2025 and bears interest at a rate of 48%.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30, 2026, the Company issued a subordinated secured promissory note (the “March 2026 Agile Note”) for an aggregate principal amount of $90 and received net proceeds of $85, after administrative agent fees of $5 paid to Agile Funding. The March 2026 Agile note has a maturity date of October 27, 2026 and bears interest at a rate of 44%.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July Agile Note, the September Agile Note, the December Agile Note, the March Agile Note, June Agile Note, and the March 2026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issuance of the March Agile Note, the Company entered into a series of exchange and forbearance arrangements with Agile and Agile Funding, relating to the outstanding balance of the March Agile Note.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11, 2025, the remaining principal and accrued and unpaid interest under the March Agile Note was approximately $1,495.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$633.</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2025, the Company entered into an exchange agreement with Agile (“Agile Exchange Agreement”) pursuant to which the Company issued 1,164 shares of its Class A common stock in exchange for a reduction of $284 in the outstanding balance of the March Agile Note. Following this exchange, the outstanding balance of the March Agile Note was reduced to approximately $1,839.</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Between January 27, 2026 and June 25, 2026, the Company entered into multiple exchange agreements with Agile on substantially similar terms as the Agile Exchange Agreement pursuant to which the Company issued an aggregate of 30,345 shares of its Class A common stock at conversion prices per share ranging from $29.50 to $236.00 in exchange for a reduction of $1,839 in the outstanding balance of the March Agile Note. Following these exchanges, the outstanding balance of the March Agile Note was fully extinguished.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the Agile Notes totaled $17 and $450 for the three and six months ended June 30, 2026, respectively.</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presents the Agile Notes for the six months ended June 30, 2026:</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8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Agile Term Notes</w:t>
            </w:r>
          </w:p>
        </w:tc>
      </w:tr>
      <w:tr>
        <w:trPr>
          <w:trHeight w:val="210"/>
        </w:trPr>
        <w:tc>
          <w:tcPr>
            <w:tcW w:w="8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Issuance of Agile term notes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(1,897)</w:t>
            </w:r>
          </w:p>
        </w:tc>
      </w:tr>
      <w:tr>
        <w:trPr>
          <w:trHeight w:val="229"/>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63"/>
        </w:trPr>
        <w:tc>
          <w:tcPr>
            <w:tcW w:w="8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2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22"/>
                <w:szCs w:val="22"/>
                <w:color w:val="auto"/>
              </w:rPr>
            </w:pPr>
          </w:p>
        </w:tc>
      </w:tr>
      <w:tr>
        <w:trPr>
          <w:trHeight w:val="197"/>
        </w:trPr>
        <w:tc>
          <w:tcPr>
            <w:tcW w:w="8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9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tc>
        <w:tc>
          <w:tcPr>
            <w:tcW w:w="4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as of June 30, 2026</w:t>
            </w:r>
          </w:p>
        </w:tc>
        <w:tc>
          <w:tcPr>
            <w:tcW w:w="4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Convertible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 and received net proceeds of $152, after an original issue discount of $24 and issuance costs of $8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net proceeds of $100, after an original discount of $16 and issuance costs of $8 for due diligence and legal fees. The September 1800 Diagonal Note has a maturity date of July 30, 2025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exercised its conversion option under the September 1800 Diagonal Note. On the conversion date, the September 1800 Diagonal Note had a fair value of $17 and converted into 35 shares of the Company’s Class A Common Stock in satisfaction of $17 of the Company’s obligations under the September 1800 Diagonal Note.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 and received net proceeds of $100, after an original discount of $16 and issuance costs of $8 for due diligence and legal fees. The December 1800 Diagonal Note has a maturity date of October 15, 2025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22, 2025, the Company exercised its conversion option under the December 1800 Diagonal Note. On the conversion date, the December 1800 Diagonal Note had a fair value of $58 and converted into 100 shares of the Company’s Class A Common Stock in satisfaction of $52 of the Company’s obligations under the December 1800 Diagonal Note.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7, 2025, the Company issued a fourth promissory note (the “February 1800 Diagonal Note”) for an aggregate principal amount of $124 and received net proceeds of $100, after an original discount of $16 and issuance costs of $8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$81 and converted into 164 shares of the Company’s Class A Common Stock in satisfaction of $70 of the Company’s obligations under the February 1800 Diagonal Note.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2025, the Company issued a fifth promissory note (the “April 1800 Diagonal Note”) for an aggregate principal amount of $230 and received net proceeds of $192, after an original discount of $30 and issuance costs of $8 for due diligence and legal fees. The April 1800 Diagonal Note has a maturity date of February 15, 2026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21, 2025 and October 27, 2025, the Lender exercised its conversion option multiple times under the April 1800 Diagonal Note and received an aggregate of 702 shares of Class A Common Stock at conversion prices per share ranging from $338.00 to $412.00 in full satisfaction of the Company’s remaining obligations under the April 1800 Diagonal Note totaling $265.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9, 2025, the Company issued a sixth promissory note (the “May 1800 Diagonal Note”) for an aggregate principal amount of $163 and received net proceeds of $135, after an original discount of $21 and issuance costs of $7 for due diligence and legal fees. The May 1800 Diagonal Note has a maturity date of February 15, 2026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issued a seventh promissory note (the “July 1800 Diagonal Note”) for an aggregate principal amount of $296 and received net proceeds of $250, after an original discount of $39 and issuance costs of $7 for due diligence and legal fees. The July 1800 Diagonal Note has a maturity date of May 30, 2026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26, 2026 and January 27, 2026, the Lender exercised its conversion option multiple times under the July 1800 Diagonal Note and received an aggregate of 2,005 shares of Class A Common Stock at conversion prices per share ranging from $165.00 to $180.00 in full satisfaction of the Company’s remaining obligations under the July 1800 Diagonal Note totaling $331.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2025, the Company issued an eighth promissory note (the “September 2025 1800 Diagonal Note”) for an aggregate principal amount of $152 and received net proceeds of $125, after an original discount of $20 and issuance costs of $7 for due diligence and legal fees. The September 2025 1800 Diagonal Note has a maturity date of June 15, 2026 and bears interest at 14% per annum.</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19, 2026, the Lender exercised its conversion option under the July 1800 Diagonal Note and received 377 shares of Class A Common Stock at a conversion price per share of $147.45 in full satisfaction of the Company’s remaining obligations under the July 1800 Diagonal Note totaling $54.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2025, the Company issued a ninth promissory note (the “November 1800 Diagonal Note”) for an aggregate principal amount of $238 and received net proceeds of $200, after an original discount of $31 and issuance costs of $7 for due diligence and legal fees. The November 1800 Diagonal Note has a maturity date of July 30, 2026 and bears interest at 14%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3, 2025, the Company issued a tenth promissory note (the “December 2025 1800 Diagonal Note”) for an aggregate principal amount of $94 and received net proceeds of $75, after an original discount of $12 and issuance costs of $7 for due diligence and legal fees. The December 2025 1800 Diagonal Note has a maturity date of August 30, 2026 and bears interest at 14%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January 12, 2026, the Company issued an eleventh promissory note (the “1800 Diagonal Note #11”) for an aggregate principal amount of $296 and received net proceeds of $250, after an original discount of $39 and issuance costs of $7 for due diligence and legal fees. The 1800 Diagonal Note #11 has a maturity date of October 15, 2026 and bears interest at 14% per annum.</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17, 2026, the Company issued a twelfth promissory note (the “1800 Diagonal Note #12”) for an aggregate principal amount of $181 and received net proceeds of $150, after an original discount of $24 and issuance costs of $7 for due diligence and legal fees. The 1800 Diagonal Note #12 has a maturity date of December 15, 2026 and bears interest at 14% per annum.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4, 2026, the Company issued the thirteenth promissory note (the “1800 Diagonal Note #13”) for an aggregate principal amount of approximately $206 and received net proceeds of approximately $150, after discount and transaction fees. The note has a maturity date of January 30, 2027, and bears interest at 14%.</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Between May 5, 2026 and May 11, 2026, the Lender exercised its contractual conversion option multiple times under the November 1800 Diagonal Note and September 1800 Diagonal Note and received an aggregate of approximately 4 thousand shares of Class A Common Stock at conversion prices ranging from $33.03 to $45.20 in satisfaction of approximately $136 thousand of the Company’s obligations under the respective Notes.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August, September, December, February, April, May, July, September 2025, November, December 2025, Note #11, Note #12 and Note #13 described above are together referred to as the “1800 Diagonal Notes.” Interest on the 1800 Diagonal Notes accrues commencing on and including the issuance date pursuant to the respective agreement’s repayment and amortization schedule.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1800 Diagonal Notes totaled approximately $57 and $172 for the three and six months ended June 30, 2026,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1800 Diagonal Notes for the six months ended June 30, 2026:</w:t>
            </w: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8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1800 Diagonal</w:t>
            </w:r>
          </w:p>
        </w:tc>
      </w:tr>
      <w:tr>
        <w:trPr>
          <w:trHeight w:val="210"/>
        </w:trPr>
        <w:tc>
          <w:tcPr>
            <w:tcW w:w="8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184</w:t>
            </w:r>
          </w:p>
        </w:tc>
      </w:tr>
      <w:tr>
        <w:trPr>
          <w:trHeight w:val="229"/>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r>
      <w:tr>
        <w:trPr>
          <w:trHeight w:val="223"/>
        </w:trPr>
        <w:tc>
          <w:tcPr>
            <w:tcW w:w="8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1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tc>
        <w:tc>
          <w:tcPr>
            <w:tcW w:w="1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619</w:t>
            </w:r>
          </w:p>
        </w:tc>
      </w:tr>
      <w:tr>
        <w:trPr>
          <w:trHeight w:val="234"/>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as of June 30, 2026</w:t>
            </w: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 million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2,121 shares of Common Stock (the “Financial Advisor Warrants,” together with the Buyer Warrants, the “Private Placement Warrants”). Refer to </w:t>
      </w:r>
      <w:r>
        <w:rPr>
          <w:rFonts w:ascii="Times New Roman" w:cs="Times New Roman" w:eastAsia="Times New Roman" w:hAnsi="Times New Roman"/>
          <w:sz w:val="18"/>
          <w:szCs w:val="18"/>
          <w:i w:val="1"/>
          <w:iCs w:val="1"/>
          <w:color w:val="auto"/>
        </w:rPr>
        <w:t>Note 14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for further description of the Warrants issued in the Private Placement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October 8, 2025, and February 13, 2026 and the Company issued additional notes and warrants (the “August 3i Note” and the “August Warrant,” the “October 3i Note” and the “October Warrant,” and the “February 3i Note” and “February Warrant,” respectively). The following table presents the maturity date, the original principal amount, the net proceeds received by the Company after original issue discount (“OID”)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340" w:type="dxa"/>
            <w:vAlign w:val="bottom"/>
            <w:tcBorders>
              <w:bottom w:val="single" w:sz="8" w:color="auto"/>
            </w:tcBorders>
            <w:gridSpan w:val="12"/>
          </w:tcPr>
          <w:p>
            <w:pPr>
              <w:ind w:left="720"/>
              <w:spacing w:after="0"/>
              <w:rPr>
                <w:sz w:val="20"/>
                <w:szCs w:val="20"/>
                <w:color w:val="auto"/>
              </w:rPr>
            </w:pPr>
            <w:r>
              <w:rPr>
                <w:rFonts w:ascii="Times New Roman" w:cs="Times New Roman" w:eastAsia="Times New Roman" w:hAnsi="Times New Roman"/>
                <w:sz w:val="18"/>
                <w:szCs w:val="18"/>
                <w:b w:val="1"/>
                <w:bCs w:val="1"/>
                <w:color w:val="auto"/>
              </w:rPr>
              <w:t>Private Placement Convertible Notes</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tc>
      </w:tr>
      <w:tr>
        <w:trPr>
          <w:trHeight w:val="187"/>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Initial</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Buyer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Buyer</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Note Issued</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Proceeds</w:t>
            </w:r>
          </w:p>
        </w:tc>
        <w:tc>
          <w:tcPr>
            <w:tcW w:w="14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6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Warrant</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4"/>
              </w:rPr>
              <w:t>by</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18"/>
                <w:szCs w:val="18"/>
                <w:color w:val="auto"/>
              </w:rPr>
            </w:pPr>
          </w:p>
        </w:tc>
        <w:tc>
          <w:tcPr>
            <w:tcW w:w="11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Received</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Issued by</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Issued by</w:t>
            </w:r>
          </w:p>
        </w:tc>
        <w:tc>
          <w:tcPr>
            <w:tcW w:w="16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6"/>
        </w:trPr>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20" w:type="dxa"/>
            <w:vAlign w:val="bottom"/>
          </w:tcPr>
          <w:p>
            <w:pPr>
              <w:spacing w:after="0"/>
              <w:rPr>
                <w:sz w:val="18"/>
                <w:szCs w:val="18"/>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of the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by the</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6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Floor Price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16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 per</w:t>
            </w:r>
          </w:p>
        </w:tc>
      </w:t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Closing Date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of the Note</w:t>
            </w:r>
          </w:p>
        </w:tc>
        <w:tc>
          <w:tcPr>
            <w:tcW w:w="120" w:type="dxa"/>
            <w:vAlign w:val="bottom"/>
          </w:tcPr>
          <w:p>
            <w:pPr>
              <w:spacing w:after="0"/>
              <w:rPr>
                <w:sz w:val="20"/>
                <w:szCs w:val="20"/>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60" w:type="dxa"/>
            <w:vAlign w:val="bottom"/>
          </w:tcPr>
          <w:p>
            <w:pPr>
              <w:spacing w:after="0"/>
              <w:rPr>
                <w:sz w:val="20"/>
                <w:szCs w:val="20"/>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 w:type="dxa"/>
            <w:vAlign w:val="bottom"/>
          </w:tcPr>
          <w:p>
            <w:pPr>
              <w:spacing w:after="0"/>
              <w:rPr>
                <w:sz w:val="20"/>
                <w:szCs w:val="20"/>
                <w:color w:val="auto"/>
              </w:rPr>
            </w:pPr>
          </w:p>
        </w:tc>
        <w:tc>
          <w:tcPr>
            <w:tcW w:w="12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191"/>
        </w:trPr>
        <w:tc>
          <w:tcPr>
            <w:tcW w:w="10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June</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1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3i Note</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2,200</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198"/>
        </w:trPr>
        <w:tc>
          <w:tcPr>
            <w:tcW w:w="1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August 19,</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August 3i</w:t>
            </w:r>
          </w:p>
        </w:tc>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August</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19, 2026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1,762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2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198"/>
        </w:trPr>
        <w:tc>
          <w:tcPr>
            <w:tcW w:w="12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October 8,</w:t>
            </w:r>
          </w:p>
        </w:tc>
        <w:tc>
          <w:tcPr>
            <w:tcW w:w="12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October 3i</w:t>
            </w:r>
          </w:p>
        </w:tc>
        <w:tc>
          <w:tcPr>
            <w:tcW w:w="11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October 8,</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October</w:t>
            </w: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2,011</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198"/>
        </w:trPr>
        <w:tc>
          <w:tcPr>
            <w:tcW w:w="1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February 13,</w:t>
            </w:r>
          </w:p>
        </w:tc>
        <w:tc>
          <w:tcPr>
            <w:tcW w:w="12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February 3i</w:t>
            </w:r>
          </w:p>
        </w:tc>
        <w:tc>
          <w:tcPr>
            <w:tcW w:w="1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February</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February</w:t>
            </w: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Pr>
          <w:p>
            <w:pPr>
              <w:spacing w:after="0"/>
              <w:rPr>
                <w:sz w:val="21"/>
                <w:szCs w:val="21"/>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Note</w:t>
            </w: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13, 2027</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2,333</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1,879</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222.00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50.80</w:t>
            </w:r>
          </w:p>
        </w:tc>
        <w:tc>
          <w:tcPr>
            <w:tcW w:w="220" w:type="dxa"/>
            <w:vAlign w:val="bottom"/>
          </w:tcPr>
          <w:p>
            <w:pPr>
              <w:spacing w:after="0"/>
              <w:rPr>
                <w:sz w:val="21"/>
                <w:szCs w:val="21"/>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222.00</w:t>
            </w:r>
          </w:p>
        </w:tc>
      </w:tr>
      <w:tr>
        <w:trPr>
          <w:trHeight w:val="223"/>
        </w:trPr>
        <w:tc>
          <w:tcPr>
            <w:tcW w:w="1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9,233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Private Placement Convertible Notes were issued with an OID of 10.0% and accrue interest at a rate of 10.0% per annum. The net proceeds received by the Company are after the OID and issuance fees and costs, financial advisory fees and estimated offering expenses. The Private Placement Convertible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Convertible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as per the terms of the Notes and Warrants, the conversion price and exercise price was adjusted to $25.00. On October 10, 2025, the Company and 3i, LP entered into a consent and waiver agreement (the “Waiver”) on certain terms of the Purchase Agreement (as defined in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condensed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unaudited condensed consolidated statements of operations and comprehensive loss statement in a single line item.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August 12, 2025 and October 22, 2025, the Buyer exercised its contractual conversion options multiple times under the June 3i Note and received an aggregate of 3,082 shares of Class A Common Stock at conversion prices per share ranging from $382.00 to $516.00 in full satisfaction of the Company’s remaining obligations under the June 3i Note totaling $1,420.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September 10, 2025 and October 14, 2025, the Buyer exercised its contractual conversion option multiple times under the August 3i Note and received an aggregate of 3,088 shares of Class A Common Stock at conversion prices per share ranging from $382.00 to $484.00 in satisfaction of $1,412 of the Company’s obligations under the August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16, 2025 and December 11, 2025, the Buyer exercised its contractual conversion option multiple times under the October 3i Note and received an aggregate of 6,658 shares of Class A Common Stock at conversion prices per share ranging from $206.00 to $500.00 in satisfaction of $1,677 of the Company’s obligations under the October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7, 2026 and February 10, 2026, the Buyer exercised its contractual conversion option multiple times under the August 3i Note and received an aggregate of 3,667 shares of Class A Common Stock at a conversion price per share of $222.00 in satisfaction of $807 of the Company’s obligations under the August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8, 2026 and February 19, 2026, the Buyer exercised its contractual conversion option multiple times under the October 3i Note and received an aggregate of 6,076 shares of Class A Common Stock at conversion prices per share ranging from $172.0 to $204.00 in satisfaction of $1,073 of the Company’s obligations under the October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March 2, 2026 and March 25, 2026, the Buyer exercised its contractual conversion option multiple times under the February 3i Note and received an aggregate of 4,637 shares of Class A Common Stock at conversion prices per share ranging from $166.00 to $196.00 in satisfaction of $856 of the Company’s obligations under the October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April 2, 2026 and May 12, 2026, the Buyer exercised its contractual conversion option multiple times under the February 3i Note and received an aggregate of approximately 15 thousand shares of Class A Common Stock at conversion prices per share ranging from $50.80 to $153.90 in satisfaction of approximately $1.2 million of the Company’s obligations under the respective Notes.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the Private Placement Convertible Notes totaled approximately $19 and $201 for the three and six months ended June 30, 2026,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7720" w:type="dxa"/>
            <w:vAlign w:val="bottom"/>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8"/>
        </w:trPr>
        <w:tc>
          <w:tcPr>
            <w:tcW w:w="1280" w:type="dxa"/>
            <w:vAlign w:val="bottom"/>
          </w:tcPr>
          <w:p>
            <w:pPr>
              <w:spacing w:after="0"/>
              <w:rPr>
                <w:sz w:val="18"/>
                <w:szCs w:val="18"/>
                <w:color w:val="auto"/>
              </w:rPr>
            </w:pPr>
          </w:p>
        </w:tc>
        <w:tc>
          <w:tcPr>
            <w:tcW w:w="772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Unaudited Notes to Condensed Consolidated Financial Statements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1280" w:type="dxa"/>
            <w:vAlign w:val="bottom"/>
          </w:tcPr>
          <w:p>
            <w:pPr>
              <w:spacing w:after="0"/>
              <w:rPr>
                <w:sz w:val="20"/>
                <w:szCs w:val="20"/>
                <w:color w:val="auto"/>
              </w:rPr>
            </w:pPr>
          </w:p>
        </w:tc>
        <w:tc>
          <w:tcPr>
            <w:tcW w:w="7720" w:type="dxa"/>
            <w:vAlign w:val="bottom"/>
          </w:tcPr>
          <w:p>
            <w:pPr>
              <w:jc w:val="center"/>
              <w:ind w:left="870"/>
              <w:spacing w:after="0"/>
              <w:rPr>
                <w:sz w:val="20"/>
                <w:szCs w:val="20"/>
                <w:color w:val="auto"/>
              </w:rPr>
            </w:pPr>
            <w:r>
              <w:rPr>
                <w:rFonts w:ascii="Times New Roman" w:cs="Times New Roman" w:eastAsia="Times New Roman" w:hAnsi="Times New Roman"/>
                <w:sz w:val="18"/>
                <w:szCs w:val="18"/>
                <w:i w:val="1"/>
                <w:iCs w:val="1"/>
                <w:color w:val="auto"/>
                <w:w w:val="99"/>
              </w:rPr>
              <w:t>(Dollar amounts in thousands unless otherwise stated, except share and per share data)</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Private Placement Convertible Notes as of June 30, 2026: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3i, LP Notes</w:t>
            </w:r>
          </w:p>
        </w:tc>
      </w:tr>
      <w:tr>
        <w:trPr>
          <w:trHeight w:val="210"/>
        </w:trPr>
        <w:tc>
          <w:tcPr>
            <w:tcW w:w="9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Private Placement Convertible Notes</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2,121</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1,039</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w:t>
            </w:r>
          </w:p>
        </w:tc>
      </w:tr>
      <w:tr>
        <w:trPr>
          <w:trHeight w:val="230"/>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(3,963)</w:t>
            </w:r>
          </w:p>
        </w:tc>
      </w:tr>
      <w:tr>
        <w:trPr>
          <w:trHeight w:val="263"/>
        </w:trPr>
        <w:tc>
          <w:tcPr>
            <w:tcW w:w="9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as of June 30, 2026</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Borders>
              <w:bottom w:val="single" w:sz="8" w:color="CCEEFF"/>
            </w:tcBorders>
          </w:tcPr>
          <w:p>
            <w:pPr>
              <w:spacing w:after="0"/>
              <w:rPr>
                <w:sz w:val="22"/>
                <w:szCs w:val="22"/>
                <w:color w:val="auto"/>
              </w:rPr>
            </w:pPr>
          </w:p>
        </w:tc>
      </w:tr>
      <w:tr>
        <w:trPr>
          <w:trHeight w:val="197"/>
        </w:trPr>
        <w:tc>
          <w:tcPr>
            <w:tcW w:w="1280" w:type="dxa"/>
            <w:vAlign w:val="bottom"/>
            <w:shd w:val="clear" w:color="auto" w:fill="CCEEFF"/>
          </w:tcPr>
          <w:p>
            <w:pPr>
              <w:spacing w:after="0"/>
              <w:rPr>
                <w:sz w:val="17"/>
                <w:szCs w:val="17"/>
                <w:color w:val="auto"/>
              </w:rPr>
            </w:pPr>
          </w:p>
        </w:tc>
        <w:tc>
          <w:tcPr>
            <w:tcW w:w="7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tc>
        <w:tc>
          <w:tcPr>
            <w:tcW w:w="5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r>
      <w:tr>
        <w:trPr>
          <w:trHeight w:val="216"/>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as of June 30, 2026</w:t>
            </w:r>
          </w:p>
        </w:tc>
        <w:tc>
          <w:tcPr>
            <w:tcW w:w="5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Boot Capital Convertible Note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2025, the Company issued a promissory note (the “Boot Capital Note”) for an aggregate principal amount of $115 and received $100 of proceeds, net of an original discount of $15,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Boot Capital Note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Due to these embedded features, the Company elected to account for the Boot Capital Note at fair value pursuant to ASC 825. For further discussion of fair value,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Boot Capital Note totaled approximately $11 and $21 for the three and six months ended June 30, 2026,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Boot Capital Convertible Note as of June 30, 2026:</w:t>
      </w:r>
    </w:p>
    <w:p>
      <w:pPr>
        <w:spacing w:after="0" w:line="23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8"/>
          <w:szCs w:val="18"/>
          <w:b w:val="1"/>
          <w:bCs w:val="1"/>
          <w:color w:val="auto"/>
        </w:rPr>
        <w:t>Boot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as of June 30, 2026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Venture Issuance and Payoff</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80" w:type="dxa"/>
            <w:vAlign w:val="bottom"/>
            <w:tcBorders>
              <w:top w:val="single" w:sz="8" w:color="auto"/>
            </w:tcBorders>
            <w:gridSpan w:val="2"/>
          </w:tcPr>
          <w:p>
            <w:pPr>
              <w:jc w:val="right"/>
              <w:ind w:right="696"/>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116</w:t>
            </w:r>
          </w:p>
        </w:tc>
        <w:tc>
          <w:tcPr>
            <w:tcW w:w="60" w:type="dxa"/>
            <w:vAlign w:val="bottom"/>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4"/>
        </w:trPr>
        <w:tc>
          <w:tcPr>
            <w:tcW w:w="88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4"/>
                <w:szCs w:val="24"/>
                <w:color w:val="auto"/>
              </w:rPr>
            </w:pPr>
          </w:p>
        </w:tc>
      </w:tr>
      <w:tr>
        <w:trPr>
          <w:trHeight w:val="234"/>
        </w:trPr>
        <w:tc>
          <w:tcPr>
            <w:tcW w:w="880" w:type="dxa"/>
            <w:vAlign w:val="bottom"/>
            <w:gridSpan w:val="2"/>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602" w:lineRule="exact"/>
        <w:rPr>
          <w:sz w:val="20"/>
          <w:szCs w:val="20"/>
          <w:color w:val="auto"/>
        </w:rPr>
      </w:pPr>
    </w:p>
    <w:p>
      <w:pPr>
        <w:sectPr>
          <w:pgSz w:w="11900" w:h="16838" w:orient="portrait"/>
          <w:cols w:equalWidth="0" w:num="2">
            <w:col w:w="8500" w:space="720"/>
            <w:col w:w="2020"/>
          </w:cols>
          <w:pgMar w:left="320" w:top="216" w:right="339" w:bottom="1440" w:gutter="0" w:footer="0" w:header="0"/>
          <w:type w:val="continuous"/>
        </w:sectPr>
      </w:pP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2026, the Company executed a promissory note (“Venture Note”) for an aggregate principal amount of approximately $487 and on April 8, 2026 received net proceeds of approximately $333, after discount and transaction fees. The note has a maturity date of August 18, 2026, and bears interest at 198.5% per annum. The Company paid off this note on May 6, 2026. Interest expense on the Venture Note totaled approximately $110 and $110 for the three and six months ended June 30, 2026, respectively.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TVT Capital Promissory Note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the Company executed a promissory note (“TVT Note”) for an aggregate principal amount of approximately $834 and received net proceeds of approximately $579, after discount and transaction fees. The note has a maturity date of January 5, 2027, and bears interest at 106.71% per annum.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TVT Note totaled approximately $58 and $58 for the three and six months ended June 30, 2026, respectively.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TVT Capital Promissory Note as of June 30, 2026:</w:t>
      </w:r>
    </w:p>
    <w:p>
      <w:pPr>
        <w:spacing w:after="0" w:line="235"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b w:val="1"/>
          <w:bCs w:val="1"/>
          <w:color w:val="auto"/>
        </w:rPr>
        <w:t>TVT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December 31, 2025</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Issuance of term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Loss on debt issuance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Repayments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balance as of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as of June 30,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Warrant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840" w:type="dxa"/>
            <w:vAlign w:val="bottom"/>
            <w:tcBorders>
              <w:top w:val="single" w:sz="8" w:color="auto"/>
            </w:tcBorders>
            <w:gridSpan w:val="2"/>
          </w:tcPr>
          <w:p>
            <w:pPr>
              <w:jc w:val="right"/>
              <w:ind w:right="656"/>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4"/>
        </w:trPr>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4"/>
        </w:trPr>
        <w:tc>
          <w:tcPr>
            <w:tcW w:w="84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w:t>
            </w:r>
          </w:p>
        </w:tc>
        <w:tc>
          <w:tcPr>
            <w:tcW w:w="40" w:type="dxa"/>
            <w:vAlign w:val="bottom"/>
          </w:tcPr>
          <w:p>
            <w:pPr>
              <w:spacing w:after="0"/>
              <w:rPr>
                <w:sz w:val="24"/>
                <w:szCs w:val="24"/>
                <w:color w:val="auto"/>
              </w:rPr>
            </w:pPr>
          </w:p>
        </w:tc>
      </w:tr>
      <w:tr>
        <w:trPr>
          <w:trHeight w:val="234"/>
        </w:trPr>
        <w:tc>
          <w:tcPr>
            <w:tcW w:w="840" w:type="dxa"/>
            <w:vAlign w:val="bottom"/>
            <w:gridSpan w:val="2"/>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034" w:lineRule="exact"/>
        <w:rPr>
          <w:sz w:val="20"/>
          <w:szCs w:val="20"/>
          <w:color w:val="auto"/>
        </w:rPr>
      </w:pPr>
    </w:p>
    <w:p>
      <w:pPr>
        <w:sectPr>
          <w:pgSz w:w="11900" w:h="16838" w:orient="portrait"/>
          <w:cols w:equalWidth="0" w:num="2">
            <w:col w:w="8500" w:space="720"/>
            <w:col w:w="2020"/>
          </w:cols>
          <w:pgMar w:left="320" w:top="229" w:right="339" w:bottom="1440" w:gutter="0" w:footer="0" w:header="0"/>
          <w:type w:val="continuous"/>
        </w:sectPr>
      </w:pP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Public Warrants in the Merger, exercisable into 115 shares of Common Stock of the Company, and which remained outstanding as of June 30, 2026. The Public Warrants have an exercise price of $1,150,000.00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$1,800,000.00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$1,000.00 per Warrant;</w:t>
      </w:r>
    </w:p>
    <w:p>
      <w:pPr>
        <w:spacing w:after="0" w:line="225" w:lineRule="exact"/>
        <w:rPr>
          <w:rFonts w:ascii="Times New Roman" w:cs="Times New Roman" w:eastAsia="Times New Roman" w:hAnsi="Times New Roman"/>
          <w:sz w:val="18"/>
          <w:szCs w:val="18"/>
          <w:color w:val="auto"/>
        </w:rPr>
      </w:pPr>
    </w:p>
    <w:p>
      <w:pPr>
        <w:ind w:left="5460" w:right="3200" w:hanging="5128"/>
        <w:spacing w:after="0" w:line="532" w:lineRule="auto"/>
        <w:tabs>
          <w:tab w:leader="none" w:pos="66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 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ind w:left="660" w:hanging="328"/>
        <w:spacing w:after="0" w:line="261" w:lineRule="auto"/>
        <w:tabs>
          <w:tab w:leader="none" w:pos="6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$1,800,000.00 per share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in the Resale Registration Statement) for any 20 trading days within a 30-trading day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$1,800,000.00 redemption trigger price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Public Stockholder Warrants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Anti-dilution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Resale Registration Statement) as well as the $1,150,000.00 per share (for whole shares) Public Warrant exercise price after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redemption notice is issued.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8 shares at an exercise price of $651,200.00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our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$3,660.00.</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Offering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Private Placement Convertible Notes, see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Fair Value Measurements.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an operating lease for its office space. Supplemental cash flow information related to leases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4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For the Six Months Ended June 30,</w:t>
            </w:r>
          </w:p>
        </w:tc>
      </w:tr>
      <w:tr>
        <w:trPr>
          <w:trHeight w:val="223"/>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2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$4,816 to $1,605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March 31, 2025 and accordingly recognized a gain on settlement of approximately $3.2 million, recognized within gain on extinguishment of liabilities on the unaudited condensed consolidated statements of operations for the three months ended March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 to $357 (the “Donnelley Unpaid Fee”). The Donnelley Unpaid Fee will be paid in 12 monthly installments, with the first monthly payment of $45 due on October 1, 2024; the remaining 11 payments shall each be in the amount of $28.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Company made all required payments as of June 30, 2026 and accordingly recognized a gain on settlement of $0.7 million, recognized within gain on extinguishment of liabilities on the unaudited condensed consolidated statements of operations during the three months ended June 30, 2026.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$197 (the “Verista Unpaid Fee”). The Company and Verista have agreed that the Verista Unpaid Fee will be repaid with $67 worth of shares of the Company, and $130 in 16 equal cash installment payments of $8 beginning on October 1, 2024, and on the first day of each month thereafter through January 1, 2026. As of June 30, 2026, the Company had issued 15 shares and made aggregate installment payments of $78 to Verista. The remaining unpaid balance of $46 is included in Accounts Payable on the condensed consolidated balance sheets as of June 30, 2026.</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to Act-On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22, 2025, the Company announced its entry into an Agreement and Plan of Merger with Act-On Software, Inc. and on June 6, 2025, Act-On served Banzai with a notice of termination to terminate the Merger Agreement and any related agreements, and accordingly, the Company was required to pay certain termination fees including $500 in liquidated damages to cover certain transaction expenses that Act-On incurred in connection with the proposed merger, and $882 in additional interest and extension fees associated with one of Act-On’s outstanding debts that the Company had intended to payoff in connection with the proposed merger. As of June 30, 2025, the Company had paid the total amount owed of approximately $1.4 million to Act-On.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Class A Common Stock, Class B Common Stock, Preferred Stock and Series FE Preferred Stock. All classes of stock have a par value of $0.0001 per share. The table below sets forth information about the Company’s equity, as of June 30, 2026:</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0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200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7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36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Series FE Preferred Stock</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250,000,000</w:t>
            </w:r>
          </w:p>
        </w:tc>
        <w:tc>
          <w:tcPr>
            <w:tcW w:w="20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265,672</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265,672</w:t>
            </w: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25,000,000</w:t>
            </w:r>
          </w:p>
        </w:tc>
        <w:tc>
          <w:tcPr>
            <w:tcW w:w="2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3,386</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3,386</w:t>
            </w:r>
          </w:p>
        </w:tc>
      </w:tr>
      <w:tr>
        <w:trPr>
          <w:trHeight w:val="223"/>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350,000,001</w:t>
            </w:r>
          </w:p>
        </w:tc>
        <w:tc>
          <w:tcPr>
            <w:tcW w:w="36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the authority to issue preferred stock and to determine the rights, privileges, preferences, restrictions, and voting rights of those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FE 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(“SEPA”)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$100 million of the Company’s shares of Class A common stock, par value $0.0001 per share, at the Company’s request any time during the commitment period commencing on December 14, 2023 and terminating on the 36-month anniversary of the SEPA (the “SEPA Option”).</w:t>
      </w:r>
    </w:p>
    <w:p>
      <w:pPr>
        <w:spacing w:after="0" w:line="18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Each advance (each, an “Advance”) the Company requests under the SEPA (notice of such request, an “Advance Notice”) may be for a number of shares of Class A common stock up to the greater of (i) 50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173" w:lineRule="exact"/>
        <w:rPr>
          <w:sz w:val="20"/>
          <w:szCs w:val="20"/>
          <w:color w:val="auto"/>
        </w:rPr>
      </w:pPr>
    </w:p>
    <w:p>
      <w:pPr>
        <w:ind w:left="660" w:right="2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 (“Nasdaq”), subject to certain conditions per the SEPA (the “Option 1 Pricing Period;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 to Yorkville at the earlier of (i) March 14, 2024 or (ii) the termination of the SEPA, which will be payable, at the option of the Company, in cash or shares of Class A Common Stock through an Advance (the “Deferred Fee”). In March 2024 the Company issued 7 shares of Class A Common Stock as payment for the Deferred Fee.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$1,000,000.00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2026, the Company issued Advance Notices to Yorkville pursuant to the SEPA requesting the purchase of shares of the Company’s Class A common stock subject to both the Option 1 Pricing Period (the “Option 1 Advances”) and the Option 2 Pricing Period (the “Option 2 Advances”).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2026, the Company requested the purchase of a total of 108,815 shares of the Company’s Class A common stock in connection with the Option 1 Advances, which Yorkville purchased for a total purchase price of approximately $4,736. The Company recognized a loss of approximately $189 on the sales during the six months ended June 30, 2026, which represents the difference between the fair value of the shares issued and the proceeds received from the sales.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2026 the Company requested the purchase of a total of 14,000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$38 in the aggregate, the fair values of which represented the intrinsic value of the requested number of shares of Class A common stock on the Advance Notice dates. The Company recognized a loss of approximately $38 during the six months ended June 30, 2026 representing the change in fair value of the derivative liabilities during the period from the Advance Notice dates and the settlement dates of the Option 2 Advances. Upon settlement of the Option 2 Advances, the Company sold an aggregate of 14,000 shares of the Company’s Class A common stock to Yorkville for total proceeds of approximately $755.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under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 (excluding any periodic due diligence fees) incurred in connection with entering into the transactions contemplated by the ATM Agreement and has agreed to reimburse Wainwright up to a maximum of $5 per Representation Date (as defined in the ATM Agreement) in connection with a new Registration Statement or the filing of the Company’s Annual Report on Form 10-K and approximately $3 in connection with each other Representation Date, plus any incidental expense incurred by the Manager in connection therewith.</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 shares of Class A common stock at $1,380.00 per share and 162 prefunded warrants (the “May 2025 Prefunded Warrants”) at $680.00 per warrant. The May 2025 Prefunded Warrants were immediately exercised, resulting in the issuance of 162 shares of Class A common stock. The Company collected in aggregate $330 of gross proceeds from this private placement.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June 30, 2026, the Company issued 10,726 shares under the ATM Agreement for net proceeds of approximately $2,636.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Hudson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the Company issued 75 restricted shares of its Common Stock, with a determined fair value of $232, partially in exchange for the business advisory services outlined in the consulting agreement with Hudson Global Ventures, LLC, a Nevada limited liability company (“Hudson”). On April 25, 2025, July 1, 2025, and September 3, 2025, the Company issued 200, 118, and 260, respectively, restricted shares of its Class A Common Stock to Hudson, in exchange for certain business advisory services as outlined in a consulting agreement with Hudson, executed on April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Verista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August 26, 2024, the Company issued 15 shares of its Common Stock, with a determined fair value of $50, in partial settlement of amounts owing to Verista. Refer to </w:t>
      </w:r>
      <w:r>
        <w:rPr>
          <w:rFonts w:ascii="Times New Roman" w:cs="Times New Roman" w:eastAsia="Times New Roman" w:hAnsi="Times New Roman"/>
          <w:sz w:val="18"/>
          <w:szCs w:val="18"/>
          <w:i w:val="1"/>
          <w:iCs w:val="1"/>
          <w:color w:val="auto"/>
        </w:rPr>
        <w:t>Note 13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Vidello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disclosed above, on January 31, 2025, the Company closed the previously announced merger with Vidello. As part of the consideration paid to the Vidello Shareholders, the Company issued 449 shares of Class A Common Stock, with a determined fair value of $1,662.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pre-funded warrant exercise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January 7, 2025, the Company issued 1 share of Class A Common Stock to CP BF, resulting from the exercise by CP BF of exercise of one (1) pre-funded warrant under the CP BF Pre-Funded Warrant.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Warrant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524 shares of Class A Common Stock to Alco, resulting from the exercise by Alco of pre-funded warrants purchased during September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26, 2025, the Company issued 5,883 shares of Class A Common Stock to FE IV Aggregator, resulting from the exercise by FE IV Aggregator of Pre-Funded Warrants held by FE Aggregator as part of the OpenReel Merger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 shares of Class A common stock at $1,380.00 per share and 162 prefunded warrants (the “May 2025 Prefunded Warrants”) at $680.00 per warrant. The May 2025 Prefunded Warrants were immediately exercised, resulting in the issuance of 162 shares of Class A common stock. The Company collected in aggregate $330 of gross proceeds from this private placement.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Stock-Based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under the 2023 Equity Incentive Plan (“Plan”) during the six months ended June 30,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Shares Underlying</w:t>
            </w:r>
          </w:p>
        </w:tc>
        <w:tc>
          <w:tcPr>
            <w:tcW w:w="18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60" w:type="dxa"/>
            <w:vAlign w:val="bottom"/>
          </w:tcPr>
          <w:p>
            <w:pPr>
              <w:spacing w:after="0"/>
              <w:rPr>
                <w:sz w:val="20"/>
                <w:szCs w:val="20"/>
                <w:color w:val="auto"/>
              </w:rPr>
            </w:pPr>
          </w:p>
        </w:tc>
        <w:tc>
          <w:tcPr>
            <w:tcW w:w="16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7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91,319.80</w:t>
            </w:r>
          </w:p>
        </w:tc>
        <w:tc>
          <w:tcPr>
            <w:tcW w:w="34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19,242.90</w:t>
            </w:r>
          </w:p>
        </w:tc>
        <w:tc>
          <w:tcPr>
            <w:tcW w:w="1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2026</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93,470.30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2026</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3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150,518.50</w:t>
            </w:r>
          </w:p>
        </w:tc>
        <w:tc>
          <w:tcPr>
            <w:tcW w:w="340" w:type="dxa"/>
            <w:vAlign w:val="bottom"/>
            <w:vMerge w:val="continue"/>
          </w:tcPr>
          <w:p>
            <w:pPr>
              <w:spacing w:after="0"/>
              <w:rPr>
                <w:sz w:val="17"/>
                <w:szCs w:val="17"/>
                <w:color w:val="auto"/>
              </w:rPr>
            </w:pP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7.21</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ind w:left="116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2026 and 2025, the Company recorded stock-based compensation expense related to stock options of $23 and $50, which is included in general and administrative expense. As of June 30, 2026 and 2025, $203 and $191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measures the fair value of RSUs using the stock price on the date of grant. Stock-based compensation expense for employee-granted RSUs is generally recorded ratably over their vesting period of (a) four years, with 25% of the RSUs vesting on each anniversary, or (b) one year, with 25% vesting quarterly, or (c) one year, with 100% vesting on the first anniversary of the vesting commencement date until the RSU is fully vested. Stock-based compensation expense for RSUs granted to non-employee directors is recorded ratably over the vesting period which is the earlier of the one (1) year anniversary of the respective grant date, or the next annual meeting of stockholders following the respective grant date.</w:t>
      </w:r>
    </w:p>
    <w:p>
      <w:pPr>
        <w:sectPr>
          <w:pgSz w:w="11900" w:h="16838" w:orient="portrait"/>
          <w:cols w:equalWidth="0" w:num="1">
            <w:col w:w="11240"/>
          </w:cols>
          <w:pgMar w:left="320" w:top="229" w:right="33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RSU activity during the six months ended June 30, 2026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at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224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191"/>
        </w:trPr>
        <w:tc>
          <w:tcPr>
            <w:tcW w:w="19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2,070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1,151.10</w:t>
            </w:r>
          </w:p>
        </w:tc>
        <w:tc>
          <w:tcPr>
            <w:tcW w:w="20" w:type="dxa"/>
            <w:vAlign w:val="bottom"/>
          </w:tcPr>
          <w:p>
            <w:pPr>
              <w:spacing w:after="0"/>
              <w:rPr>
                <w:sz w:val="16"/>
                <w:szCs w:val="16"/>
                <w:color w:val="auto"/>
              </w:rPr>
            </w:pPr>
          </w:p>
        </w:tc>
      </w:tr>
      <w:tr>
        <w:trPr>
          <w:trHeight w:val="216"/>
        </w:trPr>
        <w:tc>
          <w:tcPr>
            <w:tcW w:w="2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4,459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219.60</w:t>
            </w:r>
          </w:p>
        </w:tc>
      </w:tr>
      <w:tr>
        <w:trPr>
          <w:trHeight w:val="216"/>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(4,213)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409.20</w:t>
            </w:r>
          </w:p>
        </w:tc>
      </w:tr>
      <w:tr>
        <w:trPr>
          <w:trHeight w:val="248"/>
        </w:trPr>
        <w:tc>
          <w:tcPr>
            <w:tcW w:w="2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2,173.00</w:t>
            </w:r>
          </w:p>
        </w:tc>
      </w:tr>
      <w:tr>
        <w:trPr>
          <w:trHeight w:val="223"/>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7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691.70</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420" w:space="560"/>
            <w:col w:w="4260"/>
          </w:cols>
          <w:pgMar w:left="320" w:top="229" w:right="339" w:bottom="1440" w:gutter="0" w:footer="0" w:header="0"/>
          <w:type w:val="continuous"/>
        </w:sect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2026 and 2025, the Company recorded total stock-based compensation expense related to RSUs of $1,065 and $1,043, respectively, which is included in general and administrative expense. As of June 30, 2026 and 2025, unrecognized compensation cost related to the grant of RSUs was $1,542 and $191, respectively. Unvested outstanding RSUs as of June 30, 2026 and 2025 had a weighted average remaining vesting period of 1.73 and 2.25 years,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Award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2025, the Board granted an equity award to the Company’s CEO (“CEO Award”) that includes a market condition based on specified market capitalization thresholds ranging from $15.0 million to $30.0 million, which result in stock grants ranging from $250 to $750, up to $2.0 million in the aggregate. At inception, the CEO Award was equity-classified and the grant-date fair value was estimated using a Monte Carlo simulation model, using historical volatility as a key input. On April 2, 2026 the Company modified the terms of the CEO Award and issued 2,230 shares of Class B Common Stock to the Company’s CEO, of which, approximately 1,487 shares relate to a tranche of the CEO Award vesting upon achieving a market capitalization threshold, and the remaining 743 shares relate to the CEO’s 2025 bonus payment. The Company recognized $324 and $541 of stock-based compensation expense related to this award for the three and six months ended June 30, 2026, respectively.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estimates an annual effective tax rate of 19% for the year ended December 31, 2026. The effective tax rate for the six months ended June 30, 2026 is 0.63%. The effective tax rate is due to the Company’s operations in England and Wales derived by the Vidello Merger. The Vidello operations in England and Wales are subject to a statutory corporate tax rate of 25%. Due to the Company’s history of net losses from historical operations in the U.S., there is no income tax benefit being recorded in relation to the Company’s pre-tax book loss in the U.S. taxing jurisdiction. Therefore, no U.S. federal or state income taxes are expected, and none have been recorded at this time. Income taxes have been accounted for using the liability method in accordance with FASB ASC 740.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Company’s history of losses since inception, there is not enough evidence at this time to support that the Company will generate future income of a sufficient amount and nature to utilize the benefits of its net deferred tax assets in the U.S. taxing jurisdiction. Accordingly, the deferred tax assets in the US taxing jurisdiction have been reduced by a full valuation allowance, since the Company cannot currently support that realization of its deferred tax assets is more likely than not.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June 30, 2026, the Company had no unrecognized tax benefits that would reduce the Company’s effective tax rate if recognized.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three reportable operating segments, Banzai Operating, OpenReel, and Vidello. The Company’s segments deliver SaaS tools that leverage data, analytics, and AI to provide marketing and sales solutions, including video production and editing, for businesses of all sizes.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three months ended June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2026</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Banzai Operating</w:t>
            </w:r>
          </w:p>
        </w:tc>
        <w:tc>
          <w:tcPr>
            <w:tcW w:w="240" w:type="dxa"/>
            <w:vAlign w:val="bottom"/>
          </w:tcPr>
          <w:p>
            <w:pPr>
              <w:spacing w:after="0"/>
              <w:rPr>
                <w:sz w:val="20"/>
                <w:szCs w:val="20"/>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260" w:type="dxa"/>
            <w:vAlign w:val="bottom"/>
          </w:tcPr>
          <w:p>
            <w:pPr>
              <w:spacing w:after="0"/>
              <w:rPr>
                <w:sz w:val="20"/>
                <w:szCs w:val="20"/>
                <w:color w:val="auto"/>
              </w:rPr>
            </w:pPr>
          </w:p>
        </w:tc>
        <w:tc>
          <w:tcPr>
            <w:tcW w:w="138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351</w:t>
            </w:r>
          </w:p>
        </w:tc>
        <w:tc>
          <w:tcPr>
            <w:tcW w:w="2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tcPr>
          <w:p>
            <w:pPr>
              <w:spacing w:after="0"/>
              <w:rPr>
                <w:sz w:val="19"/>
                <w:szCs w:val="19"/>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450</w:t>
            </w:r>
          </w:p>
        </w:tc>
      </w:tr>
      <w:tr>
        <w:trPr>
          <w:trHeight w:val="210"/>
        </w:trPr>
        <w:tc>
          <w:tcPr>
            <w:tcW w:w="4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1,965</w:t>
            </w: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843</w:t>
            </w:r>
          </w:p>
        </w:tc>
        <w:tc>
          <w:tcPr>
            <w:tcW w:w="260" w:type="dxa"/>
            <w:vAlign w:val="bottom"/>
          </w:tcPr>
          <w:p>
            <w:pPr>
              <w:spacing w:after="0"/>
              <w:rPr>
                <w:sz w:val="18"/>
                <w:szCs w:val="18"/>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2,943</w:t>
            </w: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w:t>
            </w:r>
          </w:p>
        </w:tc>
      </w:tr>
      <w:tr>
        <w:trPr>
          <w:trHeight w:val="270"/>
        </w:trPr>
        <w:tc>
          <w:tcPr>
            <w:tcW w:w="40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1</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tcBorders>
              <w:bottom w:val="single" w:sz="8" w:color="CCEEFF"/>
            </w:tcBorders>
          </w:tcPr>
          <w:p>
            <w:pPr>
              <w:spacing w:after="0"/>
              <w:rPr>
                <w:sz w:val="18"/>
                <w:szCs w:val="18"/>
                <w:color w:val="auto"/>
              </w:rPr>
            </w:pPr>
          </w:p>
        </w:tc>
      </w:tr>
      <w:tr>
        <w:trPr>
          <w:trHeight w:val="20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8"/>
                <w:szCs w:val="18"/>
                <w:color w:val="auto"/>
              </w:rPr>
            </w:pPr>
          </w:p>
        </w:tc>
      </w:tr>
      <w:tr>
        <w:trPr>
          <w:trHeight w:val="198"/>
        </w:trPr>
        <w:tc>
          <w:tcPr>
            <w:tcW w:w="4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 public company expenses and stock-</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2,400</w:t>
            </w:r>
          </w:p>
        </w:tc>
        <w:tc>
          <w:tcPr>
            <w:tcW w:w="24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2,400</w:t>
            </w:r>
          </w:p>
        </w:tc>
      </w:tr>
      <w:tr>
        <w:trPr>
          <w:trHeight w:val="223"/>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60" w:hanging="157"/>
        <w:spacing w:after="0" w:line="195" w:lineRule="auto"/>
        <w:tabs>
          <w:tab w:leader="none" w:pos="360" w:val="left"/>
        </w:tabs>
        <w:numPr>
          <w:ilvl w:val="0"/>
          <w:numId w:val="8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public company expenses, and the SEPA commitment fee expense and deferred fee expense.</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six months ended June 30,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2026</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Banzai Operating</w:t>
            </w:r>
          </w:p>
        </w:tc>
        <w:tc>
          <w:tcPr>
            <w:tcW w:w="240" w:type="dxa"/>
            <w:vAlign w:val="bottom"/>
          </w:tcPr>
          <w:p>
            <w:pPr>
              <w:spacing w:after="0"/>
              <w:rPr>
                <w:sz w:val="20"/>
                <w:szCs w:val="20"/>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260" w:type="dxa"/>
            <w:vAlign w:val="bottom"/>
          </w:tcPr>
          <w:p>
            <w:pPr>
              <w:spacing w:after="0"/>
              <w:rPr>
                <w:sz w:val="20"/>
                <w:szCs w:val="20"/>
                <w:color w:val="auto"/>
              </w:rPr>
            </w:pPr>
          </w:p>
        </w:tc>
        <w:tc>
          <w:tcPr>
            <w:tcW w:w="1380" w:type="dxa"/>
            <w:vAlign w:val="bottom"/>
            <w:gridSpan w:val="2"/>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741</w:t>
            </w:r>
          </w:p>
        </w:tc>
        <w:tc>
          <w:tcPr>
            <w:tcW w:w="240" w:type="dxa"/>
            <w:vAlign w:val="bottom"/>
          </w:tcPr>
          <w:p>
            <w:pPr>
              <w:spacing w:after="0"/>
              <w:rPr>
                <w:sz w:val="19"/>
                <w:szCs w:val="19"/>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w:t>
            </w:r>
          </w:p>
        </w:tc>
        <w:tc>
          <w:tcPr>
            <w:tcW w:w="260" w:type="dxa"/>
            <w:vAlign w:val="bottom"/>
          </w:tcPr>
          <w:p>
            <w:pPr>
              <w:spacing w:after="0"/>
              <w:rPr>
                <w:sz w:val="19"/>
                <w:szCs w:val="19"/>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971</w:t>
            </w:r>
          </w:p>
        </w:tc>
      </w:tr>
      <w:tr>
        <w:trPr>
          <w:trHeight w:val="210"/>
        </w:trPr>
        <w:tc>
          <w:tcPr>
            <w:tcW w:w="4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3,909</w:t>
            </w: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1,876</w:t>
            </w:r>
          </w:p>
        </w:tc>
        <w:tc>
          <w:tcPr>
            <w:tcW w:w="260" w:type="dxa"/>
            <w:vAlign w:val="bottom"/>
          </w:tcPr>
          <w:p>
            <w:pPr>
              <w:spacing w:after="0"/>
              <w:rPr>
                <w:sz w:val="18"/>
                <w:szCs w:val="18"/>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6,039</w:t>
            </w: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409</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63</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765</w:t>
            </w: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8"/>
                <w:szCs w:val="18"/>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448</w:t>
            </w:r>
          </w:p>
        </w:tc>
      </w:tr>
      <w:tr>
        <w:trPr>
          <w:trHeight w:val="270"/>
        </w:trPr>
        <w:tc>
          <w:tcPr>
            <w:tcW w:w="40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1</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174</w:t>
            </w: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252</w:t>
            </w:r>
          </w:p>
        </w:tc>
      </w:tr>
      <w:tr>
        <w:trPr>
          <w:trHeight w:val="210"/>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7,504</w:t>
            </w:r>
          </w:p>
        </w:tc>
        <w:tc>
          <w:tcPr>
            <w:tcW w:w="100" w:type="dxa"/>
            <w:vAlign w:val="bottom"/>
            <w:tcBorders>
              <w:bottom w:val="single" w:sz="8" w:color="CCEEFF"/>
            </w:tcBorders>
          </w:tcPr>
          <w:p>
            <w:pPr>
              <w:spacing w:after="0"/>
              <w:rPr>
                <w:sz w:val="18"/>
                <w:szCs w:val="18"/>
                <w:color w:val="auto"/>
              </w:rPr>
            </w:pPr>
          </w:p>
        </w:tc>
      </w:tr>
      <w:tr>
        <w:trPr>
          <w:trHeight w:val="20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c>
          <w:tcPr>
            <w:tcW w:w="100" w:type="dxa"/>
            <w:vAlign w:val="bottom"/>
            <w:shd w:val="clear" w:color="auto" w:fill="CCEEFF"/>
          </w:tcPr>
          <w:p>
            <w:pPr>
              <w:spacing w:after="0"/>
              <w:rPr>
                <w:sz w:val="18"/>
                <w:szCs w:val="18"/>
                <w:color w:val="auto"/>
              </w:rPr>
            </w:pPr>
          </w:p>
        </w:tc>
      </w:tr>
      <w:tr>
        <w:trPr>
          <w:trHeight w:val="198"/>
        </w:trPr>
        <w:tc>
          <w:tcPr>
            <w:tcW w:w="4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 public company expenses and stock-</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6,052</w:t>
            </w:r>
          </w:p>
        </w:tc>
        <w:tc>
          <w:tcPr>
            <w:tcW w:w="240" w:type="dxa"/>
            <w:vAlign w:val="bottom"/>
          </w:tcPr>
          <w:p>
            <w:pPr>
              <w:spacing w:after="0"/>
              <w:rPr>
                <w:sz w:val="21"/>
                <w:szCs w:val="21"/>
                <w:color w:val="auto"/>
              </w:rPr>
            </w:pPr>
          </w:p>
        </w:tc>
        <w:tc>
          <w:tcPr>
            <w:tcW w:w="15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6,052</w:t>
            </w:r>
          </w:p>
        </w:tc>
      </w:tr>
      <w:tr>
        <w:trPr>
          <w:trHeight w:val="223"/>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60" w:hanging="157"/>
        <w:spacing w:after="0" w:line="210" w:lineRule="auto"/>
        <w:tabs>
          <w:tab w:leader="none" w:pos="360" w:val="left"/>
        </w:tabs>
        <w:numPr>
          <w:ilvl w:val="0"/>
          <w:numId w:val="8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expenses for each reportable segment includes provision for credit losses, foreign currency exchange rate changes, travel and entertainment expenses, professional expenses other than those included in transaction and public company expenses, insurance expenses, and expenses related to licenses.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three months ended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7"/>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38"/>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Banzai Operating</w:t>
            </w:r>
          </w:p>
        </w:tc>
        <w:tc>
          <w:tcPr>
            <w:tcW w:w="240" w:type="dxa"/>
            <w:vAlign w:val="bottom"/>
          </w:tcPr>
          <w:p>
            <w:pPr>
              <w:spacing w:after="0"/>
              <w:rPr>
                <w:sz w:val="20"/>
                <w:szCs w:val="20"/>
                <w:color w:val="auto"/>
              </w:rPr>
            </w:pPr>
          </w:p>
        </w:tc>
        <w:tc>
          <w:tcPr>
            <w:tcW w:w="158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260" w:type="dxa"/>
            <w:vAlign w:val="bottom"/>
          </w:tcPr>
          <w:p>
            <w:pPr>
              <w:spacing w:after="0"/>
              <w:rPr>
                <w:sz w:val="20"/>
                <w:szCs w:val="20"/>
                <w:color w:val="auto"/>
              </w:rPr>
            </w:pPr>
          </w:p>
        </w:tc>
        <w:tc>
          <w:tcPr>
            <w:tcW w:w="13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09"/>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Pr>
          <w:p>
            <w:pPr>
              <w:spacing w:after="0"/>
              <w:rPr>
                <w:sz w:val="19"/>
                <w:szCs w:val="19"/>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78</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554</w:t>
            </w:r>
          </w:p>
        </w:tc>
      </w:tr>
      <w:tr>
        <w:trPr>
          <w:trHeight w:val="210"/>
        </w:trPr>
        <w:tc>
          <w:tcPr>
            <w:tcW w:w="4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1,143</w:t>
            </w: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1,261</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2,490</w:t>
            </w: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198</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388</w:t>
            </w: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64</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337</w:t>
            </w:r>
          </w:p>
        </w:tc>
      </w:tr>
      <w:tr>
        <w:trPr>
          <w:trHeight w:val="270"/>
        </w:trPr>
        <w:tc>
          <w:tcPr>
            <w:tcW w:w="40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1</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298</w:t>
            </w:r>
          </w:p>
        </w:tc>
      </w:tr>
      <w:tr>
        <w:trPr>
          <w:trHeight w:val="209"/>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100" w:type="dxa"/>
            <w:vAlign w:val="bottom"/>
            <w:tcBorders>
              <w:bottom w:val="single" w:sz="8" w:color="CCEEFF"/>
            </w:tcBorders>
          </w:tcPr>
          <w:p>
            <w:pPr>
              <w:spacing w:after="0"/>
              <w:rPr>
                <w:sz w:val="18"/>
                <w:szCs w:val="18"/>
                <w:color w:val="auto"/>
              </w:rPr>
            </w:pPr>
          </w:p>
        </w:tc>
      </w:tr>
      <w:tr>
        <w:trPr>
          <w:trHeight w:val="210"/>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8"/>
                <w:szCs w:val="18"/>
                <w:color w:val="auto"/>
              </w:rPr>
            </w:pPr>
          </w:p>
        </w:tc>
      </w:tr>
      <w:tr>
        <w:trPr>
          <w:trHeight w:val="198"/>
        </w:trPr>
        <w:tc>
          <w:tcPr>
            <w:tcW w:w="4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 public company expenses and stock-</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3,476</w:t>
            </w:r>
          </w:p>
        </w:tc>
        <w:tc>
          <w:tcPr>
            <w:tcW w:w="240" w:type="dxa"/>
            <w:vAlign w:val="bottom"/>
          </w:tcPr>
          <w:p>
            <w:pPr>
              <w:spacing w:after="0"/>
              <w:rPr>
                <w:sz w:val="21"/>
                <w:szCs w:val="21"/>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3,600</w:t>
            </w:r>
          </w:p>
        </w:tc>
      </w:tr>
      <w:tr>
        <w:trPr>
          <w:trHeight w:val="223"/>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60" w:hanging="157"/>
        <w:spacing w:after="0" w:line="210" w:lineRule="auto"/>
        <w:tabs>
          <w:tab w:leader="none" w:pos="360" w:val="left"/>
        </w:tabs>
        <w:numPr>
          <w:ilvl w:val="0"/>
          <w:numId w:val="8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six months ended June 30,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4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Vidello</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8"/>
        </w:trPr>
        <w:tc>
          <w:tcPr>
            <w:tcW w:w="4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gridSpan w:val="3"/>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Banzai Operating</w:t>
            </w:r>
          </w:p>
        </w:tc>
        <w:tc>
          <w:tcPr>
            <w:tcW w:w="240" w:type="dxa"/>
            <w:vAlign w:val="bottom"/>
          </w:tcPr>
          <w:p>
            <w:pPr>
              <w:spacing w:after="0"/>
              <w:rPr>
                <w:sz w:val="20"/>
                <w:szCs w:val="20"/>
                <w:color w:val="auto"/>
              </w:rPr>
            </w:pPr>
          </w:p>
        </w:tc>
        <w:tc>
          <w:tcPr>
            <w:tcW w:w="1580" w:type="dxa"/>
            <w:vAlign w:val="bottom"/>
            <w:gridSpan w:val="2"/>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26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745</w:t>
            </w:r>
          </w:p>
        </w:tc>
        <w:tc>
          <w:tcPr>
            <w:tcW w:w="240" w:type="dxa"/>
            <w:vAlign w:val="bottom"/>
          </w:tcPr>
          <w:p>
            <w:pPr>
              <w:spacing w:after="0"/>
              <w:rPr>
                <w:sz w:val="19"/>
                <w:szCs w:val="19"/>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152</w:t>
            </w:r>
          </w:p>
        </w:tc>
        <w:tc>
          <w:tcPr>
            <w:tcW w:w="2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2,437</w:t>
            </w: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2,383</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754</w:t>
            </w: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18"/>
                <w:szCs w:val="18"/>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70"/>
        </w:trPr>
        <w:tc>
          <w:tcPr>
            <w:tcW w:w="402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2</w:t>
            </w:r>
          </w:p>
        </w:tc>
        <w:tc>
          <w:tcPr>
            <w:tcW w:w="2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403</w:t>
            </w:r>
          </w:p>
        </w:tc>
        <w:tc>
          <w:tcPr>
            <w:tcW w:w="24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w:t>
            </w:r>
          </w:p>
        </w:tc>
        <w:tc>
          <w:tcPr>
            <w:tcW w:w="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667</w:t>
            </w:r>
          </w:p>
        </w:tc>
        <w:tc>
          <w:tcPr>
            <w:tcW w:w="0" w:type="dxa"/>
            <w:vAlign w:val="bottom"/>
          </w:tcPr>
          <w:p>
            <w:pPr>
              <w:spacing w:after="0"/>
              <w:rPr>
                <w:sz w:val="1"/>
                <w:szCs w:val="1"/>
                <w:color w:val="auto"/>
              </w:rPr>
            </w:pPr>
          </w:p>
        </w:tc>
      </w:tr>
      <w:tr>
        <w:trPr>
          <w:trHeight w:val="210"/>
        </w:trPr>
        <w:tc>
          <w:tcPr>
            <w:tcW w:w="4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CCEEFF"/>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3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Transaction, public company expenses and stock-</w:t>
            </w: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based compensation</w:t>
            </w: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7,087</w:t>
            </w:r>
          </w:p>
        </w:tc>
        <w:tc>
          <w:tcPr>
            <w:tcW w:w="240" w:type="dxa"/>
            <w:vAlign w:val="bottom"/>
          </w:tcPr>
          <w:p>
            <w:pPr>
              <w:spacing w:after="0"/>
              <w:rPr>
                <w:sz w:val="21"/>
                <w:szCs w:val="21"/>
                <w:color w:val="auto"/>
              </w:rPr>
            </w:pPr>
          </w:p>
        </w:tc>
        <w:tc>
          <w:tcPr>
            <w:tcW w:w="15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7,514</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360" w:hanging="157"/>
        <w:spacing w:after="0" w:line="196" w:lineRule="auto"/>
        <w:tabs>
          <w:tab w:leader="none" w:pos="360" w:val="left"/>
        </w:tabs>
        <w:numPr>
          <w:ilvl w:val="0"/>
          <w:numId w:val="8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Vidello acquisition occurred on January 31, 2025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therefore does not represent activity for the full six month period in 2025.</w:t>
      </w:r>
    </w:p>
    <w:p>
      <w:pPr>
        <w:spacing w:after="0" w:line="307" w:lineRule="exact"/>
        <w:rPr>
          <w:sz w:val="20"/>
          <w:szCs w:val="20"/>
          <w:color w:val="auto"/>
        </w:rPr>
      </w:pPr>
    </w:p>
    <w:p>
      <w:pPr>
        <w:jc w:val="both"/>
        <w:ind w:left="360" w:hanging="157"/>
        <w:spacing w:after="0" w:line="210" w:lineRule="auto"/>
        <w:tabs>
          <w:tab w:leader="none" w:pos="360" w:val="left"/>
        </w:tabs>
        <w:numPr>
          <w:ilvl w:val="0"/>
          <w:numId w:val="8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public company expenses, and the SEPA commitment fee expense and deferred fee expense. The expense classification for 2025 has been recast to conform to the current year expense classification.</w:t>
      </w:r>
    </w:p>
    <w:p>
      <w:pPr>
        <w:spacing w:after="0" w:line="3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between EBITDA by reportable segment to consolidated net loss before income taxes for the three months ended June 30, 2026 and 2025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540" w:type="dxa"/>
            <w:vAlign w:val="bottom"/>
            <w:tcBorders>
              <w:bottom w:val="single" w:sz="8" w:color="auto"/>
            </w:tcBorders>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by segment</w:t>
            </w:r>
          </w:p>
        </w:tc>
        <w:tc>
          <w:tcPr>
            <w:tcW w:w="26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Banzai Operating Co.</w:t>
            </w:r>
          </w:p>
        </w:tc>
        <w:tc>
          <w:tcPr>
            <w:tcW w:w="39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(3,987)</w:t>
            </w:r>
          </w:p>
        </w:tc>
        <w:tc>
          <w:tcPr>
            <w:tcW w:w="1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(4,626)</w:t>
            </w:r>
          </w:p>
        </w:tc>
      </w:tr>
      <w:tr>
        <w:trPr>
          <w:trHeight w:val="216"/>
        </w:trPr>
        <w:tc>
          <w:tcPr>
            <w:tcW w:w="4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OpenReel</w:t>
            </w:r>
          </w:p>
        </w:tc>
        <w:tc>
          <w:tcPr>
            <w:tcW w:w="2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56</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9"/>
        </w:trPr>
        <w:tc>
          <w:tcPr>
            <w:tcW w:w="4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Vidello</w:t>
            </w:r>
          </w:p>
        </w:tc>
        <w:tc>
          <w:tcPr>
            <w:tcW w:w="2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(152)</w:t>
            </w:r>
          </w:p>
        </w:tc>
        <w:tc>
          <w:tcPr>
            <w:tcW w:w="1300" w:type="dxa"/>
            <w:vAlign w:val="bottom"/>
          </w:tcPr>
          <w:p>
            <w:pPr>
              <w:spacing w:after="0"/>
              <w:rPr>
                <w:sz w:val="19"/>
                <w:szCs w:val="19"/>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168</w:t>
            </w: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3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to loss before income taxes:</w:t>
            </w:r>
          </w:p>
        </w:tc>
        <w:tc>
          <w:tcPr>
            <w:tcW w:w="2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w:t>
            </w:r>
          </w:p>
        </w:tc>
        <w:tc>
          <w:tcPr>
            <w:tcW w:w="13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129</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202</w:t>
            </w:r>
          </w:p>
        </w:tc>
        <w:tc>
          <w:tcPr>
            <w:tcW w:w="13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537</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303</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Gain on extinguishment of liabilities, net</w:t>
            </w: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(663)</w:t>
            </w:r>
          </w:p>
        </w:tc>
        <w:tc>
          <w:tcPr>
            <w:tcW w:w="1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2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199</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159</w:t>
            </w:r>
          </w:p>
        </w:tc>
        <w:tc>
          <w:tcPr>
            <w:tcW w:w="1300" w:type="dxa"/>
            <w:vAlign w:val="bottom"/>
          </w:tcPr>
          <w:p>
            <w:pPr>
              <w:spacing w:after="0"/>
              <w:rPr>
                <w:sz w:val="18"/>
                <w:szCs w:val="18"/>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1,006</w:t>
            </w: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26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413</w:t>
            </w:r>
          </w:p>
        </w:tc>
        <w:tc>
          <w:tcPr>
            <w:tcW w:w="13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224</w:t>
            </w: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224</w:t>
            </w:r>
          </w:p>
        </w:tc>
        <w:tc>
          <w:tcPr>
            <w:tcW w:w="1300" w:type="dxa"/>
            <w:vAlign w:val="bottom"/>
          </w:tcPr>
          <w:p>
            <w:pPr>
              <w:spacing w:after="0"/>
              <w:rPr>
                <w:sz w:val="19"/>
                <w:szCs w:val="19"/>
                <w:color w:val="auto"/>
              </w:rPr>
            </w:pPr>
          </w:p>
        </w:tc>
        <w:tc>
          <w:tcPr>
            <w:tcW w:w="7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1,336</w:t>
            </w:r>
          </w:p>
        </w:tc>
      </w:tr>
      <w:tr>
        <w:trPr>
          <w:trHeight w:val="223"/>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3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3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2"/>
          </w:tcPr>
          <w:p>
            <w:pPr>
              <w:jc w:val="right"/>
              <w:ind w:right="2390"/>
              <w:spacing w:after="0"/>
              <w:rPr>
                <w:sz w:val="20"/>
                <w:szCs w:val="20"/>
                <w:color w:val="auto"/>
              </w:rPr>
            </w:pPr>
            <w:r>
              <w:rPr>
                <w:rFonts w:ascii="Times New Roman" w:cs="Times New Roman" w:eastAsia="Times New Roman" w:hAnsi="Times New Roman"/>
                <w:sz w:val="18"/>
                <w:szCs w:val="18"/>
                <w:color w:val="auto"/>
              </w:rPr>
              <w:t>F-46</w:t>
            </w: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between EBITDA by reportable segment to consolidated net loss before income taxes for the six months ended June 30, 2026 and 2025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500" w:type="dxa"/>
            <w:vAlign w:val="bottom"/>
            <w:tcBorders>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by segment</w:t>
            </w:r>
          </w:p>
        </w:tc>
        <w:tc>
          <w:tcPr>
            <w:tcW w:w="17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Banzai Operating Co.</w:t>
            </w:r>
          </w:p>
        </w:tc>
        <w:tc>
          <w:tcPr>
            <w:tcW w:w="300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(9,595)</w:t>
            </w:r>
          </w:p>
        </w:tc>
        <w:tc>
          <w:tcPr>
            <w:tcW w:w="13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(9,418)</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OpenReel</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Vidello</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w:t>
            </w: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7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Reconciliation to loss before income taxes:</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895</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547</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extinguishment of liabilities, net</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(2,719)</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issuance</w:t>
            </w:r>
          </w:p>
        </w:tc>
        <w:tc>
          <w:tcPr>
            <w:tcW w:w="1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1,806</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1,280</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 of financial instruments</w:t>
            </w:r>
          </w:p>
        </w:tc>
        <w:tc>
          <w:tcPr>
            <w:tcW w:w="17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568</w:t>
            </w:r>
          </w:p>
        </w:tc>
      </w:tr>
      <w:tr>
        <w:trPr>
          <w:trHeight w:val="229"/>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774</w:t>
            </w: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1,211</w:t>
            </w:r>
          </w:p>
        </w:tc>
      </w:tr>
      <w:tr>
        <w:trPr>
          <w:trHeight w:val="223"/>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74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percentage of revenue generated by SaaS product for the six months ended June 30, 2026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340" w:type="dxa"/>
            <w:vAlign w:val="bottom"/>
            <w:gridSpan w:val="4"/>
          </w:tcPr>
          <w:p>
            <w:pPr>
              <w:jc w:val="right"/>
              <w:ind w:right="113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w:t>
            </w:r>
          </w:p>
        </w:tc>
      </w:tr>
      <w:tr>
        <w:trPr>
          <w:trHeight w:val="223"/>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220" w:type="dxa"/>
            <w:vAlign w:val="bottom"/>
            <w:tcBorders>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i w:val="1"/>
                <w:iCs w:val="1"/>
                <w:color w:val="auto"/>
              </w:rPr>
              <w:t>2026</w:t>
            </w:r>
          </w:p>
        </w:tc>
        <w:tc>
          <w:tcPr>
            <w:tcW w:w="380" w:type="dxa"/>
            <w:vAlign w:val="bottom"/>
            <w:tcBorders>
              <w:top w:val="single" w:sz="8" w:color="auto"/>
              <w:bottom w:val="single" w:sz="8" w:color="CCEEFF"/>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160" w:type="dxa"/>
            <w:vAlign w:val="bottom"/>
            <w:tcBorders>
              <w:bottom w:val="single" w:sz="8" w:color="CCEEFF"/>
            </w:tcBorders>
          </w:tcPr>
          <w:p>
            <w:pPr>
              <w:spacing w:after="0"/>
              <w:rPr>
                <w:sz w:val="19"/>
                <w:szCs w:val="19"/>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Demio</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34.2%</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OpenReel</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45.0%</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57"/>
        </w:trPr>
        <w:tc>
          <w:tcPr>
            <w:tcW w:w="6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Vidello </w:t>
            </w:r>
            <w:r>
              <w:rPr>
                <w:rFonts w:ascii="Times New Roman" w:cs="Times New Roman" w:eastAsia="Times New Roman" w:hAnsi="Times New Roman"/>
                <w:sz w:val="29"/>
                <w:szCs w:val="29"/>
                <w:color w:val="auto"/>
                <w:vertAlign w:val="superscript"/>
              </w:rPr>
              <w:t>1</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18.6%</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Reach</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ind w:left="360" w:hanging="157"/>
        <w:spacing w:after="0" w:line="196" w:lineRule="auto"/>
        <w:tabs>
          <w:tab w:leader="none" w:pos="360" w:val="left"/>
        </w:tabs>
        <w:numPr>
          <w:ilvl w:val="0"/>
          <w:numId w:val="8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The Vidello acquisition occurred on January 31, 2025 (refer to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 xml:space="preserve"> and therefore does not represent activity for the full six month period in 2025.</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disaggregation of revenue by geographic area, refer to </w:t>
      </w:r>
      <w:r>
        <w:rPr>
          <w:rFonts w:ascii="Times New Roman" w:cs="Times New Roman" w:eastAsia="Times New Roman" w:hAnsi="Times New Roman"/>
          <w:sz w:val="18"/>
          <w:szCs w:val="18"/>
          <w:i w:val="1"/>
          <w:iCs w:val="1"/>
          <w:color w:val="auto"/>
        </w:rPr>
        <w:t>Note 6</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ConnectAndSell Asset Purchase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2, 2026, we acquired substantially all the assets of ConnectAndSell, Inc. (“ConnectAndSell”) an AI-powered sales enablement platform serving B2B organizations across financial services, healthcare, technology, and other industries. ConnectAndSell’s AI sales acceleration platform is designed to improve seller productivity by helping sales teams spend more time in live conversations with qualified decision-makers. The acquisition brings a powerful sales acceleration platform into Parabolic’s portfolio, extending the Company’s reach across more of the customer revenue journey. For more information regarding this acquisition, see “</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MD&amp;A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Financing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1, 2026 (the “Effective Date”), the Company and its subsidiaries (together, the “Borrowers”) entered into a Subordinated Business Loan and Security Agreement (the “Loan Agreement”) with Agile Capital Funding, LLC, as collateral agent, and Agile Lending, LLC, as lead lender (together, with any assignees party thereto, the “Lenders”). Pursuant to the Loan Agreement, the Borrowers issued a Subordinated Secured Promissory Note (“Agile Note #8”), dated July 1, 2026, in the aggregate principal amount of $2.1 million, and received $2.0 million of proceeds, net of a $100 Administrative Agent Fee. Agile Note #8 is repayable in 32 weekly installments of approximately $95, representing a payment multiplier of 1.44x, and all amounts are due on February 10, 2027 (the “Maturity Date”). Borrowers may voluntarily prepay Agile Note #8 in full, and if repaid within 30, 45, or 60 days after the Effective Date, the total loan payoff amount is reduced to $2.625 million, $2.73 million, or $2.835 million, respectively.</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Agile Note #8 is secured by a continuing security interest in substantially all assets of the Borrowers (the “Collateral”), and both the Collateral and the Borrowers’ repayment obligations under Agile Note #8 are subordinate to existing senior indebtedness, including indebtedness owed to CP BF Lending, LLC, 3i, LP, and Hudson Global Ventures, LLC.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Loan Agreement contains customary covenants and events of default. Upon the occurrence of an Event of Default, the Lenders may, at their option, declare the entire unpaid principal balance of Agile Note #8, together with all accrued interest and other charges, immediately due and payable, and exercise any and all rights and remedies available under the Loan Agreement and applicable law, including repossession of the Collateral. In addition, interest on outstanding Obligations will accrue at the Default Rate, which is equal to the otherwise applicable interest rate plus five percentage points (5.00%).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Aegis Public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14, 2026, we closed a previously announced underwritten public offering with gross proceeds to the Company of approximately $0.9 million, before deducting underwriting fees and other offering expenses payable by the Company. The offering consisted of the sale of 32,727 shares of Class A common stock. The public offering price per share was $27.50. We intend to use the net proceeds from the offering for working capital and other general corporate purposes. Solely to cover over-allotments, if any, the Company has granted Aegis Capital Corp. a 45-day option to purchase up to 3,636 additional shares of Common Stock. The purchase price to be paid per additional share of Common Stock will be equal to the public offering price of one Common Stock, less the underwriting discount.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17, 2026, the Company, the Guarantors and CP BF entered into another letter agreement pursuant to which CP BF may not convert any portion of the Note, and the Company may not issue shares to CP BF thereunder, to the extent CP BF and its affiliates would beneficially own more than 9.99% of the Class A Common Stock outstanding after giving effect to such conversion or issuance.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Advanced Notice Settlements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Subsequent to June 30, 2026, the Company issued Advance Notices to Yorkville pursuant to the SEPA and requested aggregate purchases of 19,000 shares of the Company’s Class A Common Stock at an aggregate gross value and net proceeds of approximately $334 and $321,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Note Issuances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July 17, 2026, the Company issued a promissory note (“1800 Diagonal Note #14”) for an aggregate principal amount of approximately $135 and received net proceeds of approximately $110, after discount and transaction fees. The note has a maturity date of April 15, 2027, and bears interest at 77.7%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12, 2026, the Company issued a promissory note (“1800 Diagonal Note #15”) for an aggregate principal amount of approximately $144 and received net proceeds of approximately $118, after discount and transaction fees. The note has a maturity date of May 15, 2027, and bears interest at 74.4% per annum.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Note Conversions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2026 and August 14, 2026, the Lender exercised its contractual conversion option under the December 1800 Diagonal Note and the January 1800 Diagonal Note, respectively, and received an aggregate of approximately 6 thousand shares of Class A Common Stock at conversion prices ranging from $12.45 to $13.05, in satisfaction of approximately $37 and $35 of the Company’s obligations under the December 1800 Diagonal Note and the January 1800 Diagonal Note,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Name Change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October 27, 2026, our company name changed from Banzai International, Inc. to Parabolic Technologies, Inc. following approval by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 Increase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October 30, 2026, the Company amended its Second Amended and Restated Certificate of Incorporation to provide for authorized capital stock of 850,000,000 shares (from 350,000,000), consisting of 750,000,000 shares of Class A Common Stock (from 250,000,000), 25,000,000 shares of Class B Common Stock and 75,000,000 shares of Preferred Stock, each with a par value of $0.0001 per share following approval by our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(Dollar amounts in thousands unless otherwise stated, except share and per share data)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UCAP LLC Convertible Note Issuance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5, 2026, the Company issued a 12% convertible redeemable note to UCAP LLC (“UCAP Note”) for an aggregate principal amount of approximately $556 and received net proceeds of approximately $480, after discount and transaction fees. The note matures on August 5, 2027 and is convertible into shares of the Company’s Class A Common Stock at a variable conversion price based on the market price of the Company’s Class A Common Stock. The Company has elected to account for the note under fair value option.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Boot Capital Conversion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2026, the Lender exercised its contractual conversion option under the Boot Capital Note and received an aggregate of approximately 2 thousand shares of Class A Common Stock at a conversion price of $13.05 in satisfaction of approximately $22 of the Company’s obligations under the Note.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Convertible Note Payoff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7, 2026, the Company paid cash of approximately $600 to 3i, LP, and the February 3i Note was fully repaid.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Convertible Note Issuance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12, 2026, the parties held an additional closing pursuant to the terms of the Purchase Agreement (the “August 2026 Closing”) and the Company issued an additional convertible note (the “3i Note #5”), additional buyer warrants (the “3i Note #5 Warrants”), and additional Financial Advisor warrants (the “3i Note #5 FA Warrants”).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3i Note #5 has an original principal amount of $1,100, matures on August 12, 2027, and has a initial conversion price of $19.60 per share that is subject to a floor price of $3.50. Upon issuance, the Company received proceeds of approximately $1.0 million, net of OID and issuance fees and costs.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3i Note #5 Warrants allow for the purchase of up to 11,253 shares of Common Stock at an initial exercise price of $19.60 per share, are exercisable immediately upon issuance, and expire on August 12, 2029. The 3i Note #5 FA Warrants allow for the purchase of up to 3,571 shares of Common Stock at an initial exercise price of $24.50 per share, are exercisable immediately upon issuance, and expire on August 12, 2031.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Other than the specific terms described above, the 3i Note #5, the 3i Note #5 Warrants, and the 3i Note #5 FA Warrants have the same terms as the 3i, LP Private Placement Convertible Notes, the Private Placement Warrants and the Financial Advisor Warrants that are more fully described in </w:t>
      </w:r>
      <w:r>
        <w:rPr>
          <w:rFonts w:ascii="Times New Roman" w:cs="Times New Roman" w:eastAsia="Times New Roman" w:hAnsi="Times New Roman"/>
          <w:sz w:val="18"/>
          <w:szCs w:val="18"/>
          <w:i w:val="1"/>
          <w:iCs w:val="1"/>
          <w:color w:val="auto"/>
        </w:rPr>
        <w:t>Note 11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see – </w:t>
      </w:r>
      <w:r>
        <w:rPr>
          <w:rFonts w:ascii="Times New Roman" w:cs="Times New Roman" w:eastAsia="Times New Roman" w:hAnsi="Times New Roman"/>
          <w:sz w:val="18"/>
          <w:szCs w:val="18"/>
          <w:i w:val="1"/>
          <w:iCs w:val="1"/>
          <w:color w:val="auto"/>
        </w:rPr>
        <w:t>3i, LP Private Placement Offering.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Banzai International, Inc. (the “Company”) as of December 31, 2025, and the related statements of operations, change in stockholders’ deficit, and cash flows for the year then ended December 31, 2025, and the related notes (collectively referred to as the “consolidated financial statements”). In our opinion, the consolidated financial statements present fairly, in all material respects, the financial position of the Company as of December 31, 2025, and the results of its operations and its cash flows for the year then ended December 31, 2025,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discussed in Note 1 to the financial statements, the Company effected a 1-for-20 reverse stock split as of May 08, 2026 and subsequent 1-for-10 reverse stock split of its Class A and Class B common stock, effective October 27, 2026 (the “Stock Splits”). We also have audited the adjustments necessary to update the December 31, 2024 financial statements to retrospectively apply the Stock Splits, as provided in Note 1. In our opinion, such adjustments are appropriate and have been properly applied. We were not engaged to audit, review or apply any procedures to the December 31, 2024 financial statements of the Company other than with respect to the adjustments and, accordingly, we do not express an opinion or any other form of assurance on the December 31, 2024 financial statements taken as a whole.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entity has suffered recurring losses from operations and has a net capital deficiency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judgements. We determined that the following is a critical audit matter:</w:t>
      </w:r>
    </w:p>
    <w:p>
      <w:pPr>
        <w:spacing w:after="0" w:line="176" w:lineRule="exact"/>
        <w:rPr>
          <w:sz w:val="20"/>
          <w:szCs w:val="20"/>
          <w:color w:val="auto"/>
        </w:rPr>
      </w:pPr>
    </w:p>
    <w:p>
      <w:pPr>
        <w:ind w:left="660" w:hanging="328"/>
        <w:spacing w:after="0"/>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Vidello Limited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in Note 4 to the consolidated financial statements, the acquisition of Vidello Limited completed on January 31, 2025, whereby the Company paid to the Vidello Shareholders, $2,745,031 in cash, whereby $2,500,000 are withheld for indemnification expenses and other holdback provisions in accordance with the Vidello Merger Agreement, and issued 449 shares of Class A Common Stock together with the Cash Consideration, with allocation to identifiable assets, liabilities, and goodwill material to the consolidated financial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accounting for this acquisition as a critical audit matter because of the significant judgment required by management in determining (1) valuing equity consideration; (2) Level 3 fair values for Vidello intangibles using unobservable inputs (discount rates, growth rates from preliminary data, comparables); (3) goodwill calculation as residual; (4) Contingent earn-outs/holdbacks scrutiny. Auditing these valuations required a high degree of auditor judgment as well as the involvement of our valuation specialists.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related to the Company’s accounting for the acquisition included the following, among others:</w:t>
      </w:r>
    </w:p>
    <w:p>
      <w:pPr>
        <w:spacing w:after="0" w:line="225" w:lineRule="exact"/>
        <w:rPr>
          <w:sz w:val="20"/>
          <w:szCs w:val="20"/>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 the transaction structure, acquisition date, and identify the acquirer.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the total consideration (cash, shares, warrants, contingent/earn-out) to transaction documents and records.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the accounting and fair-value measurement of contingent/earn-out consideration,</w:t>
      </w:r>
    </w:p>
    <w:p>
      <w:pPr>
        <w:sectPr>
          <w:pgSz w:w="11900" w:h="16838" w:orient="portrait"/>
          <w:cols w:equalWidth="0" w:num="1">
            <w:col w:w="11240"/>
          </w:cols>
          <w:pgMar w:left="320" w:top="229" w:right="339" w:bottom="0" w:gutter="0" w:footer="0" w:header="0"/>
        </w:sectPr>
      </w:pPr>
    </w:p>
    <w:bookmarkStart w:id="196" w:name="page197"/>
    <w:bookmarkEnd w:id="196"/>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 identification and fair-value allocation of identifiable assets (PP&amp;E, intangibles) and liabilities assumed.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our valuation specialists to assist in evaluating the appropriateness of the valuation methodologies and key assumptions (growth rates, discount rates, multiples, terminal value) in the client’s valuation report.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the underlying financial data (revenue, EBITDA, working capital) used in the valuation against Vidello’s financials.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the Stock Purchase Agreement and related documents to understand the terms and conditions of the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mathematical accuracy of management’s calculations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adequacy of the Company’s disclosures related to the acquisition</w:t>
      </w:r>
    </w:p>
    <w:p>
      <w:pPr>
        <w:spacing w:after="0" w:line="221"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of Level 3 Financial Instruments and Acquisition-Related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described in Note 7 to the consolidated financial statements, the Company has issued multiple debt and financing instruments, including convertible notes, warrants, and acquisition-related goodwill and definite-lived intangible assets.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 of these liabilities requires the use of complex models (e.g., Monte Carlo simulations, Black-Scholes option pricing models, discounted cash flow models) and involves significant management judgment regarding volatility, discount rates, expected terms, credit spreads, and probability-weighted conversion outcomes. These estimates are subjective, involve high measurement uncertainty, and are material to the financial statements. Therefore, this matter required especially challenging auditor judgment.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audit procedures included, among others:</w:t>
      </w:r>
    </w:p>
    <w:p>
      <w:pPr>
        <w:spacing w:after="0" w:line="225"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assessing the terms of the relevant agreements to confirm terms driving valuation inputs.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reasonableness of key valuation inputs by comparing management’s assumptions to observable market data, including interest rates, volatility benchmarks, and credit-risk information.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our valuation specialists to assist in evaluating the appropriateness of the valuation methodologies and independently developing fair value estimates to compare with management’s recorded amounts.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the underlying data used in the valuation models.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related disclosures in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/s/Bush &amp; Associates CPA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Las Vegas, Nevada</w:t>
      </w:r>
    </w:p>
    <w:p>
      <w:pPr>
        <w:spacing w:after="0" w:line="27" w:lineRule="exact"/>
        <w:rPr>
          <w:sz w:val="20"/>
          <w:szCs w:val="20"/>
          <w:color w:val="auto"/>
        </w:rPr>
      </w:pPr>
    </w:p>
    <w:p>
      <w:pPr>
        <w:ind w:right="1000"/>
        <w:spacing w:after="0" w:line="260" w:lineRule="auto"/>
        <w:rPr>
          <w:sz w:val="20"/>
          <w:szCs w:val="20"/>
          <w:color w:val="auto"/>
        </w:rPr>
      </w:pPr>
      <w:r>
        <w:rPr>
          <w:rFonts w:ascii="Times New Roman" w:cs="Times New Roman" w:eastAsia="Times New Roman" w:hAnsi="Times New Roman"/>
          <w:sz w:val="18"/>
          <w:szCs w:val="18"/>
          <w:color w:val="auto"/>
        </w:rPr>
        <w:t>March 31, 2026, except for the Reverse Stock Splits section of Note 1 and the disclosures in Note 19, as to which the date is October 30, 2026 PCAOB ID Number 6797</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Banzai International,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audited, before the effects of the retrospective adjustments related to the 1-for-20 reverse stock split of Banzai International, Inc.’s Class A and Class B common stock, effective May 8, 2026, and the 1-for-10 reverse stock split of Banzai International, Inc’s Class A and Class B common stock, effective October 27, 2026, as disclosed in Note 1 to the consolidated financial statements the accompanying consolidated balance sheet of Banzai International, Inc. (the “Company”) as of December 31, 2024, the related consolidated statements of operations, stockholders’ equity (deficit) and cash flows for the year ended December 31, 2024, and the related notes (collectively referred to as the “financial statements”). In our opinion, before the effects of the retrospective adjustments related to the 1-for-20 reverse stock split of the Company’s Class A and Class B common stock, effective May 8, 2026, and before the effects of the retrospective adjustments related to the 1-for-10 reverse stock split of the Company’s Class A and Class B common stock, effective October 27, 2026, as disclosed in Note 1 to the financial statements and our audit report dated, April 15, 2025 and September 12, 2025,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spacing w:after="0" w:line="18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We were not engaged to audit, review, or apply any procedures to the retrospective adjustments related to the 1-for-20 reverse stock split of the Company’s Class A and Class B common stock, or the retrospective adjustments related to the 1-for-10 reverse stock split of the Company’s Class A and Class B common stock, as disclosed in Note 1 to the financial statements, and accordingly, we do not express an opinion or any form of assurance about whether such adjustments are appropriate and have been properly applied. Those adjustments were audited by Bush &amp; Associates CPA LLC.</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from 2023 to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Marlton, NJ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15, 2025, except for Note 1 as to which the date is September 12,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140" w:type="dxa"/>
            <w:vAlign w:val="bottom"/>
            <w:gridSpan w:val="3"/>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5580" w:type="dxa"/>
            <w:vAlign w:val="bottom"/>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5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259,205</w:t>
            </w:r>
          </w:p>
        </w:tc>
        <w:tc>
          <w:tcPr>
            <w:tcW w:w="8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1,087,497</w:t>
            </w:r>
          </w:p>
        </w:tc>
      </w:tr>
      <w:tr>
        <w:trPr>
          <w:trHeight w:val="198"/>
        </w:trPr>
        <w:tc>
          <w:tcPr>
            <w:tcW w:w="686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$41,341 and $24,210,</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709,203</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936,321</w:t>
            </w:r>
          </w:p>
        </w:tc>
      </w:tr>
      <w:tr>
        <w:trPr>
          <w:trHeight w:val="229"/>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445,089</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643,674</w:t>
            </w:r>
          </w:p>
        </w:tc>
      </w:tr>
      <w:tr>
        <w:trPr>
          <w:trHeight w:val="210"/>
        </w:trPr>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1,413,497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2,667,492</w:t>
            </w: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8,246</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3,539</w:t>
            </w: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8,027,391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3,883,853</w:t>
            </w: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21,991,721</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18,972,475</w:t>
            </w: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55,871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72,565</w:t>
            </w: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63,000</w:t>
            </w: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offering costs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121,788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11,154</w:t>
            </w:r>
          </w:p>
        </w:tc>
      </w:tr>
      <w:tr>
        <w:trPr>
          <w:trHeight w:val="223"/>
        </w:trPr>
        <w:tc>
          <w:tcPr>
            <w:tcW w:w="686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31,631,514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25,674,078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2,494,451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7,782,746</w:t>
            </w: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4,353,943</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3,891,018</w:t>
            </w: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 related party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4,922,601</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8,639,701</w:t>
            </w: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notes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215,057</w:t>
            </w: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notes, carried at fair value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1,856,000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notes (Yorkville)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1,200,501</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carried at fair value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2,591,310</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3,575,000</w:t>
            </w: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liability – related party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warrant liability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295,603</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990,673</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14,850</w:t>
            </w: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167,118</w:t>
            </w: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3,642,527</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3,934,627</w:t>
            </w:r>
          </w:p>
        </w:tc>
      </w:tr>
      <w:tr>
        <w:trPr>
          <w:trHeight w:val="230"/>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22,823</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22,731</w:t>
            </w:r>
          </w:p>
        </w:tc>
      </w:tr>
      <w:tr>
        <w:trPr>
          <w:trHeight w:val="210"/>
        </w:trPr>
        <w:tc>
          <w:tcPr>
            <w:tcW w:w="686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22,370,810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28,260,148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93,726</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117,643</w:t>
            </w:r>
          </w:p>
        </w:tc>
      </w:tr>
      <w:tr>
        <w:trPr>
          <w:trHeight w:val="216"/>
        </w:trPr>
        <w:tc>
          <w:tcPr>
            <w:tcW w:w="6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1,078,055</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10,115</w:t>
            </w:r>
          </w:p>
        </w:tc>
      </w:tr>
      <w:tr>
        <w:trPr>
          <w:trHeight w:val="229"/>
        </w:trPr>
        <w:tc>
          <w:tcPr>
            <w:tcW w:w="6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33,922</w:t>
            </w: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49,974</w:t>
            </w:r>
          </w:p>
        </w:tc>
      </w:tr>
      <w:tr>
        <w:trPr>
          <w:trHeight w:val="210"/>
        </w:trPr>
        <w:tc>
          <w:tcPr>
            <w:tcW w:w="68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23,576,513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28,437,880</w:t>
            </w:r>
          </w:p>
        </w:tc>
        <w:tc>
          <w:tcPr>
            <w:tcW w:w="10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equity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548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$0.0001 par value, 275,000,000 (250,000,000 Class A and 25,000,000 Class</w:t>
      </w:r>
    </w:p>
    <w:p>
      <w:pPr>
        <w:spacing w:after="0" w:line="9" w:lineRule="exact"/>
        <w:rPr>
          <w:sz w:val="20"/>
          <w:szCs w:val="20"/>
          <w:color w:val="auto"/>
        </w:rPr>
      </w:pPr>
    </w:p>
    <w:p>
      <w:pPr>
        <w:ind w:right="4580" w:firstLine="8"/>
        <w:spacing w:after="0" w:line="250" w:lineRule="auto"/>
        <w:tabs>
          <w:tab w:leader="none" w:pos="22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authorized and 52,732 (51,576 Class A and 1,156 Class B) and 4,098 (2,942 Class A and 1,156 Class B) shares issued and outstanding at December 31, 2025 and 2024,</w:t>
      </w:r>
    </w:p>
    <w:tbl>
      <w:tblPr>
        <w:tblLayout w:type="fixed"/>
        <w:tblInd w:w="0" w:type="dxa"/>
        <w:tblCellMar>
          <w:top w:w="0" w:type="dxa"/>
          <w:left w:w="0" w:type="dxa"/>
          <w:bottom w:w="0" w:type="dxa"/>
          <w:right w:w="0" w:type="dxa"/>
        </w:tblCellMar>
      </w:tblPr>
      <w:tr>
        <w:trPr>
          <w:trHeight w:val="198"/>
        </w:trPr>
        <w:tc>
          <w:tcPr>
            <w:tcW w:w="680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respectively</w:t>
            </w: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gridSpan w:val="2"/>
          </w:tcPr>
          <w:p>
            <w:pPr>
              <w:jc w:val="right"/>
              <w:ind w:right="200"/>
              <w:spacing w:after="0" w:line="199" w:lineRule="exact"/>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40" w:type="dxa"/>
            <w:vAlign w:val="bottom"/>
            <w:gridSpan w:val="2"/>
          </w:tcPr>
          <w:p>
            <w:pPr>
              <w:jc w:val="right"/>
              <w:ind w:right="21"/>
              <w:spacing w:after="0" w:line="199"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$0.0001 par value, 75,000,000 shares authorized, 1 and 1 shares issued and</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December 31, 2025 and 2024, respectively</w:t>
            </w: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108,912,161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75,515,911</w:t>
            </w: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(85,377)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(100,771,787)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(78,279,713)</w:t>
            </w:r>
          </w:p>
        </w:tc>
      </w:tr>
      <w:tr>
        <w:trPr>
          <w:trHeight w:val="210"/>
        </w:trPr>
        <w:tc>
          <w:tcPr>
            <w:tcW w:w="68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80" w:type="dxa"/>
            <w:vAlign w:val="bottom"/>
            <w:tcBorders>
              <w:bottom w:val="single" w:sz="8" w:color="CCEEFF"/>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8,055,001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(2,763,802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68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 (deficit)</w:t>
            </w:r>
          </w:p>
        </w:tc>
        <w:tc>
          <w:tcPr>
            <w:tcW w:w="18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31,631,514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25,674,078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199" w:name="page200"/>
    <w:bookmarkEnd w:id="199"/>
    <w:tbl>
      <w:tblPr>
        <w:tblLayout w:type="fixed"/>
        <w:tblInd w:w="0" w:type="dxa"/>
        <w:tblCellMar>
          <w:top w:w="0" w:type="dxa"/>
          <w:left w:w="0" w:type="dxa"/>
          <w:bottom w:w="0" w:type="dxa"/>
          <w:right w:w="0" w:type="dxa"/>
        </w:tblCellMar>
      </w:tblPr>
      <w:tr>
        <w:trPr>
          <w:trHeight w:val="207"/>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14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BANZAI INTERNATIONAL, INC.</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140" w:type="dxa"/>
            <w:vAlign w:val="bottom"/>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128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49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12,161,419</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4,527,879</w:t>
            </w:r>
          </w:p>
        </w:tc>
        <w:tc>
          <w:tcPr>
            <w:tcW w:w="80" w:type="dxa"/>
            <w:vAlign w:val="bottom"/>
          </w:tcPr>
          <w:p>
            <w:pPr>
              <w:spacing w:after="0"/>
              <w:rPr>
                <w:sz w:val="18"/>
                <w:szCs w:val="18"/>
                <w:color w:val="auto"/>
              </w:rPr>
            </w:pPr>
          </w:p>
        </w:tc>
      </w:tr>
      <w:tr>
        <w:trPr>
          <w:trHeight w:val="229"/>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2,188,583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1,422,542</w:t>
            </w:r>
          </w:p>
        </w:tc>
        <w:tc>
          <w:tcPr>
            <w:tcW w:w="80" w:type="dxa"/>
            <w:vAlign w:val="bottom"/>
            <w:shd w:val="clear" w:color="auto" w:fill="CCEEFF"/>
          </w:tcPr>
          <w:p>
            <w:pPr>
              <w:spacing w:after="0"/>
              <w:rPr>
                <w:sz w:val="19"/>
                <w:szCs w:val="19"/>
                <w:color w:val="auto"/>
              </w:rPr>
            </w:pPr>
          </w:p>
        </w:tc>
      </w:tr>
      <w:tr>
        <w:trPr>
          <w:trHeight w:val="209"/>
        </w:trPr>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9,972,836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3,105,337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1280" w:type="dxa"/>
            <w:vAlign w:val="bottom"/>
            <w:shd w:val="clear" w:color="auto" w:fill="CCEEFF"/>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27,287,345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16,548,902</w:t>
            </w:r>
          </w:p>
        </w:tc>
      </w:tr>
      <w:tr>
        <w:trPr>
          <w:trHeight w:val="22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1,150,471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24,179</w:t>
            </w:r>
          </w:p>
        </w:tc>
      </w:tr>
      <w:tr>
        <w:trPr>
          <w:trHeight w:val="210"/>
        </w:trPr>
        <w:tc>
          <w:tcPr>
            <w:tcW w:w="6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28,437,816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16,573,081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128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7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(18,464,980</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(13,467,744</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128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GEM settlement fee expense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1,227,509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related party</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1,156,984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3,047,101</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extinguishment of liabilities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(4,488,627)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(680,762)</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(973,000)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444,000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653,208</w:t>
            </w: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4,873,509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110,500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152,826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conversion and settlement of Alco promissory notes – related party</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4,808,882</w:t>
            </w: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6,529,402</w:t>
            </w:r>
          </w:p>
        </w:tc>
        <w:tc>
          <w:tcPr>
            <w:tcW w:w="80" w:type="dxa"/>
            <w:vAlign w:val="bottom"/>
            <w:shd w:val="clear" w:color="auto" w:fill="CCEEFF"/>
          </w:tcPr>
          <w:p>
            <w:pPr>
              <w:spacing w:after="0"/>
              <w:rPr>
                <w:sz w:val="18"/>
                <w:szCs w:val="18"/>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2,402,732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1,071,563</w:t>
            </w: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(1,243,528)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(626,000)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(572,700)</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bifurcated embedded derivative assets – related party</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(51,000)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convertible notes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(1,987,203)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693,000</w:t>
            </w:r>
          </w:p>
        </w:tc>
        <w:tc>
          <w:tcPr>
            <w:tcW w:w="80" w:type="dxa"/>
            <w:vAlign w:val="bottom"/>
          </w:tcPr>
          <w:p>
            <w:pPr>
              <w:spacing w:after="0"/>
              <w:rPr>
                <w:sz w:val="18"/>
                <w:szCs w:val="18"/>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173,055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88,588</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(46,253)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(10,176)</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Yorkville prepayment premium expense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80,760</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Yorkville SEPA advances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974,079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Vidello earnout expense</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485,720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Failed acquisition costs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1,382,002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impairment</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2,725,460</w:t>
            </w:r>
          </w:p>
        </w:tc>
        <w:tc>
          <w:tcPr>
            <w:tcW w:w="80" w:type="dxa"/>
            <w:vAlign w:val="bottom"/>
            <w:shd w:val="clear" w:color="auto" w:fill="CCEEFF"/>
          </w:tcPr>
          <w:p>
            <w:pPr>
              <w:spacing w:after="0"/>
              <w:rPr>
                <w:sz w:val="18"/>
                <w:szCs w:val="18"/>
                <w:color w:val="auto"/>
              </w:rPr>
            </w:pPr>
          </w:p>
        </w:tc>
      </w:tr>
      <w:tr>
        <w:trPr>
          <w:trHeight w:val="230"/>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(726,572)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88,329</w:t>
            </w:r>
          </w:p>
        </w:tc>
      </w:tr>
      <w:tr>
        <w:trPr>
          <w:trHeight w:val="209"/>
        </w:trPr>
        <w:tc>
          <w:tcPr>
            <w:tcW w:w="62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expenses, net</w:t>
            </w: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3,966,478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18,045,645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7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(22,431,458</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(31,513,389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7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63"/>
        </w:trPr>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(22,492,075</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(31,513,389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197"/>
        </w:trPr>
        <w:tc>
          <w:tcPr>
            <w:tcW w:w="1280" w:type="dxa"/>
            <w:vAlign w:val="bottom"/>
            <w:shd w:val="clear" w:color="auto" w:fill="CCEEFF"/>
          </w:tcPr>
          <w:p>
            <w:pPr>
              <w:spacing w:after="0"/>
              <w:rPr>
                <w:sz w:val="17"/>
                <w:szCs w:val="17"/>
                <w:color w:val="auto"/>
              </w:rPr>
            </w:pPr>
          </w:p>
        </w:tc>
        <w:tc>
          <w:tcPr>
            <w:tcW w:w="49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Deemed dividend - Series A and Series B warrant modification (net of tax)</w:t>
            </w: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(418,360)</w:t>
            </w:r>
          </w:p>
        </w:tc>
      </w:tr>
      <w:tr>
        <w:trPr>
          <w:trHeight w:val="210"/>
        </w:trPr>
        <w:tc>
          <w:tcPr>
            <w:tcW w:w="1280" w:type="dxa"/>
            <w:vAlign w:val="bottom"/>
            <w:tcBorders>
              <w:top w:val="single" w:sz="8" w:color="CCEEFF"/>
            </w:tcBorders>
            <w:shd w:val="clear" w:color="auto" w:fill="CCEEFF"/>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8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w:t>
            </w:r>
          </w:p>
        </w:tc>
        <w:tc>
          <w:tcPr>
            <w:tcW w:w="11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(22,492,075)</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(31,095,029)</w:t>
            </w:r>
          </w:p>
        </w:tc>
      </w:tr>
      <w:tr>
        <w:trPr>
          <w:trHeight w:val="197"/>
        </w:trPr>
        <w:tc>
          <w:tcPr>
            <w:tcW w:w="1280" w:type="dxa"/>
            <w:vAlign w:val="bottom"/>
            <w:tcBorders>
              <w:top w:val="single" w:sz="8" w:color="CCEEFF"/>
            </w:tcBorders>
            <w:shd w:val="clear" w:color="auto" w:fill="CCEEFF"/>
          </w:tcPr>
          <w:p>
            <w:pPr>
              <w:spacing w:after="0"/>
              <w:rPr>
                <w:sz w:val="17"/>
                <w:szCs w:val="17"/>
                <w:color w:val="auto"/>
              </w:rPr>
            </w:pPr>
          </w:p>
        </w:tc>
        <w:tc>
          <w:tcPr>
            <w:tcW w:w="49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w:t>
            </w: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1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(1,189.11)</w:t>
            </w:r>
          </w:p>
        </w:tc>
        <w:tc>
          <w:tcPr>
            <w:tcW w:w="56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(13,950.21)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18,915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00" w:type="dxa"/>
            <w:vAlign w:val="bottom"/>
            <w:gridSpan w:val="1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20" w:type="dxa"/>
            <w:vAlign w:val="bottom"/>
            <w:gridSpan w:val="18"/>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Stockholders’ Equity (Deficit)</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720" w:type="dxa"/>
            <w:vAlign w:val="bottom"/>
            <w:gridSpan w:val="1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year ended December 31, 2025 and 2024</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Series FE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00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2"/>
              </w:rPr>
              <w:t>Shares</w:t>
            </w: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Share</w:t>
            </w: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160" w:type="dxa"/>
            <w:vAlign w:val="bottom"/>
          </w:tcPr>
          <w:p>
            <w:pPr>
              <w:spacing w:after="0"/>
              <w:rPr>
                <w:sz w:val="19"/>
                <w:szCs w:val="19"/>
                <w:color w:val="auto"/>
              </w:rPr>
            </w:pPr>
          </w:p>
        </w:tc>
        <w:tc>
          <w:tcPr>
            <w:tcW w:w="6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0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80" w:type="dxa"/>
            <w:vAlign w:val="bottom"/>
          </w:tcPr>
          <w:p>
            <w:pPr>
              <w:spacing w:after="0"/>
              <w:rPr>
                <w:sz w:val="19"/>
                <w:szCs w:val="19"/>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(loss) income</w:t>
            </w:r>
          </w:p>
        </w:tc>
        <w:tc>
          <w:tcPr>
            <w:tcW w:w="10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74"/>
        </w:trPr>
        <w:tc>
          <w:tcPr>
            <w:tcW w:w="196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6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5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4,098</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75,515,911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(78,279,713)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(2,763,802)</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to Yorkville</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SEPA</w:t>
            </w:r>
          </w:p>
        </w:tc>
        <w:tc>
          <w:tcPr>
            <w:tcW w:w="6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14,411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18,603,219</w:t>
            </w:r>
          </w:p>
        </w:tc>
        <w:tc>
          <w:tcPr>
            <w:tcW w:w="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18,603,220</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issued under ATM</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9,082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3,429,256</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3,429,257</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issued to FE</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upon</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private placement</w:t>
            </w:r>
          </w:p>
        </w:tc>
        <w:tc>
          <w:tcPr>
            <w:tcW w:w="6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329,996</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329,996</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for</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to Hudson</w:t>
            </w:r>
          </w:p>
        </w:tc>
        <w:tc>
          <w:tcPr>
            <w:tcW w:w="6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974,261</w:t>
            </w:r>
          </w:p>
        </w:tc>
        <w:tc>
          <w:tcPr>
            <w:tcW w:w="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974,261</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Verista</w:t>
            </w:r>
          </w:p>
        </w:tc>
        <w:tc>
          <w:tcPr>
            <w:tcW w:w="6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49,800</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49,800</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for</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to Houlihan</w:t>
            </w:r>
          </w:p>
        </w:tc>
        <w:tc>
          <w:tcPr>
            <w:tcW w:w="6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30,810</w:t>
            </w:r>
          </w:p>
        </w:tc>
        <w:tc>
          <w:tcPr>
            <w:tcW w:w="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30,810</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to Perkins Coie</w:t>
            </w:r>
          </w:p>
        </w:tc>
        <w:tc>
          <w:tcPr>
            <w:tcW w:w="6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650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365,299</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365,300</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for</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to Acorn</w:t>
            </w:r>
          </w:p>
        </w:tc>
        <w:tc>
          <w:tcPr>
            <w:tcW w:w="6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22,632</w:t>
            </w:r>
          </w:p>
        </w:tc>
        <w:tc>
          <w:tcPr>
            <w:tcW w:w="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22,632</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Vidello</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w:t>
            </w:r>
          </w:p>
        </w:tc>
        <w:tc>
          <w:tcPr>
            <w:tcW w:w="6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1,661,677</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1,661,677</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to 1800</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Diagonal for conversions</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debt</w:t>
            </w:r>
          </w:p>
        </w:tc>
        <w:tc>
          <w:tcPr>
            <w:tcW w:w="6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457,493</w:t>
            </w:r>
          </w:p>
        </w:tc>
        <w:tc>
          <w:tcPr>
            <w:tcW w:w="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457,493</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3i for</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 of debt</w:t>
            </w:r>
          </w:p>
        </w:tc>
        <w:tc>
          <w:tcPr>
            <w:tcW w:w="6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12,829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4,343,115</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4,343,116</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Shares issued to Agile for</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conversions of debt</w:t>
            </w:r>
          </w:p>
        </w:tc>
        <w:tc>
          <w:tcPr>
            <w:tcW w:w="6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284,000</w:t>
            </w:r>
          </w:p>
        </w:tc>
        <w:tc>
          <w:tcPr>
            <w:tcW w:w="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284,000</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CP BF</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conversions of debt</w:t>
            </w:r>
          </w:p>
        </w:tc>
        <w:tc>
          <w:tcPr>
            <w:tcW w:w="6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165,461</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165,461</w:t>
            </w:r>
          </w:p>
        </w:tc>
        <w:tc>
          <w:tcPr>
            <w:tcW w:w="0" w:type="dxa"/>
            <w:vAlign w:val="bottom"/>
          </w:tcPr>
          <w:p>
            <w:pPr>
              <w:spacing w:after="0"/>
              <w:rPr>
                <w:sz w:val="1"/>
                <w:szCs w:val="1"/>
                <w:color w:val="auto"/>
              </w:rPr>
            </w:pPr>
          </w:p>
        </w:tc>
      </w:tr>
      <w:tr>
        <w:trPr>
          <w:trHeight w:val="198"/>
        </w:trPr>
        <w:tc>
          <w:tcPr>
            <w:tcW w:w="1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Stock-based</w:t>
            </w:r>
          </w:p>
        </w:tc>
        <w:tc>
          <w:tcPr>
            <w:tcW w:w="6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2,679,231</w:t>
            </w:r>
          </w:p>
        </w:tc>
        <w:tc>
          <w:tcPr>
            <w:tcW w:w="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2,679,231</w:t>
            </w:r>
          </w:p>
        </w:tc>
        <w:tc>
          <w:tcPr>
            <w:tcW w:w="0" w:type="dxa"/>
            <w:vAlign w:val="bottom"/>
          </w:tcPr>
          <w:p>
            <w:pPr>
              <w:spacing w:after="0"/>
              <w:rPr>
                <w:sz w:val="1"/>
                <w:szCs w:val="1"/>
                <w:color w:val="auto"/>
              </w:rPr>
            </w:pPr>
          </w:p>
        </w:tc>
      </w:tr>
      <w:tr>
        <w:trPr>
          <w:trHeight w:val="216"/>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RSUs</w:t>
            </w: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Currency translation</w:t>
            </w:r>
          </w:p>
        </w:tc>
        <w:tc>
          <w:tcPr>
            <w:tcW w:w="6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w:t>
            </w:r>
          </w:p>
        </w:tc>
        <w:tc>
          <w:tcPr>
            <w:tcW w:w="640" w:type="dxa"/>
            <w:vAlign w:val="bottom"/>
            <w:gridSpan w:val="2"/>
            <w:vMerge w:val="continue"/>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(85,377)</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(85,377)</w:t>
            </w:r>
          </w:p>
        </w:tc>
        <w:tc>
          <w:tcPr>
            <w:tcW w:w="0" w:type="dxa"/>
            <w:vAlign w:val="bottom"/>
          </w:tcPr>
          <w:p>
            <w:pPr>
              <w:spacing w:after="0"/>
              <w:rPr>
                <w:sz w:val="1"/>
                <w:szCs w:val="1"/>
                <w:color w:val="auto"/>
              </w:rPr>
            </w:pPr>
          </w:p>
        </w:tc>
      </w:tr>
      <w:tr>
        <w:trPr>
          <w:trHeight w:val="229"/>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(22,492,075)</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(22,492,075)</w:t>
            </w:r>
          </w:p>
        </w:tc>
        <w:tc>
          <w:tcPr>
            <w:tcW w:w="0" w:type="dxa"/>
            <w:vAlign w:val="bottom"/>
          </w:tcPr>
          <w:p>
            <w:pPr>
              <w:spacing w:after="0"/>
              <w:rPr>
                <w:sz w:val="1"/>
                <w:szCs w:val="1"/>
                <w:color w:val="auto"/>
              </w:rPr>
            </w:pPr>
          </w:p>
        </w:tc>
      </w:tr>
      <w:tr>
        <w:trPr>
          <w:trHeight w:val="174"/>
        </w:trPr>
        <w:tc>
          <w:tcPr>
            <w:tcW w:w="1960" w:type="dxa"/>
            <w:vAlign w:val="bottom"/>
            <w:tcBorders>
              <w:top w:val="single" w:sz="8" w:color="CCEEFF"/>
            </w:tcBorders>
            <w:gridSpan w:val="2"/>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560" w:type="dxa"/>
            <w:vAlign w:val="bottom"/>
            <w:gridSpan w:val="2"/>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52,732</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108,912,161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(85,377) $</w:t>
            </w:r>
          </w:p>
        </w:tc>
        <w:tc>
          <w:tcPr>
            <w:tcW w:w="1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(100,771,788) $</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8,055,001</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1" w:name="page202"/>
    <w:bookmarkEnd w:id="201"/>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6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5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Series FE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52"/>
        </w:trPr>
        <w:tc>
          <w:tcPr>
            <w:tcW w:w="2180" w:type="dxa"/>
            <w:vAlign w:val="bottom"/>
          </w:tcPr>
          <w:p>
            <w:pPr>
              <w:spacing w:after="0"/>
              <w:rPr>
                <w:sz w:val="21"/>
                <w:szCs w:val="21"/>
                <w:color w:val="auto"/>
              </w:rPr>
            </w:pPr>
          </w:p>
        </w:tc>
        <w:tc>
          <w:tcPr>
            <w:tcW w:w="1600" w:type="dxa"/>
            <w:vAlign w:val="bottom"/>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54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16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7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Amount</w:t>
            </w:r>
          </w:p>
        </w:tc>
        <w:tc>
          <w:tcPr>
            <w:tcW w:w="200" w:type="dxa"/>
            <w:vAlign w:val="bottom"/>
          </w:tcPr>
          <w:p>
            <w:pPr>
              <w:spacing w:after="0"/>
              <w:rPr>
                <w:sz w:val="19"/>
                <w:szCs w:val="19"/>
                <w:color w:val="auto"/>
              </w:rPr>
            </w:pPr>
          </w:p>
        </w:tc>
        <w:tc>
          <w:tcPr>
            <w:tcW w:w="700" w:type="dxa"/>
            <w:vAlign w:val="bottom"/>
            <w:tcBorders>
              <w:top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3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174"/>
        </w:trPr>
        <w:tc>
          <w:tcPr>
            <w:tcW w:w="218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1,293</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14,890,195</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(46,766,324)</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(31,876,129)</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Effect of reverse stock split</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 related party</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2,540,091</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2,540,091</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to Yorkville</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for convertible notes</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4,130,000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4,130,000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Yorkville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commitment fee</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500,000</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500,000</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to Yorkville</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for redemption premium</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115,800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115,800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Roth for</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advisory fee</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578,833</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578,833</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GEM</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784,943</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784,943</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marketing</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334,772</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334,772</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Forfeiture of sponsor shares</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warrants, net of</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6,257,368</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6,257,368</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Incremental fair value of</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Series A and Series B</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warrant modification</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418,360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418,360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Deemed dividend - Series A</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Series B warrant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modification</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(418,360)</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(418,360)</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exercise</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of Pre-Funded warrants</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warrants and pre-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warrants issued to</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CP BF on modification of</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CP BF debt agreement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1,287,003</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1,287,003</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Premium issued as part of</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CP BF debt modification</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4,079,225</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4,079,225</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warrants to CP</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 net of issuance costs</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2,763,161</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2,763,161</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to MZHCI</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for investor relations</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94,800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to J.V.B for</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outstanding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115,000</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warrants and pre-</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funded warrants issued to</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Alco on settlement of Alco</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notes</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8,866,620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8,866,620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Derecognition of Cantor fee</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4,000,000</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Class A Shares issued for</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OpenReel acquisition</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1,526,115</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1,526,115</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Pre-Funded Warrants issued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OpenReel acquisition</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19,300,805</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19,300,805</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FE Preferred Stock</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issued for OpenReel</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RSUs to Board</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Director members</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to Hudson for</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consulting fee</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166,501</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166,501</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 CP BF</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216,284</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216,284</w:t>
            </w:r>
          </w:p>
        </w:tc>
        <w:tc>
          <w:tcPr>
            <w:tcW w:w="0" w:type="dxa"/>
            <w:vAlign w:val="bottom"/>
          </w:tcPr>
          <w:p>
            <w:pPr>
              <w:spacing w:after="0"/>
              <w:rPr>
                <w:sz w:val="1"/>
                <w:szCs w:val="1"/>
                <w:color w:val="auto"/>
              </w:rPr>
            </w:pPr>
          </w:p>
        </w:tc>
      </w:tr>
      <w:tr>
        <w:trPr>
          <w:trHeight w:val="198"/>
        </w:trPr>
        <w:tc>
          <w:tcPr>
            <w:tcW w:w="2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issued to Perkins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Coie LLP for payment of</w:t>
            </w:r>
          </w:p>
        </w:tc>
        <w:tc>
          <w:tcPr>
            <w:tcW w:w="64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debt</w:t>
            </w:r>
          </w:p>
        </w:tc>
        <w:tc>
          <w:tcPr>
            <w:tcW w:w="6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vMerge w:val="continue"/>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919,700</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919,700</w:t>
            </w:r>
          </w:p>
        </w:tc>
        <w:tc>
          <w:tcPr>
            <w:tcW w:w="0" w:type="dxa"/>
            <w:vAlign w:val="bottom"/>
          </w:tcPr>
          <w:p>
            <w:pPr>
              <w:spacing w:after="0"/>
              <w:rPr>
                <w:sz w:val="1"/>
                <w:szCs w:val="1"/>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shares to</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Yorkville under the SEPA</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agreement</w:t>
            </w:r>
          </w:p>
        </w:tc>
        <w:tc>
          <w:tcPr>
            <w:tcW w:w="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880,943</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880,943</w:t>
            </w:r>
          </w:p>
        </w:tc>
        <w:tc>
          <w:tcPr>
            <w:tcW w:w="0" w:type="dxa"/>
            <w:vAlign w:val="bottom"/>
          </w:tcPr>
          <w:p>
            <w:pPr>
              <w:spacing w:after="0"/>
              <w:rPr>
                <w:sz w:val="1"/>
                <w:szCs w:val="1"/>
                <w:color w:val="auto"/>
              </w:rPr>
            </w:pPr>
          </w:p>
        </w:tc>
      </w:tr>
      <w:tr>
        <w:trPr>
          <w:trHeight w:val="238"/>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exercise</w:t>
            </w:r>
          </w:p>
        </w:tc>
        <w:tc>
          <w:tcPr>
            <w:tcW w:w="6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1,176</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1,176</w:t>
            </w:r>
          </w:p>
        </w:tc>
        <w:tc>
          <w:tcPr>
            <w:tcW w:w="0" w:type="dxa"/>
            <w:vAlign w:val="bottom"/>
          </w:tcPr>
          <w:p>
            <w:pPr>
              <w:spacing w:after="0"/>
              <w:rPr>
                <w:sz w:val="1"/>
                <w:szCs w:val="1"/>
                <w:color w:val="auto"/>
              </w:rPr>
            </w:pPr>
          </w:p>
        </w:tc>
      </w:tr>
    </w:tbl>
    <w:p>
      <w:pPr>
        <w:sectPr>
          <w:pgSz w:w="11900" w:h="16927" w:orient="portrait"/>
          <w:cols w:equalWidth="0" w:num="1">
            <w:col w:w="11240"/>
          </w:cols>
          <w:pgMar w:left="320" w:top="229" w:right="339" w:bottom="0" w:gutter="0" w:footer="0" w:header="0"/>
        </w:sectPr>
      </w:pPr>
    </w:p>
    <w:bookmarkStart w:id="202" w:name="page203"/>
    <w:bookmarkEnd w:id="2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of pre-funded warrants -</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HCW PIPE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for exercise</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pre-funded warrants - CP</w:t>
            </w: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BF</w:t>
            </w:r>
          </w:p>
        </w:tc>
        <w:tc>
          <w:tcPr>
            <w:tcW w:w="10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8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0"/>
                <w:szCs w:val="20"/>
                <w:color w:val="auto"/>
              </w:rPr>
            </w:pPr>
          </w:p>
        </w:tc>
      </w:tr>
      <w:tr>
        <w:trPr>
          <w:trHeight w:val="216"/>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1,165,680</w:t>
            </w:r>
          </w:p>
        </w:tc>
        <w:tc>
          <w:tcPr>
            <w:tcW w:w="180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1,165,680</w:t>
            </w:r>
          </w:p>
        </w:tc>
        <w:tc>
          <w:tcPr>
            <w:tcW w:w="100" w:type="dxa"/>
            <w:vAlign w:val="bottom"/>
          </w:tcPr>
          <w:p>
            <w:pPr>
              <w:spacing w:after="0"/>
              <w:rPr>
                <w:sz w:val="18"/>
                <w:szCs w:val="18"/>
                <w:color w:val="auto"/>
              </w:rPr>
            </w:pPr>
          </w:p>
        </w:tc>
      </w:tr>
      <w:tr>
        <w:trPr>
          <w:trHeight w:val="229"/>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2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(31,513,389)</w:t>
            </w:r>
          </w:p>
        </w:tc>
        <w:tc>
          <w:tcPr>
            <w:tcW w:w="4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(31,513,389)</w:t>
            </w:r>
          </w:p>
        </w:tc>
      </w:tr>
      <w:tr>
        <w:trPr>
          <w:trHeight w:val="174"/>
        </w:trPr>
        <w:tc>
          <w:tcPr>
            <w:tcW w:w="218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December 31,</w:t>
            </w:r>
          </w:p>
        </w:tc>
        <w:tc>
          <w:tcPr>
            <w:tcW w:w="5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5"/>
        </w:trPr>
        <w:tc>
          <w:tcPr>
            <w:tcW w:w="2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2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  $</w:t>
            </w:r>
          </w:p>
        </w:tc>
        <w:tc>
          <w:tcPr>
            <w:tcW w:w="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4,098</w:t>
            </w:r>
          </w:p>
        </w:tc>
        <w:tc>
          <w:tcPr>
            <w:tcW w:w="72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$ 75,515,911</w:t>
            </w:r>
          </w:p>
        </w:tc>
        <w:tc>
          <w:tcPr>
            <w:tcW w:w="18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(78,279,713)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(2,763,802)</w:t>
            </w:r>
          </w:p>
        </w:tc>
      </w:tr>
      <w:tr>
        <w:trPr>
          <w:trHeight w:val="20"/>
        </w:trPr>
        <w:tc>
          <w:tcPr>
            <w:tcW w:w="2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3" w:name="page204"/>
    <w:bookmarkEnd w:id="20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140" w:type="dxa"/>
            <w:vAlign w:val="bottom"/>
            <w:gridSpan w:val="3"/>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140" w:type="dxa"/>
            <w:vAlign w:val="bottom"/>
            <w:gridSpan w:val="3"/>
          </w:tcPr>
          <w:p>
            <w:pPr>
              <w:jc w:val="center"/>
              <w:ind w:left="245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6"/>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r>
      <w:tr>
        <w:trPr>
          <w:trHeight w:val="223"/>
        </w:trPr>
        <w:tc>
          <w:tcPr>
            <w:tcW w:w="1280" w:type="dxa"/>
            <w:vAlign w:val="bottom"/>
            <w:tcBorders>
              <w:bottom w:val="single" w:sz="8" w:color="CCEEFF"/>
            </w:tcBorders>
          </w:tcPr>
          <w:p>
            <w:pPr>
              <w:spacing w:after="0"/>
              <w:rPr>
                <w:sz w:val="19"/>
                <w:szCs w:val="19"/>
                <w:color w:val="auto"/>
              </w:rPr>
            </w:pPr>
          </w:p>
        </w:tc>
        <w:tc>
          <w:tcPr>
            <w:tcW w:w="5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(22,492,075)</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(31,513,389)</w:t>
            </w: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1,150,471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24,179</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Provision for credit losses on accounts receivable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17,131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18,462</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share issuance for marketing expenses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245,252</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shares issued for consulting expenses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974,261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settlement of GEM commitment fee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Discount at issuance on notes carried at fair value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1,671,996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747,962</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share issuance for Yorkville redemption premium</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80,760</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1,532,475</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Non-cash interest expense - related party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1,177,033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debt discount and issuance costs - related party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1,393,785</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16,694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137,717</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2,679,231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1,165,680</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release of Vidello revenue holdback</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(973,000)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Gain on extinguishment of liability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(4,488,627)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(680,762)</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Gain on release of due to related party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(67,118)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conversion and settlement of Alco promissory notes - related party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4,808,882</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conversion and settlement of CP BF notes - related party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6,529,402</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issuance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444,000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653,208</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issuance of term notes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110,500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issuance of convertible bridge notes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152,826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Loss on Private Placement Issuance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4,873,509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 net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2,402,732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1,071,563</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Impairment loss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2,725,460</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(1,243,528)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(626,000)</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warrant liability - related party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(572,700)</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bifurcated embedded derivative asset - related party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54,000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(51,000)</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convertible notes, carried at fair value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(1,987,203)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693,000</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convertible promissory notes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Change in fair value of term notes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173,055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88,588</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Change in fair value of convertible bridge notes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(46,253)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209,987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15,828</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198,585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551,645</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27,227</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(381,632)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1,012,281</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(740,066)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110,421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498,051</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(15,960)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(237,607)</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Earnout liability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587,784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(44,549)</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revenue – long-term</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(23,917)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10,573</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Deferred tax liability</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(256,310)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10,115</w:t>
            </w:r>
          </w:p>
        </w:tc>
      </w:tr>
      <w:tr>
        <w:trPr>
          <w:trHeight w:val="230"/>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r>
      <w:tr>
        <w:trPr>
          <w:trHeight w:val="210"/>
        </w:trPr>
        <w:tc>
          <w:tcPr>
            <w:tcW w:w="68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(15,706,619</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(9,575,403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paid for acquisition of Vidello, net of cash acquired</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(2,677,480)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paid for asset acquisition of Superblocks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Cash acquired in acquisition of OpenReel</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82,219</w:t>
            </w:r>
          </w:p>
        </w:tc>
      </w:tr>
      <w:tr>
        <w:trPr>
          <w:trHeight w:val="210"/>
        </w:trPr>
        <w:tc>
          <w:tcPr>
            <w:tcW w:w="686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(2,678,980</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82,219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GEM commitment fee promissory note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(215,057)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Payment of Vidello transition holdback</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convertible notes (Yorkville)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(4,514,664)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related party advance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related party advance</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term notes, net of issuance costs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5,412,050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2,782,438</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 of term notes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(8,694,757)</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(1,939,583)</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Repayments of private placement notes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(1,291,516)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Partial repayment of convertible notes - related party</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(4,728,672)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(283,315)</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Yorkville redemption premium</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35,040</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convertible notes, net of issuance costs</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9,975,654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2,602,000</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received for exercise of Pre-Funded warrants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2,072</w:t>
            </w: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Proceeds from issuance of shares to Yorkville under the SEPA</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18,603,220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880,943</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shares issued to Verista</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49,800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 of deferred offering costs – ATM</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(238,330)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under private placement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329,996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17"/>
        </w:trPr>
        <w:tc>
          <w:tcPr>
            <w:tcW w:w="1280" w:type="dxa"/>
            <w:vAlign w:val="bottom"/>
            <w:shd w:val="clear" w:color="auto" w:fill="CCEEFF"/>
          </w:tcPr>
          <w:p>
            <w:pPr>
              <w:spacing w:after="0"/>
              <w:rPr>
                <w:sz w:val="10"/>
                <w:szCs w:val="10"/>
                <w:color w:val="auto"/>
              </w:rPr>
            </w:pPr>
          </w:p>
        </w:tc>
        <w:tc>
          <w:tcPr>
            <w:tcW w:w="5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bl>
    <w:p>
      <w:pPr>
        <w:sectPr>
          <w:pgSz w:w="11900" w:h="16900" w:orient="portrait"/>
          <w:cols w:equalWidth="0" w:num="1">
            <w:col w:w="11240"/>
          </w:cols>
          <w:pgMar w:left="320" w:top="216" w:right="339" w:bottom="0" w:gutter="0" w:footer="0" w:header="0"/>
        </w:sectPr>
      </w:pPr>
    </w:p>
    <w:bookmarkStart w:id="204" w:name="page205"/>
    <w:bookmarkEnd w:id="204"/>
    <w:p>
      <w:pPr>
        <w:ind w:right="620" w:firstLine="144"/>
        <w:spacing w:after="0" w:line="273" w:lineRule="auto"/>
        <w:rPr>
          <w:sz w:val="20"/>
          <w:szCs w:val="20"/>
          <w:color w:val="auto"/>
        </w:rPr>
      </w:pPr>
      <w:r>
        <w:rPr>
          <w:rFonts w:ascii="Times New Roman" w:cs="Times New Roman" w:eastAsia="Times New Roman" w:hAnsi="Times New Roman"/>
          <w:sz w:val="18"/>
          <w:szCs w:val="18"/>
          <w:color w:val="auto"/>
        </w:rPr>
        <w:t>Proceeds from issuance of common stock and warrants Net cash provided by financing activities</w:t>
      </w:r>
    </w:p>
    <w:p>
      <w:pPr>
        <w:spacing w:after="0" w:line="2"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Effect of exchange rate changes on cash and cash equivalents Net decrease in cash</w:t>
      </w:r>
    </w:p>
    <w:p>
      <w:pPr>
        <w:spacing w:after="0"/>
        <w:rPr>
          <w:sz w:val="20"/>
          <w:szCs w:val="20"/>
          <w:color w:val="auto"/>
        </w:rPr>
      </w:pPr>
      <w:r>
        <w:rPr>
          <w:rFonts w:ascii="Times New Roman" w:cs="Times New Roman" w:eastAsia="Times New Roman" w:hAnsi="Times New Roman"/>
          <w:sz w:val="18"/>
          <w:szCs w:val="18"/>
          <w:color w:val="auto"/>
        </w:rPr>
        <w:t>Cash at beginning of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5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3,545,799</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6,257,368</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17,633,523</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8,486,963</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(76,216)</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(828,292)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(1,006,221)</w:t>
            </w:r>
          </w:p>
        </w:tc>
      </w:t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1,087,497</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2,093,718</w:t>
            </w:r>
          </w:p>
        </w:tc>
        <w:tc>
          <w:tcPr>
            <w:tcW w:w="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259,205</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1,087,497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-899795</wp:posOffset>
            </wp:positionV>
            <wp:extent cx="713232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-608330</wp:posOffset>
            </wp:positionV>
            <wp:extent cx="7132320" cy="1460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-325120</wp:posOffset>
            </wp:positionV>
            <wp:extent cx="7132320" cy="145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4740" w:space="720"/>
            <w:col w:w="5740"/>
          </w:cols>
          <w:pgMar w:left="320" w:top="121" w:right="37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9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30"/>
        </w:trPr>
        <w:tc>
          <w:tcPr>
            <w:tcW w:w="1280" w:type="dxa"/>
            <w:vAlign w:val="bottom"/>
            <w:tcBorders>
              <w:top w:val="single" w:sz="8" w:color="0000EE"/>
            </w:tcBorders>
          </w:tcPr>
          <w:p>
            <w:pPr>
              <w:spacing w:after="0"/>
              <w:rPr>
                <w:sz w:val="24"/>
                <w:szCs w:val="24"/>
                <w:color w:val="auto"/>
              </w:rPr>
            </w:pPr>
          </w:p>
        </w:tc>
        <w:tc>
          <w:tcPr>
            <w:tcW w:w="6380" w:type="dxa"/>
            <w:vAlign w:val="bottom"/>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BANZAI INTERNATIONAL, INC.</w:t>
            </w:r>
          </w:p>
        </w:tc>
        <w:tc>
          <w:tcPr>
            <w:tcW w:w="196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8"/>
        </w:trPr>
        <w:tc>
          <w:tcPr>
            <w:tcW w:w="1280" w:type="dxa"/>
            <w:vAlign w:val="bottom"/>
          </w:tcPr>
          <w:p>
            <w:pPr>
              <w:spacing w:after="0"/>
              <w:rPr>
                <w:sz w:val="20"/>
                <w:szCs w:val="20"/>
                <w:color w:val="auto"/>
              </w:rPr>
            </w:pPr>
          </w:p>
        </w:tc>
        <w:tc>
          <w:tcPr>
            <w:tcW w:w="6380" w:type="dxa"/>
            <w:vAlign w:val="bottom"/>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tc>
        <w:tc>
          <w:tcPr>
            <w:tcW w:w="196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9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1,095,395</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338,393</w:t>
            </w:r>
          </w:p>
        </w:tc>
      </w:tr>
      <w:tr>
        <w:trPr>
          <w:trHeight w:val="216"/>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10,621</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5,113</w:t>
            </w: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Non-cash investing and financing activities</w:t>
            </w:r>
          </w:p>
        </w:tc>
        <w:tc>
          <w:tcPr>
            <w:tcW w:w="19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to Roth for advisory fee</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578,833</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to GEM</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784,943</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for marketing expenses</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334,772</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to MZHCI for investor relations services</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94,800</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to J.V.B for payment of outstanding debt</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115,000</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for exercise of Pre-Funded warrants</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2,072</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Deemed dividend - Series A and Series B warrant modification</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418,360</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to CP BF for debt restructuring</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1,287,003</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Warrants and pre-funded warrants issued to CP BF for debt restructuring</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2,763,161</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Premium issued as part of CP BF debt modification</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4,079,225</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to Alco for debt restructuring</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1,098,614</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Warrants and pre-funded warrants issued to Alco for debt restructuring</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7,768,006</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for Hudson consulting fee</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974,261</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166,501</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for payment to Verista</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49,800</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to Perkins Coie LLP for payment of outstanding debt</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919,700</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Settlement of GEM commitment fee</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200,000</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to Yorkville for commitment fee</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115,800</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Derecognition of Cantor fee</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4,000,000</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Consideration transferred for acquisition of Vidello</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1,661,677</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Assets acquired in acquisition of Vidello</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8,393,172</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assumed in acquisition of Vidello</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3,986,464</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Consideration transferred for acquisition of OpenReel</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20,826,920</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 acquired in acquisition of OpenReel</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24,484,460</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Liabilities assumed in acquisition of OpenReel</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3,657,540</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assets obtained in exchange for lease obligations</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76,269</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Conversion of private placement convertible notes, carried at fair value</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4,343,116</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for payment of outstanding debt</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396,110</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Shares issued for 1800 Diagonal Note conversions of debt</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444,317</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 issued to Yorkville of aggregate commitment fee</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500,000</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Issuance of convertible promissory note – GEM</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Bifurcated embedded derivative liabilities at issuance – related party</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7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Conversion of convertible notes - Yorkville</w:t>
            </w:r>
          </w:p>
        </w:tc>
        <w:tc>
          <w:tcPr>
            <w:tcW w:w="19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4,130,000</w:t>
            </w:r>
          </w:p>
        </w:tc>
      </w:tr>
      <w:tr>
        <w:trPr>
          <w:trHeight w:val="216"/>
        </w:trPr>
        <w:tc>
          <w:tcPr>
            <w:tcW w:w="7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Conversion of convertible notes - related party</w:t>
            </w:r>
          </w:p>
        </w:tc>
        <w:tc>
          <w:tcPr>
            <w:tcW w:w="196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2,540,091</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BANZAI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Banzai International, Inc. (the “Company” or “Banzai”) was incorporated in Delaware on September 30, 2015. Banzai is a leading enterprise SaaS Video Engagement platform used by marketers to power webinars, trainings, virtual events, and on-demand video content.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29, 2024, the stockholders of the Company collectively approved an amendment to the Company’s Certificate of Incorporation, as amended and restated, to effect a reverse stock split (the “2024 Reverse Stock Split”) of the Company’s outstanding Class A Common Stock at a ratio of 1-for-50 effective as of September 19, 2024. The Class B Common Stock was not affected by the 2024 Reverse Stock Split.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27, 2025, the stockholders of the Company collectively approved an amendment to the Company’s Certificate of Incorporation, as amended and restated, to effect a reverse stock split (the “2025 Reverse Stock Split”) of the Company’s outstanding Class A Common Stock and Class B Common Stock at a ratio of 1-for-10 effective on July 8,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28, 2026, the stockholders of the Company collectively approved an amendment to the Company’s Certificate of Incorporation, as amended and restated, to effect a reverse stock split (the “May 2026 Reverse Stock Split”) of the Company’s outstanding Class A Common Stock and Class B Common Stock at a ratio of 1-for-20 effective on May 8,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16, 2026, the stockholders of the Company collectively approved an amendment to the Company’s Certificate of Incorporation, as amended and restated, to effect a reverse stock split (the “October 2026 Reverse Stock Split”) of the Company’s outstanding Class A Common Stock and Class B Common Stock at a ratio of 1-for-10 effective on October 27, 2026.</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cash or fractional shares were issued in connection with the 2024 Reverse Stock Split, 2025 Reverse Stock Split, May 2026 Reverse Stock Split and the October 2026 Reverse Stock Split (collectively, the “Reverse Stock Splits”) and instead the Company rounded up to the next whole share in lieu of issuing fractional shares that would have been issued in the reverse split. The par value per share remained unchanged, and the reduction in the Common Stock account was credited to Additional Paid-in Capital. No change was made to total shareholders’ equity as a result of the Reverse Stock Splits. Proportional adjustments were made to the number of shares of Class A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Class A and Class B Common Stock share and per share information included in this prospectus has been retroactively adjusted to reflect the impact of the Reverse Stock Splits.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Smaller Reporting Company</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an “smaller reporting company,” as defined by SEC rules, and it may take advantage of reduced financial statement disclosure requirements in our SEC filings. Therefore, the Company’s financial statements may not be comparable to certain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cash of approximately $0.3 million. For the year ended December 31, 2025, the Company used approximately $15.7 million in cash for operating activities. The Company has incurred recurring net losses from operations and negative cash flows from operating activities since inception. As of December 31, 2025, the Company had an accumulated deficit of approximately $100.8 million. These factors raise substantial doubt regarding the Company’s ability to continue as a going concern within one year of the date these financial statements were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continuation of the Company as a going concern is dependent upon the continued financial support from its stockholders and debt holders. Specifically, continuation is contingent on the Company’s ability to obtain necessary equity or debt financing to continue operations, and ultimately the Company’s ability to generate profit from sales and positive operating cash flows, which is not assured.</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Company’s plans include obtaining future debt financings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and equity financings associated with the Yorkville SEPA and the ATM (as defined in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If the Company is unsuccessful in completing these planned transactions, it may be required to reduce its spending rate to align with expected revenue levels and cash reserves, although there can be no guarantee that it will be successful in doing so. Accordingly, the Company may be required to raise additional cash through debt or equity transactions. It may not be able to secure financing in a timely manner or on favorable terms, if at all. As a result, management’s plans cannot be considered probable and thus do not alleviate substantial doubt about the Company’s ability to continue as a going concern.</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accompanying consolidated financial statements have been prepared assuming that the Company will continue as a going concern and do not include any adjustments that might result from the outcome of this uncertainty.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audited consolidated financial statements have been prepared in conformity with accounting principles generally accepted in the United States of America (“GAAP”) as determined by the Financial Accounting Standards Board (“FASB”) Accounting Standards Codification (“ASC”) and applicable regulations of the Securities and Exchange Commission (“SEC”) regarding annual financial reporting.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69"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include the accounts of Banzai and its subsidiaries. The Company consolidates all entities over which the Company has the power to govern the financial and operating policies and therefore exercises control, and upon which the Company has a controlling financial interest. The existence and effect of both current voting rights and potential voting rights that are currently exercisable or convertible are considered when assessing whether control of an entity is exercised. The subsidiary is consolidated from the date at which the Company obtains control and is de-consolidated from the date at which control ceases. All intercompany balances and transactions have been eliminated. The accounting policies of the subsidiary has been changed where necessary to ensure consistency with the policies adopted by the Company.</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opinion of management, all necessary adjustments (consisting of normal recurring adjustments, intercompany adjustments, reclassifications and non-recurring adjustments) have been recorded to present fairly our financial position as of December 31, 2025 and 2024, respectively, and the results of operations and cash flows for the years ended December 31, 2025 and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liabilities and disclosure of contingent assets and liabilities at the date of the audited consolidated financial statements and the reported amounts of revenues and expenses during the reporting period.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estimates made as of the date of the financial statements could change in the near term due to one or more future events. Actual results could differ significantly from these estimates. Significant accounting estimates reflected in the Company’s consolidated financial statements include estimates of impairment of goodwill, recognition and measurement of convertible notes, including the associated embedded derivatives, determination of the fair value of the warrant liabilities and debt instruments reported at fair value, determination of the consideration transferred and purchase price allocated to assets acquired and liabilities assumed for acquisitions which are based on their estimated fair values at the date of acquisition, estimated useful lives of finite-lived intangible assets, and recognition and measurement of stock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Risks and Uncertainties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business and operations are sensitive to general business and economic conditions. These conditions include short-term and long-term interest rates, inflation, fluctuations in debt and equity capital markets and the general condition of the world economy. A host of factors beyond the Company’s control could cause fluctuations in these conditions. Adverse developments in these general business and economic conditions could have a material adverse effect on the Company’s financial condition and the results of its operations. In addition, the Company will compete with many companies that currently have extensive and well-funded products, marketing and sales operations. The Company may be unable to compete successfully against these companies. The Company’s industry is characterized by rapid changes in technology and market demands. As a result, the Company’s products, services, or expertise may become obsolete or unmarketable. The Company’s future success will depend on its ability to adapt to technological advances, anticipate customer and market demands, and enhance its current technology. The Company is also subject to risks which include, but are not limited to, dependence on key personnel, reliance on third parties, successful integration of business acquisitions, protection of proprietary technology, and compliance with regulatory requirements.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90 days or less to be cash equivalents. As of December 31, 2025 and 2024, respectively, the Company does not have any cash equivalents.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no significant off-balance-sheet concentration of credit risk such as foreign exchange contracts, option contracts or other hedging arrangements. The Company holds cash in banks in excess of federally insured limits. However, the Company believes risk of loss is minimal as the cash is held by large highly rated financial institutions. To reduce its risk associated with the failure of such financial institutions, the Company evaluates at least annually the rating of the financial institutions in which it holds cash. Any material loss that the Company may experience in the future could have an adverse effect on its ability to pay its operational expenses or make other payments and may require the Company to move its cash to other high quality financial institutions. Currently, the Company is reviewing its bank relationships in order to mitigate its risk to ensure that its exposure is limited or reduced to the FDIC protection limits.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Credit Losses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Accounts receivable consist of balances due from customers as well as from payment service providers. Payment terms range from due upon receipt, to net 30 days. Accounts receivable are stated net of an allowance for credit losses.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allowance for expected credit losses is based on the probability of future collection under the current expected credited loss (“CECL”) impairment model. Account balances are written off after all means of collection are exhausted and the balance is deemed uncollectible. Subsequent recoveries are credited to the allowance. Changes in the allowance are recorded as adjustments to credit losses in the period incurred.</w:t>
      </w:r>
    </w:p>
    <w:p>
      <w:pPr>
        <w:sectPr>
          <w:pgSz w:w="11900" w:h="16838" w:orient="portrait"/>
          <w:cols w:equalWidth="0" w:num="1">
            <w:col w:w="11240"/>
          </w:cols>
          <w:pgMar w:left="320" w:top="229"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credit losses for the year ended December 31,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provision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1412" w:hanging="1412"/>
        <w:spacing w:after="0"/>
        <w:tabs>
          <w:tab w:leader="none" w:pos="1412"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24,210</w:t>
      </w:r>
    </w:p>
    <w:p>
      <w:pPr>
        <w:spacing w:after="0" w:line="27" w:lineRule="exact"/>
        <w:rPr>
          <w:rFonts w:ascii="Times New Roman" w:cs="Times New Roman" w:eastAsia="Times New Roman" w:hAnsi="Times New Roman"/>
          <w:sz w:val="18"/>
          <w:szCs w:val="18"/>
          <w:color w:val="auto"/>
        </w:rPr>
      </w:pPr>
    </w:p>
    <w:p>
      <w:pPr>
        <w:ind w:left="14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17,131</w:t>
      </w:r>
    </w:p>
    <w:p>
      <w:pPr>
        <w:spacing w:after="0" w:line="31" w:lineRule="exact"/>
        <w:rPr>
          <w:sz w:val="20"/>
          <w:szCs w:val="20"/>
          <w:color w:val="auto"/>
        </w:rPr>
      </w:pPr>
    </w:p>
    <w:p>
      <w:pPr>
        <w:ind w:left="1412" w:hanging="1412"/>
        <w:spacing w:after="0"/>
        <w:tabs>
          <w:tab w:leader="none" w:pos="141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34290</wp:posOffset>
            </wp:positionV>
            <wp:extent cx="120840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8508" w:space="720"/>
            <w:col w:w="2012"/>
          </w:cols>
          <w:pgMar w:left="320" w:top="229" w:right="339" w:bottom="1440" w:gutter="0" w:footer="0" w:header="0"/>
          <w:type w:val="continuous"/>
        </w:sectPr>
      </w:pPr>
    </w:p>
    <w:p>
      <w:pPr>
        <w:spacing w:after="0" w:line="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commissions earned by the Company’s sales force are the primary costs incurred to obtain a contract with a customer, and are considered incremental and recoverable costs of obtaining a contract with a customer. Sales commissions for initial contracts are deferred and then amortized on a straight-line basis over a period of benefit the Company has determined to be three (3) years. The Company determined the period of benefit by taking into consideration the average contractual customer term, technology obsolescence and other factors. Certain commission expenses are not capitalized and are instead directly expensed. Capitalized commissions are included within prepaid expenses and other current assets on the consolidated balance sheets.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and equipment are recorded at cost and presented net of accumulated depreciation. Major additions and betterments are capitalized while maintenance and repairs, which do not improve or extend the life of the respective assets, are expensed. Property and equipment are depreciated on the straight-line basis over their estimated useful lives (3 years for computer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identifiable assets acquired in a business combination. Goodwill is reviewed for impairment at least annually, or more frequently if a triggering event occurs between impairment testing dates. Our annual impairment testing date is December 31.</w:t>
      </w:r>
    </w:p>
    <w:p>
      <w:pPr>
        <w:spacing w:after="0" w:line="17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identify our reporting units in accordance with the FASB ASC 280,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At December 31, 2025, the Company has three operating segments which were deemed to be its reporting units, and goodwill is allocated to each reporting unit.</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the reporting unit is less than its carrying value. Qualitative factors may include, macroeconomic conditions, industry and market considerations, cost factors, and other relevant entity and Company specific events. If, based on the qualitative test, the Company determines that it is “more likely than not” that the fair value of a reporting unit is less than its carrying value, then we evaluate goodwill for impairment by comparing the fair value of our reporting unit to its respective carrying value, including its goodwill. If it is determined that it is not likely that the fair value of the reporting unit is less than its carrying value, then no further testing is required.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selection and assessment of qualitative factors used to determine whether it is more likely than not that the fair value of a reporting unit exceeds the carrying value involves significant judgment and estimates. Fair values may be determined using a combination of both income and market-based approaches.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Intangible assets, net consists of identifiable intangible assets that are subject to amortization such as customer relationships, trade names and developed technology resulting from acquisitions. Intangible assets are initially recorded at fair value on the date of acquisition and subsequently amortized over their estimated economic lives on a straight-line basis which approximates the pattern in which the economic benefits of the assets will be consumed. Intangible assets are presented net of accumulated amortization in the consolidated balance sheets.</w:t>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periodically evaluates its long-lived assets for potential impairment in accordance with FASB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Potential impairment is assessed when there is evidence that events or changes in circumstances indicate that the carrying amount of an asset may not be recovered. The recoverability of these assets is assessed based on undiscounted expected future cash flows from the assets, considering a number of factors, including past operating results, budgets and economic projections, market trends and product development cycles. If impairments are identified, assets are written down to their estimated fair value. The Company has not recognized any impairment charges on intangible assets through December 31, 2025.</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The classification of derivative instruments, including whether such instruments should be recorded as liabilities or as equity, is re-assessed at the end of each reporting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Liability –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warrants originally issued in 7GC’s initial public offering (the “Public Warrants”) are recognized as derivative liabilities in accordance with FASB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Accordingly, the Company recognizes the warrant instruments as liabilities at fair value and adjusts the instruments to fair value at each reporting period. The liabilities are subject to re-measurement at each balance sheet date until exercise or expiration, and any change in fair value is recognized in the consolidated statements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Public Warrants were initially measured at fair value using a Monte Carlo simulation model and have subsequently been measured based on the listed market price of such warrants. Warrant liabilities are classified as current liabilities on the consolidated balance sheets. The changes in the fair value of the derivative warrant liability is presented in the line item “change in fair value of warrant liabilities – related party” in the accompanying consolidated statements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Warrant Liability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Warrants were not considered indexed to the issuer’s stock pursuant to ASC 815, as the holder’s ability to receive in lieu of the Warrant one percent of the total consideration received by the Company’s stockholders in connection with a Change of Control, where the surviving corporation is not publicly traded,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The changes in the fair value of the derivative warrant liability is presented in the line item “change in fair value of warrant liabilities” in the accompanying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Business and Credit Risk</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principally of cash and cash equivalents and accounts receivable. The Company has no financial instruments with off-balance sheet risk of loss.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December 31, 2025, one customer accounted for 10% or more of accounts receivable with a concentration of 13% of the total accounts receivable balance. At December 31, 2024, one customer accounted for 10% or more of accounts receivable with a concentration of 14% of the total accounts receivable balance. For the years ended December 31, 2025 and 2024, no customers accounted for 10% or more of total revenues.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2024, no suppliers and two suppliers accounted for 10% or more of accounts payable,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loss per share of common stock is computed by dividing net loss attributable to common stockholders by the weighted average number of shares of common stock outstanding and pre-funded warrants outstanding during the period. Diluted net loss per share excludes, when applicable, the potential impact of stock options and convertible preferred stock because their effect would be anti-dilutive due to the net loss. Since the Company had a net loss in each of the periods presented, basic and diluted net loss per common share are the same.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net loss per share attributable to common stock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54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common shareholders—basic and diluted</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(22,492,075)</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(31,095,029)</w:t>
            </w:r>
          </w:p>
        </w:tc>
      </w:tr>
      <w:tr>
        <w:trPr>
          <w:trHeight w:val="216"/>
        </w:trPr>
        <w:tc>
          <w:tcPr>
            <w:tcW w:w="54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shares—basic and diluted</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18,915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2,229</w:t>
            </w:r>
          </w:p>
        </w:tc>
      </w:tr>
      <w:tr>
        <w:trPr>
          <w:trHeight w:val="234"/>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shareholders—basic and diluted</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(1,189.11)</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(13,950.21)</w:t>
            </w:r>
          </w:p>
        </w:tc>
      </w:tr>
      <w:tr>
        <w:trPr>
          <w:trHeight w:val="414"/>
        </w:trPr>
        <w:tc>
          <w:tcPr>
            <w:tcW w:w="54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620"/>
              <w:spacing w:after="0"/>
              <w:rPr>
                <w:sz w:val="20"/>
                <w:szCs w:val="20"/>
                <w:color w:val="auto"/>
              </w:rPr>
            </w:pPr>
            <w:r>
              <w:rPr>
                <w:rFonts w:ascii="Times New Roman" w:cs="Times New Roman" w:eastAsia="Times New Roman" w:hAnsi="Times New Roman"/>
                <w:sz w:val="18"/>
                <w:szCs w:val="18"/>
                <w:color w:val="auto"/>
              </w:rPr>
              <w:t>F-61</w:t>
            </w: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Securities that were excluded from loss per share as their effect would be anti-dilutive due to the net loss that could potentially be dilutive in future periods are as follows:</w:t>
      </w:r>
    </w:p>
    <w:p>
      <w:pPr>
        <w:spacing w:after="0" w:line="171"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980" w:type="dxa"/>
            <w:vAlign w:val="bottom"/>
            <w:tcBorders>
              <w:bottom w:val="single" w:sz="8" w:color="CCEEFF"/>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192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13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RSUs</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2,070</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 shares</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115</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GEM warrant shares</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2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warrant shares</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3,680</w:t>
            </w:r>
          </w:p>
        </w:tc>
        <w:tc>
          <w:tcPr>
            <w:tcW w:w="1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2,264</w:t>
            </w:r>
          </w:p>
        </w:tc>
        <w:tc>
          <w:tcPr>
            <w:tcW w:w="80" w:type="dxa"/>
            <w:vAlign w:val="bottom"/>
            <w:shd w:val="clear" w:color="auto" w:fill="CCEEFF"/>
          </w:tcPr>
          <w:p>
            <w:pPr>
              <w:spacing w:after="0"/>
              <w:rPr>
                <w:sz w:val="18"/>
                <w:szCs w:val="18"/>
                <w:color w:val="auto"/>
              </w:rPr>
            </w:pPr>
          </w:p>
        </w:tc>
      </w:tr>
      <w:tr>
        <w:trPr>
          <w:trHeight w:val="216"/>
        </w:trPr>
        <w:tc>
          <w:tcPr>
            <w:tcW w:w="8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Placement agent warrant shares</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359</w:t>
            </w: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Pr>
          <w:p>
            <w:pPr>
              <w:spacing w:after="0"/>
              <w:rPr>
                <w:sz w:val="18"/>
                <w:szCs w:val="18"/>
                <w:color w:val="auto"/>
              </w:rPr>
            </w:pPr>
          </w:p>
        </w:tc>
      </w:tr>
      <w:tr>
        <w:trPr>
          <w:trHeight w:val="229"/>
        </w:trPr>
        <w:tc>
          <w:tcPr>
            <w:tcW w:w="8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Pre-funded warrants</w:t>
            </w: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320" w:type="dxa"/>
            <w:vAlign w:val="bottom"/>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of revenue consist primarily of infrastructure, streaming service, data license and contracted services costs, as well as merchant fees and payroll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Advertising costs were $659,877 and $467,897 for the years ended December 31, 2025 and 2024, respectively, which are included in general and administrative expenses on the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Company expenses stock-based compensation to employees and non-employees over the requisite service period based on the estimated grant-date fair value of the awards in accordance with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The Company accounts for forfeitures as they occur. The Company estimates the fair value of stock option grants using the Black-Scholes option pricing model, and the assumptions used in calculating the fair value of stock-based awards represent management’s best estimates and involve inherent uncertainties and the application of management’s judgment.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Income taxes are recorded in accordance with FASB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provides for deferred taxes using an asset and liability approach. The Company recognizes deferred tax assets and liabilities for the expected future tax consequences of events that have been included in the financial statements or tax returns. Deferred tax assets and liabilities are determined based on the difference between the financial statement and tax basis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accounts for uncertain tax positions in accordance with the provisions of ASC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to determine if such instruments contain features that qualify as embedded derivatives. Embedded derivatives must be separately measured from the host contract if all the requirements for bifurcation are met. The assessment of the conditions surrounding the bifurcation of embedded derivatives depends on the nature of the host contract. Bifurcated embedded derivatives are recognized at fair value, with changes in fair value recognized in the consolidated statements of operations each period. Bifurcated embedded derivatives are classified with the related host contract in the consolidated balance sheets. Refer to </w:t>
      </w:r>
      <w:r>
        <w:rPr>
          <w:rFonts w:ascii="Times New Roman" w:cs="Times New Roman" w:eastAsia="Times New Roman" w:hAnsi="Times New Roman"/>
          <w:sz w:val="18"/>
          <w:szCs w:val="18"/>
          <w:i w:val="1"/>
          <w:iCs w:val="1"/>
          <w:color w:val="auto"/>
        </w:rPr>
        <w:t>Note 7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further detail.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Company uses a three-level hierarchy for fair value measurements of certain assets and liabilities for financial reporting purposes that distinguishes between market participant assumptions developed from market data obtained from outside sources (observable inputs) and the Company’s own assumptions about market participant assumptions developed from the best information available to us in the circumstances (unobservable inputs). The fair value hierarchy is divided into three levels based on the source of inputs as follows:</w:t>
      </w:r>
    </w:p>
    <w:p>
      <w:pPr>
        <w:spacing w:after="0" w:line="18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Level 2: Inputs other than Level 1 prices for similar assets or liabilities that are directly or indirectly observable in the marketplace.</w:t>
      </w:r>
    </w:p>
    <w:p>
      <w:pPr>
        <w:spacing w:after="0" w:line="225" w:lineRule="exact"/>
        <w:rPr>
          <w:sz w:val="20"/>
          <w:szCs w:val="20"/>
          <w:color w:val="auto"/>
        </w:rPr>
      </w:pPr>
    </w:p>
    <w:p>
      <w:pPr>
        <w:ind w:left="400" w:right="20"/>
        <w:spacing w:after="0" w:line="282" w:lineRule="auto"/>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 and values determined using pricing models, discounted cash flow methodologies, or similar techniques, as well as instruments for which the determination of fair value requires significant judgment or estimation.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during the years ended December 31, 2025 and 2024. The carrying amount of cash, accounts receivable, prepaid expenses and other current assets, accounts payable, accrued expenses, deferred revenue, and other current liabilities approximated their fair values as of December 31, 2025 and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Election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determined the January 2025 Yorkville Note, the September 2025 Yorkville Note, the Agile Notes, the 1800 Diagonal Notes, the Private Placement Convertible Notes, and the Boot Capital Convertible Notes (each as defined in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and together the “FVO Notes”) were eligible for the fair value option, in accordance with FASB ASC 825-10-50-28, and made such election to account for these instruments at fair value.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option may be elected on an instrument-by-instrument basis and is irrevocable unless a new election date occurs. Additional term or other notes may be issued in subsequent periods where the Company would be able to make a fair value option election upon issuance provided eligibility criteria are met. The fair value option election was made to align the accounting for the FVO Notes with the Company’s financial reporting objectives and reduce operational effort to account for embedded features that otherwise would require bifurcation as a separate unit of account.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fair value option election, direct and incremental debt issuance costs and consideration paid to the respective lender were expensed as incurred and recorded in other income (expense), net in the consolidated statements of operations.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Losses recognized upon issuance of debt represent the difference between issuance date fair value and the proceeds received net of discount or premium, which are recorded in loss on debt issuance in the consolidated statements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the portion of the FVO Notes that are issued and outstanding for accounting purposes at fair value with changes in fair value recorded in change in fair value in the consolidated statements of operations, except for the portion of the total change in fair value that results from a change in the instrument-specific credit risk of FVO Notes, which is recorded in other comprehensive income (loss), if applicable. Measurement of the change in fair value of the FVO Notes includes accrued interest, whether paid-in-kind or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on the FVO Notes is included in the respective debt instrument’s balance on the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and classifies its leases at commencement. Operating leases are presented as right-of-use (“ROU”) assets and the corresponding lease liabilities are included in operating lease liabilities, current and operating lease liabilities, non-current on the Company’s balance sheets. ROU assets represent the Company’s right to use an underlying asset, and lease liabilities represent the Company’s obligation for lease payments in exchange for the ability to use the asset for the duration of the lease term.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and lease liabilities are recognized at commencement date and determined using the present value of the future minimum lease payments over the lease term. The Company uses an incremental borrowing rate based on estimated rate of interest for collateralized borrowing since the Company’s leases do not include an implicit interest rate. The estimated incremental borrowing rate considers market data, actual lease economic environment, and actual lease term at commencement date. The lease term may include options to extend when it is reasonably certain that the Company will exercise that option. In addition, the Company does not recognize short-term leases that have a term of twelve months or less as ROU assets or lease liabilities. The Company recognizes operating lease expense on a straight-line basis over the lease term.</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lease agreements which contain both lease and non-lease components, which it has elected to account for as a single lease component when the payments are fixed. As such, variable lease payments, including those not dependent on an index or rate, such as real estate taxes, common area maintenance, and other costs that are subject to fluctuation from period to period are not included in lease measurement.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long-lived assets for recoverability if there are indicators of potential impairment. Indicators of potential impairment may include subleasing a location for less than the head lease cost. If there are indicators of potential impairment, the Company will test the assets for recoverability. If the undiscounted cash flows estimated to be generated are less than the carrying value of the underlying assets, the assets are deemed impaired. If it is determined that assets are impaired, an impairment loss is calculated based on the amount that the asset’s book value exceeds its fair value.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effective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Accounting Standards Update (“ASU”) ASU No. 2024-03, </w:t>
      </w:r>
      <w:r>
        <w:rPr>
          <w:rFonts w:ascii="Times New Roman" w:cs="Times New Roman" w:eastAsia="Times New Roman" w:hAnsi="Times New Roman"/>
          <w:sz w:val="18"/>
          <w:szCs w:val="18"/>
          <w:i w:val="1"/>
          <w:iCs w:val="1"/>
          <w:color w:val="auto"/>
        </w:rPr>
        <w:t>Disaggregation of Income Statement Expenses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w:t>
      </w:r>
      <w:r>
        <w:rPr>
          <w:rFonts w:ascii="Times New Roman" w:cs="Times New Roman" w:eastAsia="Times New Roman" w:hAnsi="Times New Roman"/>
          <w:sz w:val="18"/>
          <w:szCs w:val="18"/>
          <w:color w:val="auto"/>
        </w:rPr>
        <w:t>. The ASU requires the disaggregated disclosure of specific expense categories, including purchases of inventory, employee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and amortization included in each relevant expense caption presented on the statement of operations. The guidance also requires disclosure of a qualitative description of the amounts remaining in relevant expense captions that are not separately disaggregated quantitatively, as well as the total amount of selling expenses and an entity’s definition of selling expenses. This guidance is effective for annual reporting periods beginning after December 15, 2026 and interim reporting periods beginning after December 15, 2027. Early adoption of the amendment is permitted. The Company is currently evaluating the guidance and its impact to its consolidated financial statements and related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 Assets, </w:t>
      </w:r>
      <w:r>
        <w:rPr>
          <w:rFonts w:ascii="Times New Roman" w:cs="Times New Roman" w:eastAsia="Times New Roman" w:hAnsi="Times New Roman"/>
          <w:sz w:val="18"/>
          <w:szCs w:val="18"/>
          <w:color w:val="auto"/>
        </w:rPr>
        <w:t>which provides a practical expedient to measure credit losses on accounts receivable and contract assets. This guidance is effective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beginning after December 15, 2025 and will be adopted prospectively. Early adoption is permitted. The Company is currently evaluating the impact of this guidance on our consolidated financial statements and related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enhances the disclosure requirements for the income tax rate reconciliation, domestic and foreign income taxes paid, requiring disclosure of disaggregated income taxes paid by jurisdiction, unrecognized tax benefits, and modifies other income tax-related disclosures. The Company adopted this guidance effective January 1, 2025, on a prospective basis. The adoption of this guidance did not have a material impact on the Company’s consolidated financial statements.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31, 2025, the Company closed a previously announced merger with Vidello Limited (“Vidello”), a private limited company registered in England and Wales (the “Vidello Merger”), pursuant to an Agreement and Plan of Merger (the “Vidello Merger Agreement”), dated December 19, 2024, by and among the Company, Vidello, and certain shareholders of Vidello (the “Vidello Shareholders”). At the closing, Vidello Shareholders transferred all the outstanding shares of Vidello to the Company, and Vidello became a direct and wholly owned subsidiary of the Company. At the closing, the Company paid to the Vidello Shareholders, $2,745,031 in cash (the “Vidello Cash Consideration”), whereby $2,500,000 are withheld for indemnification expenses and other holdback provisions in accordance with the Vidello Merger Agreement, and issued 449 shares of Class A Common Stock (the “Share Consideration,” together with the Cash Consideration, the “Vidello Closing Consideration”). The Company’s primary reason for acquiring Vidello was to enhance revenue growth and strengthen the Company’s competitive market position through cross selling opportunities. Vidello is a video hosting and marketing platform designed to help businesses manage, customize, and optimize their video content.</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respect to the holdback amount, this consists of three distinct components, being (1) the withholding of $1,000,000 as security for the obligations of Company Shareholders for a period of twelve months (the “Indemnification Holdback Amount”), (2) the withholding of $500,000 as security for the obligations of Company Shareholders to cooperate with best efforts and in good faith with to complete the transition, integration and related matters of Vidello’s business with Banzai, including, but not limited to (a) the transition of data of Vidello managed and/or held by Vidello to Banzai, (b) certain services relating to the continued operations of Vidello, and (c) the training of certain employees of Banzai regarding the operations of Vidello including any proprietary business processes and trade secrets following the Closing, during the six months following the Closing (the “Transition Holdback Period”), and (3) the withholding of $1,000,000 subject to certain revenue related conditions being met during the 180 day period following the Closing (the “Revenue Holdback Amount” and together with the Indemnification Holdback Amount and the Transition Holdback Amount, the “Holdback Amount”).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recognized $485,720 of expense after foreign currency translation in the consolidated statements of operations related to the Transition Holdback Amount in the line Vidello earnout expense. As of December 31, 2025, the Company had paid the contractual amount of $500,000 to the Vidello Shareholders for the Transition Holdback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180 day measurement period for the Revenue Holdback had lapsed and the revenue conditions as defined in the Vidello Merger Agreement had not been met. As such the Company recognized a gain on the extinguishment of Vidello revenue holdback of $973,000 for the year ended December 31,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and as a condition of closing pursuant to the Vidello Merger Agreement, the Company executed and delivered to each Vidello Shareholder a lock-up agreement (the “Vidello Lock-Up Agreement”), pursuant to which, the shareholders of Class A Common Stock and any other securities convertible or exercisable into the shares of Class A Common Stock beneficially owned by them, during the 180-day period following the closing of the Vidello Merger, cannot complete any Prohibited Transfer (as defined in the Vidello Merger Agreement).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closing of the Vidello Merger, the directors, and officers of Vidello tendered their resignation, effective at the closing. Pursuant to the Vidello Merger Agreement, the CEO of the Company shall be the sole member of the board of directors of Vidello effective upon the closing of the Vidello Merger.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incurred transaction costs of approximately $730,000 which are included in the consolidated statements of operations.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Vidello Merger was accounted for as a business combination under the acquisition method pursuant to FASB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(“ASC 805”), with the Company as the accounting acquirer. Under the acquisition method, the total purchase price of the acquisition is allocated to the net identifiable tangible and intangible assets acquired and liabilities assumed based on the fair values as of the acquisition date. The preliminary fair value of the consideration transferred totaled $6,267,747 summarized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0"/>
        </w:trPr>
        <w:tc>
          <w:tcPr>
            <w:tcW w:w="9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at closing</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2,745,031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to Vidello Stockholders</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1,661,677</w:t>
            </w:r>
          </w:p>
        </w:tc>
        <w:tc>
          <w:tcPr>
            <w:tcW w:w="80" w:type="dxa"/>
            <w:vAlign w:val="bottom"/>
          </w:tcPr>
          <w:p>
            <w:pPr>
              <w:spacing w:after="0"/>
              <w:rPr>
                <w:sz w:val="18"/>
                <w:szCs w:val="18"/>
                <w:color w:val="auto"/>
              </w:rPr>
            </w:pPr>
          </w:p>
        </w:tc>
      </w:tr>
      <w:tr>
        <w:trPr>
          <w:trHeight w:val="229"/>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Holdback Amount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1,861,039</w:t>
            </w:r>
          </w:p>
        </w:tc>
        <w:tc>
          <w:tcPr>
            <w:tcW w:w="80" w:type="dxa"/>
            <w:vAlign w:val="bottom"/>
            <w:shd w:val="clear" w:color="auto" w:fill="CCEEFF"/>
          </w:tcPr>
          <w:p>
            <w:pPr>
              <w:spacing w:after="0"/>
              <w:rPr>
                <w:sz w:val="19"/>
                <w:szCs w:val="19"/>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 paid</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made a provisional allocation of the purchase price of the Vidello Merger to the assets acquired and liabilities assumed as of the acquisition date. The following table summarizes the provisional purchase price allocation relating to the Vidello Merger:</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40" w:type="dxa"/>
            <w:vAlign w:val="bottom"/>
            <w:gridSpan w:val="2"/>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67,551</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9,375</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551,000</w:t>
            </w: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 trade name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736,000</w:t>
            </w:r>
          </w:p>
        </w:tc>
        <w:tc>
          <w:tcPr>
            <w:tcW w:w="80" w:type="dxa"/>
            <w:vAlign w:val="bottom"/>
            <w:shd w:val="clear" w:color="auto" w:fill="CCEEFF"/>
          </w:tcPr>
          <w:p>
            <w:pPr>
              <w:spacing w:after="0"/>
              <w:rPr>
                <w:sz w:val="18"/>
                <w:szCs w:val="18"/>
                <w:color w:val="auto"/>
              </w:rPr>
            </w:pPr>
          </w:p>
        </w:tc>
      </w:tr>
      <w:tr>
        <w:trPr>
          <w:trHeight w:val="23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4,010,000</w:t>
            </w:r>
          </w:p>
        </w:tc>
        <w:tc>
          <w:tcPr>
            <w:tcW w:w="80" w:type="dxa"/>
            <w:vAlign w:val="bottom"/>
          </w:tcPr>
          <w:p>
            <w:pPr>
              <w:spacing w:after="0"/>
              <w:rPr>
                <w:sz w:val="19"/>
                <w:szCs w:val="19"/>
                <w:color w:val="auto"/>
              </w:rPr>
            </w:pPr>
          </w:p>
        </w:tc>
      </w:tr>
      <w:tr>
        <w:trPr>
          <w:trHeight w:val="209"/>
        </w:trPr>
        <w:tc>
          <w:tcPr>
            <w:tcW w:w="9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5,373,926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15,377</w:t>
            </w:r>
          </w:p>
        </w:tc>
      </w:tr>
      <w:tr>
        <w:trPr>
          <w:trHeight w:val="216"/>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revenue, current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447,966</w:t>
            </w: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liability</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1,324,250</w:t>
            </w:r>
          </w:p>
        </w:tc>
        <w:tc>
          <w:tcPr>
            <w:tcW w:w="80" w:type="dxa"/>
            <w:vAlign w:val="bottom"/>
          </w:tcPr>
          <w:p>
            <w:pPr>
              <w:spacing w:after="0"/>
              <w:rPr>
                <w:sz w:val="18"/>
                <w:szCs w:val="18"/>
                <w:color w:val="auto"/>
              </w:rPr>
            </w:pPr>
          </w:p>
        </w:tc>
      </w:tr>
      <w:tr>
        <w:trPr>
          <w:trHeight w:val="23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337,127</w:t>
            </w:r>
          </w:p>
        </w:tc>
        <w:tc>
          <w:tcPr>
            <w:tcW w:w="80" w:type="dxa"/>
            <w:vAlign w:val="bottom"/>
            <w:shd w:val="clear" w:color="auto" w:fill="CCEEFF"/>
          </w:tcPr>
          <w:p>
            <w:pPr>
              <w:spacing w:after="0"/>
              <w:rPr>
                <w:sz w:val="19"/>
                <w:szCs w:val="19"/>
                <w:color w:val="auto"/>
              </w:rPr>
            </w:pPr>
          </w:p>
        </w:tc>
      </w:tr>
      <w:tr>
        <w:trPr>
          <w:trHeight w:val="210"/>
        </w:trPr>
        <w:tc>
          <w:tcPr>
            <w:tcW w:w="9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bottom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2,125,425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3,248,501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Goodwill recorded:</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9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3,019,246</w:t>
            </w:r>
          </w:p>
        </w:tc>
        <w:tc>
          <w:tcPr>
            <w:tcW w:w="80" w:type="dxa"/>
            <w:vAlign w:val="bottom"/>
            <w:shd w:val="clear" w:color="auto" w:fill="CCEEFF"/>
          </w:tcPr>
          <w:p>
            <w:pPr>
              <w:spacing w:after="0"/>
              <w:rPr>
                <w:sz w:val="19"/>
                <w:szCs w:val="19"/>
                <w:color w:val="auto"/>
              </w:rPr>
            </w:pPr>
          </w:p>
        </w:tc>
      </w:tr>
      <w:tr>
        <w:trPr>
          <w:trHeight w:val="223"/>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6,267,747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Goodwill recognized is not expected to be deductible for tax purposes. We believe that in this acquisition goodwill represents the value of Vidello’s existing products, combined with the added business synergies of integrating with the existing Banzai products and customer base.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these consolidated financial statements were issued, the purchase accounting related to this acquisition was incomplete as certain working capital balances were subject to potential change. The Company has reflected the provisional amounts in these consolidated financial statements. As such, the above balances may be adjusted in a future period, not to exceed one (1) year from the acquisition date pursuant to ASC 805, as the Company finalizes and/or updates for any identified working capital adjustments, which may be material to the consolidated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4" w:name="page215"/>
    <w:bookmarkEnd w:id="214"/>
    <w:tbl>
      <w:tblPr>
        <w:tblLayout w:type="fixed"/>
        <w:tblInd w:w="0" w:type="dxa"/>
        <w:tblCellMar>
          <w:top w:w="0" w:type="dxa"/>
          <w:left w:w="0" w:type="dxa"/>
          <w:bottom w:w="0" w:type="dxa"/>
          <w:right w:w="0" w:type="dxa"/>
        </w:tblCellMar>
      </w:tblPr>
      <w:tr>
        <w:trPr>
          <w:trHeight w:val="207"/>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9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453"/>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intangible assets acquired are subject to amortization and their associated estimated useful lives are as follows:</w:t>
            </w:r>
          </w:p>
        </w:tc>
        <w:tc>
          <w:tcPr>
            <w:tcW w:w="2020" w:type="dxa"/>
            <w:vAlign w:val="bottom"/>
          </w:tcPr>
          <w:p>
            <w:pPr>
              <w:spacing w:after="0"/>
              <w:rPr>
                <w:sz w:val="24"/>
                <w:szCs w:val="24"/>
                <w:color w:val="auto"/>
              </w:rPr>
            </w:pPr>
          </w:p>
        </w:tc>
      </w:tr>
      <w:tr>
        <w:trPr>
          <w:trHeight w:val="423"/>
        </w:trPr>
        <w:tc>
          <w:tcPr>
            <w:tcW w:w="12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w:t>
            </w:r>
          </w:p>
        </w:tc>
      </w:tr>
      <w:tr>
        <w:trPr>
          <w:trHeight w:val="238"/>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Intangible Assets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 (years)</w:t>
            </w:r>
          </w:p>
        </w:tc>
      </w:tr>
      <w:tr>
        <w:trPr>
          <w:trHeight w:val="209"/>
        </w:trPr>
        <w:tc>
          <w:tcPr>
            <w:tcW w:w="90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9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Trade name</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92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7 - 8</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in the consolidated statements of operations for the year ended December 31, 2025 and 2024 includes net loss of approximately $250 thousand and net income of $734 thousand, respectively, of Vidello from the date of acquisition to December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disclosure for the Vidello acquisition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financial information reflects the consolidated results of operations of the Company as if the Merger with Vidello had taken place on January 1, 2024. The pro forma results presented are the result of combining the revenues and earnings of the Company with the revenues and earnings of Vidello. The Company did not have any material, non-recurring pro forma adjustments directly attributable to the business combination included in the reported pro forma revenue.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 forma financial information is not necessarily indicative of the results of operations as they would have been had the transactions been effected on the assumed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20" w:type="dxa"/>
            <w:vAlign w:val="bottom"/>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r>
      <w:tr>
        <w:trPr>
          <w:trHeight w:val="223"/>
        </w:trPr>
        <w:tc>
          <w:tcPr>
            <w:tcW w:w="698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12,391,854</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10,006,674</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2,379,038</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2,114,675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28,511,163</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19,795,088</w:t>
            </w: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expenses (income), net</w:t>
            </w:r>
          </w:p>
        </w:tc>
        <w:tc>
          <w:tcPr>
            <w:tcW w:w="440" w:type="dxa"/>
            <w:vAlign w:val="bottom"/>
          </w:tcPr>
          <w:p>
            <w:pPr>
              <w:spacing w:after="0"/>
              <w:rPr>
                <w:sz w:val="18"/>
                <w:szCs w:val="18"/>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3,966,478</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18,045,645</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 attributable to common stockholders</w:t>
            </w: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(22,464,825)</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(29,948,734)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7GC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2023, the Sponsor paid certain expenses on behalf of 7GC. Upon Closing of the Merger, Banzai assumed the $67,118 liability. As of December 31, 2025, there is no remaining balance outstanding related to this liability.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Legacy Banzai Related Party Transactions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During 2023, Legacy Banzai issued Promissory Notes and Convertible Notes to related parties.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further details related to these transactions and associated balances.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Restructuring Agreement with CP BF</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September 5, 2024, the Company and CP BF agreed to amend the outstanding balance of all debt previously in the form of one term note and two convertible notes into one new consolidated convertible note. The newly issued consolidated convertible note was issued on September 23, 2024. Additionally on September 23, 2024, the Company and CP BF entered into a share purchase agreement where the Company issued equity in the form of common stock, common stock warrants and pre-funded warrants to CP BF for the reduction of $2 million of debt under the newly issued consolidated convertible note.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for further details related to the transaction and associated balances.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Due to Related Party of Company CEO</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12, 2024, the CEO of the Company loaned the Company an advance of $100,000. The advance is non-interest bearing, and matures one year from issuance. During the year ended December 31, 2025, the outstanding balance was repaid.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is generated through Banzai providing marketing and webinar platform subscription software service for a set period of time. The Company’s services include providing end-to-end video engagement solutions that provide a fast, intuitive and powerful platform of marketing tools that create more intent-driven videos, webinars, virtual events and other digital and in-person marketing campaigns. As noted within the statements of work and/or invoices, agreements range from monthly, to annual, to multi-year and Banzai generally provides for net 30-day payment terms with the payment made directly through check or electronic means. Banzai’s Management believes its exposure to credit risk is sufficiently mitigated by collection through credit card sales or direct payment from established clients.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At contract inception, once the contract is determined to be within the scope of FASB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(“ASC 606”), the Company only applies the five-step model to contracts when it is probable that the entity will collect the consideration it is entitled to in exchange for the goods or services it transfers to the customer. The Company recognizes revenues following the five-step model prescribed under ASC 606:</w:t>
      </w:r>
    </w:p>
    <w:p>
      <w:pPr>
        <w:spacing w:after="0" w:line="175" w:lineRule="exact"/>
        <w:rPr>
          <w:sz w:val="20"/>
          <w:szCs w:val="20"/>
          <w:color w:val="auto"/>
        </w:rPr>
      </w:pPr>
    </w:p>
    <w:p>
      <w:pPr>
        <w:ind w:left="980" w:hanging="716"/>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contract(s) with a customer;</w:t>
      </w:r>
    </w:p>
    <w:p>
      <w:pPr>
        <w:spacing w:after="0" w:line="27" w:lineRule="exact"/>
        <w:rPr>
          <w:rFonts w:ascii="Times New Roman" w:cs="Times New Roman" w:eastAsia="Times New Roman" w:hAnsi="Times New Roman"/>
          <w:sz w:val="18"/>
          <w:szCs w:val="18"/>
          <w:color w:val="auto"/>
        </w:rPr>
      </w:pPr>
    </w:p>
    <w:p>
      <w:pPr>
        <w:ind w:left="980" w:hanging="716"/>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9" w:lineRule="exact"/>
        <w:rPr>
          <w:rFonts w:ascii="Times New Roman" w:cs="Times New Roman" w:eastAsia="Times New Roman" w:hAnsi="Times New Roman"/>
          <w:sz w:val="18"/>
          <w:szCs w:val="18"/>
          <w:color w:val="auto"/>
        </w:rPr>
      </w:pPr>
    </w:p>
    <w:p>
      <w:pPr>
        <w:ind w:left="980" w:hanging="716"/>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9" w:lineRule="exact"/>
        <w:rPr>
          <w:rFonts w:ascii="Times New Roman" w:cs="Times New Roman" w:eastAsia="Times New Roman" w:hAnsi="Times New Roman"/>
          <w:sz w:val="18"/>
          <w:szCs w:val="18"/>
          <w:color w:val="auto"/>
        </w:rPr>
      </w:pPr>
    </w:p>
    <w:p>
      <w:pPr>
        <w:ind w:left="980" w:hanging="716"/>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980" w:hanging="716"/>
        <w:spacing w:after="0"/>
        <w:tabs>
          <w:tab w:leader="none" w:pos="9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revenues when (or as) the Company satisfies a performance obligation.</w:t>
      </w:r>
    </w:p>
    <w:p>
      <w:pPr>
        <w:sectPr>
          <w:pgSz w:w="11900" w:h="16838" w:orient="portrait"/>
          <w:cols w:equalWidth="0" w:num="1">
            <w:col w:w="11240"/>
          </w:cols>
          <w:pgMar w:left="320" w:top="216" w:right="339" w:bottom="0" w:gutter="0" w:footer="0" w:header="0"/>
        </w:sectPr>
      </w:pPr>
    </w:p>
    <w:bookmarkStart w:id="215" w:name="page216"/>
    <w:bookmarkEnd w:id="215"/>
    <w:p>
      <w:pPr>
        <w:jc w:val="both"/>
        <w:spacing w:after="0" w:line="282" w:lineRule="auto"/>
        <w:rPr>
          <w:sz w:val="20"/>
          <w:szCs w:val="20"/>
          <w:color w:val="auto"/>
        </w:rPr>
      </w:pPr>
      <w:r>
        <w:rPr>
          <w:rFonts w:ascii="Times New Roman" w:cs="Times New Roman" w:eastAsia="Times New Roman" w:hAnsi="Times New Roman"/>
          <w:sz w:val="18"/>
          <w:szCs w:val="18"/>
          <w:color w:val="auto"/>
        </w:rPr>
        <w:t>Revenue from contracts with customers are not recorded until the Company has the approval and commitment from the parties, the rights of the parties are identified, payment terms are established, the contract has commercial substance and collectability of the consideration is probable.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goods or services promised within each contract and determines those that are performance obligations and assesses whether each promised good or service is distinct. When an arrangement contains more than one performance obligation, the Company will allocate the transaction price to each performance obligation on a relative standalone selling price basis. The Company utilizes the observable price of products and services when they are sold separately to similar customers in order to estimate standalone selling price.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recognizes revenue in an amount that reflects the consideration to which it expects to be entitled in exchange for the transfer of promised services to its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when a performance obligation is satisfied by transferring control of the service to the customer, which occurs over time. The Company considers this method a faithful depiction of the transfer of control as services are substantially the same and have the same pattern of transfer over the life of the contract. Sales, value add, and other taxes collected on behalf of third parties are excluded from revenue.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indicators are evaluated in determining when control has passed to the customer: (i) whether the Company has a right to payment for the product or service, (ii) whether the customer has legal title to the product or service, (iii) whether the Company has transferred physical possession of the product or service to the customer, (iv) whether the customer has the significant risk and rewards of ownership of the product or service and (v) whether the customer has accepted the product or service.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evaluates the following indicators, amongst others, when determining whether it is acting as a principal in the transaction (and therefore whether to record revenue on a gross basis): (i) whether the Company is primarily responsible for fulfilling the promise to provide the specified good or service, (ii) whether the Company has the inventory risk before the specified good or service has been transferred to a customer or after transfer of control to the customer and (iii) whether the Company has the discretion to establish the price for the specified good or service. If the terms of a transaction do not indicate that the Company is acting as a principal in the transaction, then the Company is acting as an agent in the transaction and therefore, the associated revenue is recognized on a net basis (that is revenue net of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Products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the Company’s products and services from which the Company generates revenue, as well as the nature, timing of satisfaction of performance obligations, and significant payment terms for each, as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Demio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Demio product is a full-stack technology that marketers can leverage live and automated for video marketing content such as webinars and virtual events. Software products are provided to Demio customers for a range of attendees and hosts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webinars and hosts as a performance obligation. There are no financing components and payments are typically net 30 of date or receipt of invoice. It is nearly 100% certain that a significant revenue reversal will not occur. The Company recognizes revenue for its sale of Demio services over time which corresponds with the period of time that access to the service is provided.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Reach</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the Reach product is in the process of being phased out, the Company continues to generate revenues from the product. The Reach product provides a multi-channel targeted audience acquisition (via Reach) to bolster engagement and Return on Investment (ROI). Banzai enables marketing teams to create winning webinars and virtual and in-person events that increase marketing efficiency and drive additional revenue. Software products are provided to Reach customers for a range of simultaneous events and registrations within a specified time frame at a specified established price. The performance obligations identified include access to the suite and platform, within the parameters established, and within the standards established in the agreement. Contracts include a standalone selling price for the number of simultaneous published events as a performance obligation. There are no financing components and payments are typically net 30 of date or receipt of invoice. It is nearly 100% certain that a significant revenue reversal will not occur. The Company recognizes revenue for its sale of Reach services over time which corresponds with the timing the service is rendered.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OpenReel</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OpenReel product offers subscription-based software as a service (SaaS) offerings to enterprise, media, entertainment and agency teams to remotely control, direct, script, film, and collaborate on high definition video projects from a mobile device or webcam. The Company enters into fixed price subscription contracts with customers, which can be monthly, annual, or multi-year agreements which auto-renew without discount for additional periods of the same duration as the initial term, unless either party requests termination in writing at least thirty (30) days prior to the end of the initial service term. The subscription revenues are recognized ratably over the term of the service agreement, which is considered an output method, as the obligation of hosting the SaaS product is fulfilled over the course of the agreement. The Company does not charge for implementation or recognize any revenues upfront due to minimal effort required. There are no financing components and payments are typically net 30 of date of receipt of invoice, or typically net 90 date of receipt of invoice for customers on multi-year subscription agreement contracts. It is nearly 100% certain that a significant revenue reversal will not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Vidello</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Vidello product is a video hosting and marketing platform designed to help businesses manage, customize, and optimize their video content. Revenue is generated through Vidello providing video hosting and marketing platform subscription software service for a set period of time. Customer contracting is achieved via self-service and invoicing is initiated automatically once the customer accepts the terms and conditions on the platform, based on their selection of the desired subscription product. When execution or completion of the contract occurs, the contract is valid and revenue is earned when the service is provided for each period of performance, daily. The amount is paid by the customer based on the contract terms monthly, annually or indefinite with the majority paid via credit card processing.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Trade Revenue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one customer for which the customer is also a vendor. For this one customer, the Company exchanged services for approximately $125,000 and $239,000, during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revenue by region based on the billing address of customers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47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Percentage of</w:t>
            </w:r>
          </w:p>
        </w:tc>
        <w:tc>
          <w:tcPr>
            <w:tcW w:w="160" w:type="dxa"/>
            <w:vAlign w:val="bottom"/>
            <w:gridSpan w:val="2"/>
          </w:tcPr>
          <w:p>
            <w:pPr>
              <w:spacing w:after="0"/>
              <w:rPr>
                <w:sz w:val="16"/>
                <w:szCs w:val="16"/>
                <w:color w:val="auto"/>
              </w:rPr>
            </w:pPr>
          </w:p>
        </w:tc>
      </w:tr>
      <w:tr>
        <w:trPr>
          <w:trHeight w:val="238"/>
        </w:trPr>
        <w:tc>
          <w:tcPr>
            <w:tcW w:w="47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9,193,173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2,564,074</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Europe, Middle East and Africa (EMEA)</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1,066,254</w:t>
            </w:r>
          </w:p>
        </w:tc>
        <w:tc>
          <w:tcPr>
            <w:tcW w:w="80" w:type="dxa"/>
            <w:vAlign w:val="bottom"/>
          </w:tcPr>
          <w:p>
            <w:pPr>
              <w:spacing w:after="0"/>
              <w:rPr>
                <w:sz w:val="18"/>
                <w:szCs w:val="18"/>
                <w:color w:val="auto"/>
              </w:rPr>
            </w:pPr>
          </w:p>
        </w:tc>
        <w:tc>
          <w:tcPr>
            <w:tcW w:w="1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1,492,561</w:t>
            </w:r>
          </w:p>
        </w:tc>
        <w:tc>
          <w:tcPr>
            <w:tcW w:w="80" w:type="dxa"/>
            <w:vAlign w:val="bottom"/>
          </w:tcPr>
          <w:p>
            <w:pPr>
              <w:spacing w:after="0"/>
              <w:rPr>
                <w:sz w:val="18"/>
                <w:szCs w:val="18"/>
                <w:color w:val="auto"/>
              </w:rPr>
            </w:pPr>
          </w:p>
        </w:tc>
        <w:tc>
          <w:tcPr>
            <w:tcW w:w="1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4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 Pacific</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1,901,992</w:t>
            </w:r>
          </w:p>
        </w:tc>
        <w:tc>
          <w:tcPr>
            <w:tcW w:w="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471,244</w:t>
            </w:r>
          </w:p>
        </w:tc>
        <w:tc>
          <w:tcPr>
            <w:tcW w:w="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12,161,419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4,527,879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receivable is recorded when an unconditional right to invoice and receive payment exists, such that only the passage of time is required before payment of consideration is due. The Company receives payments from customers based upon agreed-upon contractual terms, typically within 30 days of invoicing the customer. The timing of revenue recognition may differ from the timing of invoicing to customers.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207"/>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3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53"/>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accounts receivable, net as of the dates presented:</w:t>
            </w:r>
          </w:p>
        </w:tc>
        <w:tc>
          <w:tcPr>
            <w:tcW w:w="23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January 1, 2024</w:t>
            </w:r>
          </w:p>
        </w:tc>
        <w:tc>
          <w:tcPr>
            <w:tcW w:w="23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105,049</w:t>
            </w:r>
          </w:p>
        </w:tc>
      </w:tr>
      <w:tr>
        <w:trPr>
          <w:trHeight w:val="216"/>
        </w:trPr>
        <w:tc>
          <w:tcPr>
            <w:tcW w:w="7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 December 31, 2024</w:t>
            </w:r>
          </w:p>
        </w:tc>
        <w:tc>
          <w:tcPr>
            <w:tcW w:w="234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936,321</w:t>
            </w:r>
          </w:p>
        </w:tc>
      </w:tr>
      <w:tr>
        <w:trPr>
          <w:trHeight w:val="216"/>
        </w:trPr>
        <w:tc>
          <w:tcPr>
            <w:tcW w:w="7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 December 31, 2025</w:t>
            </w:r>
          </w:p>
        </w:tc>
        <w:tc>
          <w:tcPr>
            <w:tcW w:w="2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709,203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Commission expenses were $466,951 and $193,995 for the years ended December 31, 2025 and 2024, respectively. The following summarizes the activity related to costs to obtain a contract during the years ended December 31, 2025 and 2024:</w:t>
      </w:r>
    </w:p>
    <w:p>
      <w:pPr>
        <w:sectPr>
          <w:pgSz w:w="11900" w:h="16838" w:orient="portrait"/>
          <w:cols w:equalWidth="0" w:num="1">
            <w:col w:w="11240"/>
          </w:cols>
          <w:pgMar w:left="320" w:top="216"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Commissions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Commissions incurred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commissions recognized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420" w:hanging="1412"/>
        <w:spacing w:after="0"/>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51,472</w:t>
      </w:r>
    </w:p>
    <w:p>
      <w:pPr>
        <w:spacing w:after="0" w:line="27"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180,141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(200,109)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20840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31,504</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286,311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(221,609)</w:t>
      </w:r>
    </w:p>
    <w:p>
      <w:pPr>
        <w:spacing w:after="0" w:line="31" w:lineRule="exact"/>
        <w:rPr>
          <w:sz w:val="20"/>
          <w:szCs w:val="20"/>
          <w:color w:val="auto"/>
        </w:rPr>
      </w:pPr>
    </w:p>
    <w:p>
      <w:pPr>
        <w:ind w:left="1420" w:hanging="1412"/>
        <w:spacing w:after="0"/>
        <w:tabs>
          <w:tab w:leader="none" w:pos="14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20840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8500" w:space="720"/>
            <w:col w:w="2020"/>
          </w:cols>
          <w:pgMar w:left="320" w:top="216" w:right="339" w:bottom="1440" w:gutter="0" w:footer="0" w:header="0"/>
          <w:type w:val="continuous"/>
        </w:sectPr>
      </w:pPr>
    </w:p>
    <w:p>
      <w:pPr>
        <w:spacing w:after="0" w:line="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represents amounts that have been collected in advance of revenue recognition and is recognized as revenue when transfer of control to customers has occurred or services have been provided. The deferred revenue balance does not represent the total contract value of annual or multi-year, non-cancelable revenue agreements. Differences between the revenue recognized per the below schedule, and the revenue recognized per the consolidated statement of operations, reflect amounts not recognized through the deferred revenue process, and which have been determined to be insignificant. For the year ended December 31, 2025 and the year ended December 31, 2024, the Company recognized $3,867,853 and $1,214,096 in revenue that was included in the prior year deferred revenue balance,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The change in total deferred revenue was as follows for the periods indicated:</w:t>
            </w:r>
          </w:p>
        </w:tc>
        <w:tc>
          <w:tcPr>
            <w:tcW w:w="6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6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60" w:type="dxa"/>
            <w:vAlign w:val="bottom"/>
            <w:gridSpan w:val="6"/>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 beginning of period</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4,052,270</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1,214,096</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Billings</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9,487,029</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4,362,730</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Revenue recognized (prior year deferred revenue)</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(3,867,853)</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(1,214,096)</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(current year deferred revenue)</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(6,383,159)</w:t>
            </w: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(3,091,333)</w:t>
            </w: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Acquired deferred revenue of OpenReel (see Note 4 – Acquisitions)</w:t>
            </w: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2,780,873</w:t>
            </w:r>
          </w:p>
        </w:tc>
      </w:tr>
      <w:tr>
        <w:trPr>
          <w:trHeight w:val="230"/>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deferred revenue of Vidello (see Note 4 – Acquisitions)</w:t>
            </w:r>
          </w:p>
        </w:tc>
        <w:tc>
          <w:tcPr>
            <w:tcW w:w="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447,966</w:t>
            </w: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revenue, end of period</w:t>
            </w: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3,736,253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4,052,270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measurements discussed herein are based upon certain market assumptions and pertinent information available to management as of and during the periods ended December 31, 2025 and the year ended December 31, 2024. The carrying amount of accounts payable approximated fair value as they are short term in nature.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on a Recurring Basis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FASB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its financial assets and liabilities that are re-measured and reported at fair value at each reporting period, and non-financial assets and liabilities that are re-measured and reported at fair value at least annually. The estimated fair value of the Public Warrants liabilities represent Level 1 measurements. The estimated fair value of the convertible notes bifurcated embedded derivative asset, GEM warrant liabilities, Yorkville convertible note, Agile term notes, 1800 Diagonal convertible notes, Private Placement Convertible Notes, Private Placement Warrants and Goodwill and Definite-lived intangible assets recognized as part of acquisitions, represent Level 3 measurements.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instruments that are measured at fair value on a recurring basis at December 31, 2025 and December 31, 2024, and indicates the fair value hierarchy of the valuation inputs the Company utilized to determine such fair value: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380" w:type="dxa"/>
            <w:vAlign w:val="bottom"/>
          </w:tcPr>
          <w:p>
            <w:pPr>
              <w:spacing w:after="0"/>
              <w:rPr>
                <w:sz w:val="19"/>
                <w:szCs w:val="19"/>
                <w:color w:val="auto"/>
              </w:rPr>
            </w:pPr>
          </w:p>
        </w:tc>
        <w:tc>
          <w:tcPr>
            <w:tcW w:w="130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9"/>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Bifurcated embedded derivative asset – related party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9,000</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63,000</w:t>
            </w: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Definite-lived intangibles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8,027,391</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3,883,853</w:t>
            </w: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21,991,721</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18,972,475</w:t>
            </w: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Warrant liabilities – public</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2,300</w:t>
            </w: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GEM warrant liabilities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378</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Earnout liability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990,673</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Yorkville convertible note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1,200,501</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Agile term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1,728,487</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3,143,000</w:t>
            </w: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1800 Diagonal convertible notes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746,987</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432,000</w:t>
            </w:r>
          </w:p>
        </w:tc>
      </w:tr>
      <w:tr>
        <w:trPr>
          <w:trHeight w:val="216"/>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Private Placement Convertible Notes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1,856,000</w:t>
            </w:r>
          </w:p>
        </w:tc>
        <w:tc>
          <w:tcPr>
            <w:tcW w:w="6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295,603</w:t>
            </w:r>
          </w:p>
        </w:tc>
        <w:tc>
          <w:tcPr>
            <w:tcW w:w="6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Boot Capital note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115,836</w:t>
            </w:r>
          </w:p>
        </w:tc>
        <w:tc>
          <w:tcPr>
            <w:tcW w:w="62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assets and liabilities that are measured at fair value on the acquisition date, see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Public Warrants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following table summarizes the changes in the fair value of the Public Warrants liability for the year ended December 31, 2025. See also </w:t>
      </w:r>
      <w:r>
        <w:rPr>
          <w:rFonts w:ascii="Times New Roman" w:cs="Times New Roman" w:eastAsia="Times New Roman" w:hAnsi="Times New Roman"/>
          <w:sz w:val="18"/>
          <w:szCs w:val="18"/>
          <w:i w:val="1"/>
          <w:iCs w:val="1"/>
          <w:color w:val="auto"/>
        </w:rPr>
        <w:t>Note 13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 Liabilities.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Public Warrants</w:t>
            </w: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23"/>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3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GEM Warrants</w:t>
            </w:r>
          </w:p>
        </w:tc>
        <w:tc>
          <w:tcPr>
            <w:tcW w:w="3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00" w:type="dxa"/>
            <w:vAlign w:val="bottom"/>
            <w:vMerge w:val="continue"/>
          </w:tcPr>
          <w:p>
            <w:pPr>
              <w:spacing w:after="0"/>
              <w:rPr>
                <w:sz w:val="24"/>
                <w:szCs w:val="24"/>
                <w:color w:val="auto"/>
              </w:rPr>
            </w:pPr>
          </w:p>
        </w:tc>
        <w:tc>
          <w:tcPr>
            <w:tcW w:w="3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measurement of fair value of the GEM Warrants was determined utilizing a Monte Carlo simulation considering all relevant assumptions current at the date of issuance, including share price, exercise price, term, volatility, risk-free rate, probability of dilutive term of three years, and expected time to conversion. See also </w:t>
      </w:r>
      <w:r>
        <w:rPr>
          <w:rFonts w:ascii="Times New Roman" w:cs="Times New Roman" w:eastAsia="Times New Roman" w:hAnsi="Times New Roman"/>
          <w:sz w:val="18"/>
          <w:szCs w:val="18"/>
          <w:i w:val="1"/>
          <w:iCs w:val="1"/>
          <w:color w:val="auto"/>
        </w:rPr>
        <w:t>Note 13 – Warrant Liabilities.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GEM Warrants liability for the year ended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GEM Warrants</w:t>
            </w:r>
          </w:p>
        </w:tc>
      </w:tr>
      <w:tr>
        <w:trPr>
          <w:trHeight w:val="210"/>
        </w:trPr>
        <w:tc>
          <w:tcPr>
            <w:tcW w:w="9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(14,622)</w:t>
            </w:r>
          </w:p>
        </w:tc>
      </w:tr>
      <w:tr>
        <w:trPr>
          <w:trHeight w:val="223"/>
        </w:trPr>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Notes</w:t>
      </w:r>
    </w:p>
    <w:p>
      <w:pPr>
        <w:spacing w:after="0" w:line="2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measurement of fair value of the Yorkville convertible notes were determined utilizing a Monte Carlo simulation considering all relevant assumptions current at the date of issuance, including the Company’s share price, remaining term, volatility, risk-free rate, market interest rate, and probability of optional redemption). See also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the fair value of the Yorkville convertible notes for the year ended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Yorkville Convertible</w:t>
            </w:r>
          </w:p>
        </w:tc>
      </w:tr>
      <w:tr>
        <w:trPr>
          <w:trHeight w:val="238"/>
        </w:trPr>
        <w:tc>
          <w:tcPr>
            <w:tcW w:w="468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Note</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4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Yorkville convertible note</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4,950,000</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444,000</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Payment in shares to settle Yorkville convertible notes</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in cash of Yorkville convertible notes</w:t>
            </w:r>
          </w:p>
        </w:tc>
        <w:tc>
          <w:tcPr>
            <w:tcW w:w="4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(4,514,664)</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4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321,165</w:t>
            </w:r>
          </w:p>
        </w:tc>
      </w:tr>
      <w:tr>
        <w:trPr>
          <w:trHeight w:val="22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45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1,200,501</w:t>
            </w:r>
          </w:p>
        </w:tc>
        <w:tc>
          <w:tcPr>
            <w:tcW w:w="100" w:type="dxa"/>
            <w:vAlign w:val="bottom"/>
          </w:tcPr>
          <w:p>
            <w:pPr>
              <w:spacing w:after="0"/>
              <w:rPr>
                <w:sz w:val="19"/>
                <w:szCs w:val="19"/>
                <w:color w:val="auto"/>
              </w:rPr>
            </w:pPr>
          </w:p>
        </w:tc>
      </w:tr>
      <w:tr>
        <w:trPr>
          <w:trHeight w:val="20"/>
        </w:trPr>
        <w:tc>
          <w:tcPr>
            <w:tcW w:w="46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68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gridSpan w:val="2"/>
          </w:tcPr>
          <w:p>
            <w:pPr>
              <w:jc w:val="right"/>
              <w:ind w:right="3450"/>
              <w:spacing w:after="0"/>
              <w:rPr>
                <w:sz w:val="20"/>
                <w:szCs w:val="20"/>
                <w:color w:val="auto"/>
              </w:rPr>
            </w:pPr>
            <w:r>
              <w:rPr>
                <w:rFonts w:ascii="Times New Roman" w:cs="Times New Roman" w:eastAsia="Times New Roman" w:hAnsi="Times New Roman"/>
                <w:sz w:val="18"/>
                <w:szCs w:val="18"/>
                <w:color w:val="auto"/>
              </w:rPr>
              <w:t>F-69</w:t>
            </w: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Bifurcated Embedded Derivative Assets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 of the fair value of the embedded put options relating to the related party CP BF Convertible Note issued on September 23, 2024 was determined using the Black-Scholes option pricing model. Key inputs into these models included the timing and probability of the identified scenarios, and for Black-Scholes option pricing models used for notes that included a valuation cap, equity values, risk-free rate and volatility.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fair values of embedded conversion features requires the development of significant and subjective estimates that may, and are likely to, change over the duration of the instrument with related changes in internal and external market factors. Because the embedded conversion features are initially and subsequently carried at fair values, the Company’s consolidated statements of operations will reflect the volatility in these estimate and assumption changes.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related party CP BF Convertible Note has an embedded redemption put feature upon a Prepayment and Default Interest triggering events that are unrelated to the creditworthiness of the Company are not clearly and closely related to the debt host instrument, were separated and bundled together as a derivative and assigned probabilities of being affected and initially measured at fair value in the amount of $12,000. The fair value of the bifurcated derivative asset was estimated utilizing the with and without method which uses the probability weighted difference between the scenarios with the derivative and the plain vanilla maturity scenario without a derivative</w:t>
      </w:r>
    </w:p>
    <w:p>
      <w:pPr>
        <w:spacing w:after="0" w:line="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following table summarizes the changes in the fair value of the bifurcated embedded derivative asset for the year ended December 31, 2025, relating to the Convertible Note to CP BF issued on September 23, 2024:</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9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32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(54,000)</w:t>
            </w:r>
          </w:p>
        </w:tc>
      </w:tr>
      <w:tr>
        <w:trPr>
          <w:trHeight w:val="223"/>
        </w:trPr>
        <w:tc>
          <w:tcPr>
            <w:tcW w:w="9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Agile Term Notes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measurement of fair value of the Agile term notes (“Agile Notes”) was determined using a discounted cash flow model to calculate the fair value. Key inputs for the discounted cash flow model include the contractual term of the note and a market participant interest rate.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Due to the contingent redemption put feature and default interest embedded feature within the Agile Notes, the Company elected the fair value option for the Agile Notes at their respective dates of issuance pursuant to ASC 825 </w:t>
      </w:r>
      <w:r>
        <w:rPr>
          <w:rFonts w:ascii="Times New Roman" w:cs="Times New Roman" w:eastAsia="Times New Roman" w:hAnsi="Times New Roman"/>
          <w:sz w:val="18"/>
          <w:szCs w:val="18"/>
          <w:i w:val="1"/>
          <w:iCs w:val="1"/>
          <w:color w:val="auto"/>
        </w:rPr>
        <w:t xml:space="preserve">Financial Instruments </w:t>
      </w:r>
      <w:r>
        <w:rPr>
          <w:rFonts w:ascii="Times New Roman" w:cs="Times New Roman" w:eastAsia="Times New Roman" w:hAnsi="Times New Roman"/>
          <w:sz w:val="18"/>
          <w:szCs w:val="18"/>
          <w:color w:val="auto"/>
        </w:rPr>
        <w:t>(“ASC 825”).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a summary of the changes in the fair value of the Agile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1800 Diagonal Convertible Notes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each of the convertible promissory notes with 1800 Diagonal Lending was determined using the Black-Scholes option pricing model. Key inputs used for the model include the stock price, volatility, the contractual term of the note, risk-free interest rates and dividend yield.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a summary of the changes in the fair value of the 1800 Diagonal Convertible Notes.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3i, LP Private Placement Offering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of the fair value of the Private Placement Convertible Notes was determined using a Monte Carlo simulation. Key inputs into the simulation include the remaining term, the market interest rate, risk-free rate, equity volatility, and probability of default.</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a summary of the changes in the fair value of the Private Placement Convertible Notes, and to </w:t>
      </w:r>
      <w:r>
        <w:rPr>
          <w:rFonts w:ascii="Times New Roman" w:cs="Times New Roman" w:eastAsia="Times New Roman" w:hAnsi="Times New Roman"/>
          <w:sz w:val="18"/>
          <w:szCs w:val="18"/>
          <w:i w:val="1"/>
          <w:iCs w:val="1"/>
          <w:color w:val="auto"/>
        </w:rPr>
        <w:t>Note 13 – Warrant Liabilities</w:t>
      </w:r>
      <w:r>
        <w:rPr>
          <w:rFonts w:ascii="Times New Roman" w:cs="Times New Roman" w:eastAsia="Times New Roman" w:hAnsi="Times New Roman"/>
          <w:sz w:val="18"/>
          <w:szCs w:val="18"/>
          <w:color w:val="auto"/>
        </w:rPr>
        <w:t xml:space="preserve"> for a description of the warrants issued in connection with the Private Placement Offering.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 - Private Placement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Private Placement Warrants were not considered indexed to the issuer’s stock pursuant to ASC 815, as the holder’s ability to receive in lieu of the Warrant, cash in an amount equal to the Black Scholes Value (“Black Scholes Value”) in connection with a Change of Control, adjusts the settlement value based on items outside the Company’s control in violation of the fixed-for-fixed option pricing model. As such, the Company recorded the Warrants as liabilities initially measured at fair value with subsequent changes in fair value recognized in earnings each reporting period. Refer to </w:t>
      </w:r>
      <w:r>
        <w:rPr>
          <w:rFonts w:ascii="Times New Roman" w:cs="Times New Roman" w:eastAsia="Times New Roman" w:hAnsi="Times New Roman"/>
          <w:sz w:val="18"/>
          <w:szCs w:val="18"/>
          <w:i w:val="1"/>
          <w:iCs w:val="1"/>
          <w:color w:val="auto"/>
        </w:rPr>
        <w:t>Note 13 – 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for further details.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measurement of fair value was determined utilizing a Monte Carlo simulation considering all relevant assumptions current at the date of issuance, including share price, term, risk-free rate, exercise price and dividend yield.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ranges of inputs to and the changes in the fair value of the Private Placement Warrant liability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Key Inputs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67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Contractual term (years)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2.5 - 4.77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 - 3.7%</w:t>
            </w:r>
          </w:p>
        </w:tc>
        <w:tc>
          <w:tcPr>
            <w:tcW w:w="0" w:type="dxa"/>
            <w:vAlign w:val="bottom"/>
          </w:tcPr>
          <w:p>
            <w:pPr>
              <w:spacing w:after="0"/>
              <w:rPr>
                <w:sz w:val="1"/>
                <w:szCs w:val="1"/>
                <w:color w:val="auto"/>
              </w:rPr>
            </w:pPr>
          </w:p>
        </w:tc>
      </w:tr>
      <w:tr>
        <w:trPr>
          <w:trHeight w:val="256"/>
        </w:trPr>
        <w:tc>
          <w:tcPr>
            <w:tcW w:w="67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Volatility</w:t>
            </w:r>
            <w:r>
              <w:rPr>
                <w:rFonts w:ascii="Times New Roman" w:cs="Times New Roman" w:eastAsia="Times New Roman" w:hAnsi="Times New Roman"/>
                <w:sz w:val="29"/>
                <w:szCs w:val="29"/>
                <w:color w:val="auto"/>
                <w:vertAlign w:val="superscript"/>
              </w:rPr>
              <w:t>(1)</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$500.00 - $872.00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391"/>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Private Placement</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on issuance – June Warrant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361,000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 – August Warrant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356,000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Loss on issuance – October Warrant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807,509</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(1,228,906)</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295,603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Property and Equipment</w:t>
            </w: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at the dates indicated: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and equipment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(4,536)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(30,935)</w:t>
            </w:r>
          </w:p>
        </w:tc>
        <w:tc>
          <w:tcPr>
            <w:tcW w:w="0" w:type="dxa"/>
            <w:vAlign w:val="bottom"/>
          </w:tcPr>
          <w:p>
            <w:pPr>
              <w:spacing w:after="0"/>
              <w:rPr>
                <w:sz w:val="1"/>
                <w:szCs w:val="1"/>
                <w:color w:val="auto"/>
              </w:rPr>
            </w:pPr>
          </w:p>
        </w:tc>
      </w:tr>
      <w:tr>
        <w:trPr>
          <w:trHeight w:val="223"/>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1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Depreciation expense for the year ended December 31, 2025 and 2024 was $4,424 and $2,825 respectively.</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 Prepaid Expenses and Other Current Assets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at the dates indicated:</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61"/>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software costs</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153,526</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59,855</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 trade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114,041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239,041</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Employee receivable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12,863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insurance costs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7,228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130,345</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commissions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96,206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31,504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consulting costs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76,767</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advertising and marketing costs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29,133</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merchant fees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60,774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26,690</w:t>
            </w:r>
          </w:p>
        </w:tc>
        <w:tc>
          <w:tcPr>
            <w:tcW w:w="0" w:type="dxa"/>
            <w:vAlign w:val="bottom"/>
          </w:tcPr>
          <w:p>
            <w:pPr>
              <w:spacing w:after="0"/>
              <w:rPr>
                <w:sz w:val="1"/>
                <w:szCs w:val="1"/>
                <w:color w:val="auto"/>
              </w:rPr>
            </w:pPr>
          </w:p>
        </w:tc>
      </w:tr>
      <w:tr>
        <w:trPr>
          <w:trHeight w:val="216"/>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data license and subscription costs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3,125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451</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46,414</w:t>
            </w:r>
          </w:p>
        </w:tc>
        <w:tc>
          <w:tcPr>
            <w:tcW w:w="0" w:type="dxa"/>
            <w:vAlign w:val="bottom"/>
          </w:tcPr>
          <w:p>
            <w:pPr>
              <w:spacing w:after="0"/>
              <w:rPr>
                <w:sz w:val="1"/>
                <w:szCs w:val="1"/>
                <w:color w:val="auto"/>
              </w:rPr>
            </w:pPr>
          </w:p>
        </w:tc>
      </w:tr>
      <w:tr>
        <w:trPr>
          <w:trHeight w:val="223"/>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445,089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643,674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F-71</w:t>
            </w: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6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Goodwill and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goodwill by reportable segment as of and for the year ended December 31, 2025:</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Operating Co.</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200" w:type="dxa"/>
            <w:vAlign w:val="bottom"/>
          </w:tcPr>
          <w:p>
            <w:pPr>
              <w:spacing w:after="0"/>
              <w:rPr>
                <w:sz w:val="20"/>
                <w:szCs w:val="20"/>
                <w:color w:val="auto"/>
              </w:rPr>
            </w:pPr>
          </w:p>
        </w:tc>
        <w:tc>
          <w:tcPr>
            <w:tcW w:w="14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20" w:type="dxa"/>
            <w:vAlign w:val="bottom"/>
          </w:tcPr>
          <w:p>
            <w:pPr>
              <w:spacing w:after="0"/>
              <w:rPr>
                <w:sz w:val="20"/>
                <w:szCs w:val="20"/>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2,171,526</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16,800,949</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18,972,475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Additions to goodwill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3,019,246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3,019,246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December 31, 2025</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2,171,526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3,019,246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16,800,949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21,991,721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subject to amortization consist of the following:</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60" w:type="dxa"/>
            <w:vAlign w:val="bottom"/>
            <w:gridSpan w:val="6"/>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0" w:type="dxa"/>
            <w:vAlign w:val="bottom"/>
          </w:tcPr>
          <w:p>
            <w:pPr>
              <w:spacing w:after="0"/>
              <w:rPr>
                <w:sz w:val="1"/>
                <w:szCs w:val="1"/>
                <w:color w:val="auto"/>
              </w:rPr>
            </w:pPr>
          </w:p>
        </w:tc>
      </w:tr>
      <w:tr>
        <w:trPr>
          <w:trHeight w:val="209"/>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6 - 7</w:t>
            </w: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Trade name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7"/>
              </w:rPr>
              <w:t>10 - 15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1,637,100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6 - 8</w:t>
            </w: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6,425,010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gross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9,201,820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(1,174,429)</w:t>
            </w: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8,027,391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related to intangible assets was $1,146,066 for the year ended December 31, 2025. Expected amortization expense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4860" w:type="dxa"/>
            <w:vAlign w:val="bottom"/>
            <w:gridSpan w:val="2"/>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4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4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4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1,214,920</w:t>
            </w:r>
          </w:p>
        </w:tc>
      </w:tr>
      <w:tr>
        <w:trPr>
          <w:trHeight w:val="216"/>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4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1,205,547</w:t>
            </w:r>
          </w:p>
        </w:tc>
      </w:tr>
      <w:tr>
        <w:trPr>
          <w:trHeight w:val="23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1,962,162</w:t>
            </w:r>
          </w:p>
        </w:tc>
      </w:tr>
      <w:tr>
        <w:trPr>
          <w:trHeight w:val="223"/>
        </w:trPr>
        <w:tc>
          <w:tcPr>
            <w:tcW w:w="5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2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8,027,391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Accrued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at the dates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9"/>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accounting and professional services costs</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2,365,081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2,419,829</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tax payable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250,672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452,508</w:t>
            </w: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Excise tax payable</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223,717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223,717</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tax payable</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577,726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benefit costs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439,693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207,970</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legal costs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167,936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315,764</w:t>
            </w:r>
          </w:p>
        </w:tc>
      </w:tr>
      <w:tr>
        <w:trPr>
          <w:trHeight w:val="216"/>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subscription costs</w:t>
            </w:r>
          </w:p>
        </w:tc>
        <w:tc>
          <w:tcPr>
            <w:tcW w:w="1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53,369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46,759</w:t>
            </w:r>
          </w:p>
        </w:tc>
      </w:tr>
      <w:tr>
        <w:trPr>
          <w:trHeight w:val="216"/>
        </w:trPr>
        <w:tc>
          <w:tcPr>
            <w:tcW w:w="5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streaming service costs</w:t>
            </w:r>
          </w:p>
        </w:tc>
        <w:tc>
          <w:tcPr>
            <w:tcW w:w="1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51,308</w:t>
            </w:r>
          </w:p>
        </w:tc>
      </w:tr>
      <w:tr>
        <w:trPr>
          <w:trHeight w:val="230"/>
        </w:trPr>
        <w:tc>
          <w:tcPr>
            <w:tcW w:w="5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224,186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173,163</w:t>
            </w:r>
          </w:p>
        </w:tc>
      </w:tr>
      <w:tr>
        <w:trPr>
          <w:trHeight w:val="223"/>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4,353,943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3,891,018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Related Party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30, 2023, the Company issued a subordinate promissory note (“Alco August Promissory Note”) in the aggregate principal amount of $150,000 to Alco Investment Company (“Alco”), a related party. Alco held its ownership of over 10% of the issued equity of the Company, through its ownership of Series A preferred stock. The Alco August Promissory Note bears interest at a rate of 8% per annum. The outstanding principal and accrued interest are due and payable on April 29, 2024. For the year ended December 31, 2024, interest expense on the Alco August Promissory Note totaled $11,284, comprised of $8,022 of contractual accrued interest and $3,261 for the amortization of the discount. As of December 31, 2024 the Alco August Promissory Note was converted in full (see below).</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13, 2023, the Company issued a subordinate promissory note (“Alco September Promissory Note”) in the aggregate principal amount of up to $1,500,000 to Alco. The Alco September Promissory Note bears interest at a rate of 8% per annum. The outstanding principal and accrued interest were due and payable on September 30, 2024, however the due date was extended and the debt subsequently settled (see below). For the year ended December 31, 2024, interest expense on the Alco September Promissory Note totaled $283,188, comprised of $92,822 of contractual accrued interest and $190,366 for the amortization of the discount. As of December 31, 2024 the Alco September Promissory Note was converted in full (see below).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16, 2023, the Company issued a subordinate promissory note (“Alco November Promissory Note”) in the aggregate principal amount of up to $750,000 to Alco. The Alco November Promissory Note bears interest at a rate of 8% per annum. The outstanding principal and accrued interest were due and payable on April 13, 2024, however the due date was extended and the debt subsequently settled (see below). For the year ended December 31, 2024, interest expense on the Alco November Promissory Note totaled $321,189, comprised of $43,891 of contractual accrued interest and $277,298 for the amortization of the discount. As of December 31, 2024 the Alco November Promissory Note was converted in full (see below).</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13, 2023, the Company issued a subordinate promissory note (“Alco December Promissory Note”) in the aggregate principal amount of up to $2,000,000 to Alco. The Alco December Promissory Note bears interest at a rate of 8% per annum. The outstanding principal and accrued interest are due and payable on December 31, 2024. For the year ended December 31, 2024, interest expense on the Alco December Promissory Note totaled $936,941, comprised of $117,040 of contractual accrued interest and $819,901 for the amortization of the discount. As of December 31, 2024 the Alco December Promissory Note was converted in full (see below).</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issuances of the Alco September, November, and December Promissory Notes, the Company, 7GC and the Sponsor entered into share transfer agreements (the “Alco Share Transfer Agreements”) with Alco Investment Company. Pursuant to which for each $10.00 in principal borrowed under the Alco September and November Promissory Notes, the Sponsor agreed to forfeit one share of 7GC Class B Common Stock held by the Sponsor, in exchange for the right of Alco to receive one New Banzai Class A Share. For each $10.00 in principal borrowed under the December Note, the Sponsor agreed to forfeit three shares of 7GC Class B Common Stock held by the Sponsor, in exchange for the right of Alco to receive three New Banzai Class A Shares. Such forfeited and issued shares under the Alco September, November, and December Promissory Notes are capped at an amount equal to 750, 375, and 3,000, respectively. Pursuant to the Alco Share Transfer Agreements, the shares are subject to an 180-day lock-up period upon issuance of the shares.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the Alco Share Transfer Agreements, the Company considered the guidance under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and determined that the Investor Shares underlying each of the Share Transfer Agreements described above, met the definition of a freestanding financial instrument and are not precluded from being considered indexed to the Company’s common stock. The Company determined that these shares represent a freestanding equity contract issued to the lender, resulting in a discount recorded on the notes when they are issued.</w:t>
      </w:r>
    </w:p>
    <w:p>
      <w:pPr>
        <w:spacing w:after="0" w:line="1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Equity-classified contracts are initially measured at fair value (or allocated value). Subsequent changes in fair value are not recognized if the contracts continue to be classified in equity. The measurement of fair value was determined utilizing various put option models in estimating the discount lack of marketability (the “DLOM”) applied to the public share price as the shares underlying each of the Share Transfer Agreements are subject to a lock-up period pursuant to each agreement, to estimate the fair value of the shares transferred. Option pricing models assume that the cost to purchase a stock option relates directly to the measurement of the DLOM. The logic behind these models is that investors may be able to quantify this price risk, due to lack of marketability, over a particular holding period where price volatility is usually estimated as a proxy for risk. The inputs and assumptions utilized in the fair value estimation included the Company’s stock price on the measurement date, a DLOM as described above, the number of shares pursuant to each Share Transfer Agreement, and a probability weighted factor for the Company’s expected percentage of completing its Business Combination, at each Share Transfer Agreement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April 2024 and May 2024 Amendment</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April 18, 2024, the Company amended the Alco August Promissory Note and Alco November Promissory Note to extend the maturity dates of each note to May 31, 2024 (the “Alco April 2024 Amendment”). On May 30, 2024, both parties agreed to again amend the Alco August Promissory Note and Alco November Promissory Note to further amend the maturity date to the earlier of (a) August 29, 2024 or (b) the closing of the next transaction (an “Offering”) in which the Company sells any of its Common Stock for cash with net proceeds of $4,000,000 or greater or if the holder acquires Common Stock in an amount not less than the then outstanding balance of the Alco August Promissory Note and Alco November Promissory Note (the “Alco May 2024 Amendment”). The Company evaluated the terms of both the Alco April 2024 Amendment and Alco May 2024 Amendment (the “Alco 2024 Amendments”) in accordance with ASC 470-60, </w:t>
      </w:r>
      <w:r>
        <w:rPr>
          <w:rFonts w:ascii="Times New Roman" w:cs="Times New Roman" w:eastAsia="Times New Roman" w:hAnsi="Times New Roman"/>
          <w:sz w:val="18"/>
          <w:szCs w:val="18"/>
          <w:i w:val="1"/>
          <w:iCs w:val="1"/>
          <w:color w:val="auto"/>
        </w:rPr>
        <w:t>Troubled Debt Restructurings</w:t>
      </w:r>
      <w:r>
        <w:rPr>
          <w:rFonts w:ascii="Times New Roman" w:cs="Times New Roman" w:eastAsia="Times New Roman" w:hAnsi="Times New Roman"/>
          <w:sz w:val="18"/>
          <w:szCs w:val="18"/>
          <w:color w:val="auto"/>
        </w:rPr>
        <w:t xml:space="preserve">, and ASC 470-50, </w:t>
      </w:r>
      <w:r>
        <w:rPr>
          <w:rFonts w:ascii="Times New Roman" w:cs="Times New Roman" w:eastAsia="Times New Roman" w:hAnsi="Times New Roman"/>
          <w:sz w:val="18"/>
          <w:szCs w:val="18"/>
          <w:i w:val="1"/>
          <w:iCs w:val="1"/>
          <w:color w:val="auto"/>
        </w:rPr>
        <w:t>Debt Modifications and Extinguishments</w:t>
      </w:r>
      <w:r>
        <w:rPr>
          <w:rFonts w:ascii="Times New Roman" w:cs="Times New Roman" w:eastAsia="Times New Roman" w:hAnsi="Times New Roman"/>
          <w:sz w:val="18"/>
          <w:szCs w:val="18"/>
          <w:color w:val="auto"/>
        </w:rPr>
        <w:t>. The Company determined that the Company was granted a concession by the lender based on the decrease of the effective borrowing rate on the Alco 2024 Amendments. Accordingly, the Company accounted for the Alco 2024 Amendments as troubled debt restructurings by calculating a new effective interest rate for the Alco 2024 Amendments based on the carrying amount of the debt and the present value of the revised future cash flows payment streams. The troubled debt restructurings did not result in recognition of a gain or loss in the consolidated statement of operations but does impact interest expense recognized in the future.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September 2024 Alco Promissory Note Conversion and Settlement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and Alco agreed to convert an aggregate balance of $4,711,681 of debt inclusive of principal and accrued interest, representing the aggregate total balance outstanding to Alco as of that date (excluding the carrying value of debt discounts), into 1,412 shares of Class A Common Stock, Warrants to purchase up to 6,657 shares of Class A Common Stock and Pre-Funded Warrants to purchase up to 5,245 shares of Class A Common Stock (collectively, the “Alco Securities”), and in full settlement of the balance outstanding to Alco. The Company recognized the issuance of the Alco Securities, on September 19, 2024, in full settlement of all amounts owing to Alco. The grant date fair value of the Class A Common Stock, Warrants to purchase shares of Class A Common Stock and Pre-Funded Warrants to purchase shares of Class A Common Stock, were determined to be $1,098,614, $3,687,812, and $4,080,194, respectively. As a result of this transaction, the Company recognized a loss on extinguishment of $4,808,882, as of September 23, 2024, which was recognized as loss on conversion and settlement of Alco promissory notes on the consolidated statement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Notes - 7GC</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assumed two promissory notes in connection with the Merger which remained outstanding as of December 31, 2023. On February 9, 2024, the $2,540,091 balance was converted into 89 shares the Company’s Class A Common Stock pursuant to the terms in the 7GC Promissory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Promissory Note - GEM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14, 2023, the Company and GEM Global Yield LLC SCS and GEM Yield Bahamas Limited (collectively, “GEM”) agreed to terminate in its entirety the GEM Agreement, pursuant to which GEM was to purchase from the Company shares of common stock having an aggregate value up to $100,000,000 and the Company was required to make and execute a warrant (“GEM Warrant”). The Company’s obligation to issue the GEM Warrant remained, granting GEM the right to purchase Class A Common Stock in an amount equal to 3% of the total number of equity interests outstanding as of the Closing, calculated on a fully diluted basis, at an exercise price on the terms and conditions set forth therein, in exchange for issuance of a $2.0 million convertible debenture with a five-year maturity and 0% coupon. Due to the determination of the final terms of the planned $2.0 million convertible debenture having not been finalized, nor the final agreement related to the convertible debenture having been executed, as of December 31, 2023, the Company recognized, concurrent with the close of the merger, a liability for the GEM commitment fee, along with a corresponding GEM commitment fee expense, in the amount of $2.0 million.</w:t>
      </w:r>
    </w:p>
    <w:p>
      <w:pPr>
        <w:spacing w:after="0" w:line="18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February 5, 2024, the Company and GEM entered into a settlement agreement (the “GEM Settlement Agreement”), pursuant to which (a) the Company and GEM agreed to (i) settle the Company’s obligations under and terminate the binding term sheet entered into between Legacy Banzai and GEM, dated December 13, 2023, and (ii) terminate the share repurchase agreement, dated May 27, 2022, by and among the Company and GEM, and (b) the Company</w:t>
      </w:r>
    </w:p>
    <w:p>
      <w:pPr>
        <w:spacing w:after="0" w:line="1" w:lineRule="exact"/>
        <w:rPr>
          <w:sz w:val="20"/>
          <w:szCs w:val="20"/>
          <w:color w:val="auto"/>
        </w:rPr>
      </w:pPr>
    </w:p>
    <w:p>
      <w:pPr>
        <w:jc w:val="both"/>
        <w:ind w:firstLine="8"/>
        <w:spacing w:after="0" w:line="255" w:lineRule="auto"/>
        <w:tabs>
          <w:tab w:leader="none" w:pos="2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agreed to pay GEM $1.2 million in cash within three business days of the GEM Settlement Agreement and (ii) issued to GEM, on February 5, 2024, an unsecured promissory zero coupon note in the amount of $1.0 million, payable in monthly installments of $100,000 beginning on March 1, 2024, with the final payment to be made on December 1, 2024 (the “GEM Promissory Note”). The Company paid GEM the $1.2 million in cash in February 2024.</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GEM Promissory Note provides that, in the event the Company fails to make a required monthly payment when due, the Company shall issue to GEM a number of shares of Class A Common Stock equal to the monthly payment amount divided by the VWAP of the Class A Common Stock for the trading day immediately preceding the applicable payment due date. In addition, the Company agreed to register on a registration statement 1,000 shares of Class A Common Stock that may be issuable under the terms of the GEM Promissory Note. The GEM Promissory Note contains customary events of default. If an event of default occurs, GEM may, at its option, demand from the Company immediate payment of any outstanding balance under the GEM Promissory Note. The GEM Promissory Note is recorded in the line Convertible notes on the Company’s consolidated balance sheets.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issued an aggregate of 95 shares of Class A Common Stock to GEM in lieu of monthly payment obligations and during the year ended December 31, 2025 the Company paid an aggregate of $215,057 to satisfy the remaining balance of the GEM Promissory Note.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 (Yorkville)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December 14, 2023, in connection with and pursuant to the terms of its Standby Equity Purchase Agreement (“SEPA”) with YA II PN, LTD, a Cayman Islands exempt limited partnership managed by Yorkville Advisors Global, LP (“Yorkville”), (refer to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xml:space="preserve"> for further details on the SEPA), Yorkville agreed to advance to the Company, in exchange for convertible promissory notes, an aggregate principal amount of up to $3,500,000, $2,000,000 of which was funded at the Closing in exchange for the issuance by the Company of a Convertible Promissory Note (the “December Yorkville Convertible Note”). The Company received net proceeds of $1,800,000 after a non-cash original issue discount of $200,000.</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2024, the Company and Yorkville entered into a supplemental agreement (the “SEPA Supplemental Agreement”) to increase the amount of convertible promissory notes allowed to be issued under SEPA by $1,000,000 (the “Additional Pre-Paid Advance Amount”), for an aggregate principal amount of $4,500,000 to be advanced by Yorkville to the Company in the form of convertible promissory notes. On February 5, 2024 in exchange for a promissory note in the principal amount of $1,000,000 (the “February Yorkville Promissory Note”), with the same terms as the December Yorkville Convertible Note, the Company received net proceeds of $900,000 after an original issue discount of $100,000.</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the Company, in exchange for a convertible promissory note with a principal amount of $1,500,000 (the “March Yorkville Promissory Note” and, together with the December Yorkville Convertible Note and February Yorkville Promissory Note, the “Yorkville Promissory Notes”), received net proceeds of $1,250,000 after an original issue discount of $250,000.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2024, the Company and Yorkville entered into a Debt Repayment Agreement (the “Original Debt Repayment Agreement”) with respect to the Yorkville Promissory Notes. Under the Original Debt Repayment Agreement, Yorkville agreed that, upon completion of a Company registered offering and repayment of an aggregate $2,000,000 outstanding under the Yorkville Promissory Notes (the “Original Repayment Amount”), Yorkville would not deliver to the Company any Investor Notice (as defined in the SEPA) and would not exercise its right to convert the remainder of the amount outstanding under the Yorkville Promissory Notes for a period commencing on the date of the closing of the offering and ending on the date that is 90 days thereafter. Under the Original Debt Repayment Agreement, the Company and Yorkville also agreed to extend the maturity date of the Yorkville Promissory Notes to the date that is 120 days after the closing of the offering and to satisfy the $200,000 payment premium due in connection with an early redemption through the issuance of an Advance Notice (as defined in the SEPA) for shares of the Company’s Class A Common Stock, par value $0.0001 per share. The Original Debt Repayment Agreement was conditioned on the completion of the offering by June 2, 2024.</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22, 2024, the Company and Yorkville entered into an Amended and Restated Debt Repayment Agreement (the “Amended Debt Repayment Agreement”) with respect to the Yorkville Promissory Notes, which amends and restates the Original Debt Repayment Agreement. Under the Amended Debt Repayment Agreement, Yorkville has agreed that, upon completion of a registered offering and repayment of an aggregate $750,000 outstanding under the Yorkville Promissory Notes (the “Amended Repayment Amount”), Yorkville will not deliver to the Company any Investor Notice (as defined in the SEPA) and will not exercise its right to convert the remainder of the amount outstanding under the Yorkville Promissory Notes for a period commencing on the date of the closing of the offering and ending on the date that is 90 days thereafter (the “Stand-still Period”); provided that the Company will seek any consents necessary to allow Yorkville to issue Investor Notices or exercise its right to convert the remainder of the amount outstanding under the Yorkville Promissory Notes after a period of 60 days following the closing of the offering. Under the Amended Debt Repayment Agreement, the Company and Yorkville also agreed to extend the maturity date of the Yorkville Promissory Notes to the date that is 120 days after the closing of the offering and to satisfy the $75,000 payment premium due in connection with an early redemption through the issuance of an Advance Notice for shares of Class A Common Stock (the “Q2 Prepayment Premium”). The Amended Debt Repayment Agreement was conditioned on the completion of the offering by June 2, 2024, which condition was satisfied upon the closing of the offering on May 28, 2024 (the “May 2024 Offering”).</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terms of the Amended Repayment Agreement, the Company made a cash principal payment of $750,000 on May 31, 2024 (the “Repayment Date”), and issued an Advance Notice for the purchase of 6 shares of Class A Common Stock (the “Premium Advance Shares”) (representing the number of shares the Company reasonably believed would be sufficient to result in net proceeds of $75,000 as of the Repayment Date) (the “Premium Advance”). The total purchase price for the Premium Advance was $110,040, of which $75,000 was applied in satisfaction of the Payment Premium, and the remaining $35,040 was paid by Yorkville to the Company in cash (the “Cash Surplus”). The Premium Advance Shares were recorded at fair value totaling $115,800 on the Repayment Date, and the excess of fair value over the Cash Surplus was recorded to the consolidated statement of operations in line Yorkville prepayment premium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20, 2024, the Company entered into a Floor Price Reduction Agreement (the “Floor Price Reduction Agreement”) with Yorkville. The Company and Yorkville, pursuant to the Floor Price Adjustment Agreement, agreed to amend and restate the prior repayment agreements such that the outstanding principal under the Amended Debt Repayment Agreement was reduced to $0.7 million, with no remaining interest, the floor price, as described in the Outstanding Promissory Notes, was adjusted to $4,000.00, and the maturity date for the Outstanding Promissory Notes is extended by 120 days to January 17,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Yorkville Promissory Notes have a maturity date (as modified by the Floor Price Reduction Agreement) of January 17, 2025, and accrue interest at 0% per annum, subject to an increase to 18% per annum upon events of default as defined in the agreement. As of December 31, 2025, no events of default have occurred.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Yorkville has the right to convert any portion of the outstanding principal into shares of Class A common stock at any time subsequent to the Stand-still Period through maturity. The number of shares issuable upon conversion is equal to the amount of principal to be converted (as specified by Yorkville) divided by the Conversion Price (as defined in the Standby Equity Purchase Agreement disclosure in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Yorkville will not have the right to convert any portion of the principal to the extent that after giving effect to such conversion, Yorkville would beneficially own in excess of 9.99% of the total number of shares of Class A Common Stock outstanding after giving effect to such conversion.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at its option, shall have the right, but not the obligation, to redeem early a portion or all amounts outstanding under the Promissory Notes at a redemption amount equal to the outstanding principal balance being repaid or redeemed, plus a 10% prepayment premium, plus all accrued and unpaid interest; provided that (i) the Company provides Yorkville with no less than ten trading days’ prior written notice thereof and (ii) on the date such notice is issued, the VWAP of the Class A Common Stock is less than the Fixed Price.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occurrence of certain triggering events, as defined in the Yorkville Promissory Notes agreement (each an “Amortization Event”), the Company may be required to make monthly repayments of amounts outstanding under the Yorkville Promissory Notes, with each monthly repayment to be in an amount equal to the sum of (x) $1,000,000, plus (y) 10% in respect of such amount, and (z) all outstanding accrued and unpaid interest as of each payment date.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During January 2024, the Company’s stock price per share fell below the then in effect Floor Price (as defined in the Standby Equity Purchase Agreement disclosure in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of $4,000.00 for five trading days during a period of seven consecutive trading days (an Amortization Event under the terms of the December Yorkville Convertible Note agreement), thus triggering amortization payments under the terms of the December Yorkville Convertible Note. On January 24, 2024, Yorkville agreed to waive the Amortization Event trigger, prior to the date upon which any amortization payment would have been required. As discussed in the definitions below, the Floor Price was reset on February 14, 2024, in conjunction with the effective date of the Company’s Registration Statement, at a price of $588.00 per share of Class A Common Stock, thus curing the Amortization Event condition.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2024, $2,000,000 of the full outstanding principal under the December Yorkville Convertible Note, respectively, was converted into 138 shares of Class A Common stock of the Company. During the year ended December 31, 2024, the full principal amount of $1,000,000 under the February Yorkville Promissory Note was converted into 15 Class A Common stock of the Company. During the year ended December 31, 2024, the full outstanding principal amount of $750,000 under the March Yorkville Promissory Note was converted into 75 shares of Class A Common Stock.</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January 30, 2025 (the “Issuance Date”), in connection with and pursuant to the terms of the SEPA (refer to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xml:space="preserve"> for further details), Yorkville agreed to advance to the Company, in exchange for a Convertible Promissory Note (the “January 2025 Yorkville Note”), a total principal amount of $3,500,000. The Company received net proceeds of $3,140,000 after an original issue discount of $350,000, and $10,000 in debt issuance costs paid to Yorkville.</w:t>
      </w:r>
    </w:p>
    <w:p>
      <w:pPr>
        <w:spacing w:after="0" w:line="18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January 2025 Yorkville Note had a maturity date of July 31, 2025, but may be extended at the option of the Company. Beginning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from the Issuance Date, and continuing on the same day of each successive calendar month thereafter, (each, an “Installment Date”), the Company shall repay a portion of the outstanding balance of the January 2025 Yorkville Note in an amount equal to the sum of (i) $1,000,000 of principal (or the outstanding Principal if less than such amount), plus (ii) a payment premium (in an amount equal to 4% of the Principal amount being paid (the “Payment Premium”), and (iii) accrued and unpaid interest as of each Installment Date (collectively, the “Installment Amount”). The Company maintains the right to pay each Installment Amount in cash or via an Advance Notice pursuant to the SEPA or any combination thereof. The January 2025 Yorkville Note bears an interest rate of 0% for the first 90 days following the Issuance Date, and 6% thereafter (the “Interest Rate”). The Interest Rate shall increase to an annual rate of 18% upon the occurrence of an Event of Default (as defined by the January 2025 Yorkville Note). The January 2025 Yorkville Note is convertible into shares of the Company’s Class A common stock, par value $0.0001 per share (the “Class A Common Stock”), at a conversion price of $4,000.00 per share (the “Conversion Price”). The Investor may elect to convert part or all of the outstanding balance of the Note at any time or from time to time after the Issuance Date. The Company may prepay the outstanding amount at any time, in whole or in part, subject to a 4% premium,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 Pursuant to the January 2025 Yorkville Note, the Company made payments totaling approximately $3,640,000, of which approximately $3,500,000 was applied against outstanding principal, and approximately $140,000 was paid to Yorkville as Payment Premiums and expensed as incurred. As of June 30, 2025, the January 2025 Yorkville Note was fully repaid.</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16, 2025, the Company entered into a Convertible Promissory Note (the “September 2025 Yorkville Note”) with Yorkville in principal amount of $2,000,000 (the “Original Principal Amount”) to the Company, to be used as an advance under the SEPA. The Company received $890,000 from the Investor on that same date (“Advance #1), which reflects 50% of the Original Principal Amount, less 10% discount, and certain fees owed at such time. Upon the effectiveness of the registration statement on Form S-1, originally filed with the SEC on September 12, 2025 (File No. 333-290241) and the delivery of a closing statement, the Company received the remaining 50% of the Original Principal Amount, or $1,000,000, less 10% discount of the Original Principal Amount, netted from the purchase price due and structured as a purchase discount (“Advance #2”).</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September 2025 Yorkville Note was issued on September 16, 2025 and the maturity date of the September 2025 Yorkville Note is March 16, 2026, but may be extended at the option of the Company. Beginning on the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from the date of issuance, and continuing on the same day of each successive calendar month thereafter, (each, an “Installment Date”), the Company shall repay a portion of the outstanding balance of the Note in an amount equal to the sum of (i) $500,000 of principal (or the outstanding Principal if less than such amount), plus (ii) a payment premium in an amount equal to 4% of the Principal amount being paid (the “Payment Premium”), and (iii) accrued and unpaid interest hereunder as of each Installment Date (collectively, the “Installment Amount”). The Company maintains the right to pay each Installment Amount in cash or via an Advance Notice pursuant to the SEPA or any combination thereof. The September 2025 Yorkville Note bears an interest annual rate of 6%, which shall increase to 18% upon the occurrence of an Event of Default, as defined in the September 2025 Yorkville Note. The September 2025 Yorkville Note is convertible into shares of the Company’s Class A common stock, par value $0.0001 per share, at a conversion price of $500.00 per share (the “Conversion Price”). The Investor may elect to convert part or all of the outstanding balance of the September 2025 Yorkville Note at any time or from time to time after the date of issuance. The Company maintains the right to redeem all or any part of the September 2025 Yorkville Note, at any time, provided that (i) the Company provides the Investor with at least 10 trading days’ prior written notice (each, a “Redemption Notice”) of its desire to prepay the outstanding amount (an “Optional Redemption”), and (ii) on the date the Redemption Notice is issued, the VWAP of the Class A Common Stock is less than the Conversion Price.</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6, 2025, the Company issued an Advance Notice to Yorkville pursuant to the SEPA in which the Company requested the purchase of 575 shares of the Company’s Class A Common Stock at a purchase price of $616.00 for a total purchase price of $354,074 to be applied against the outstanding Yorkville Convertible Notes. Upon settlement on October 8, 2025, the Company issued 575 shares of Class A Common Stock to Yorkville.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13, 2025, the Company issued an Advance Notice to Yorkville pursuant to the SEPA in which the Company requested the purchase of 325 shares of the Company’s Class A Common Stock at a purchase price of $590.00 for a total purchase price of $191,477 to be applied against the outstanding Yorkville Convertible Notes. Upon settlement on October 15, 2025, the Company issued 325 shares of Class A Common Stock to Yorkville.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 and Convertible notes - related party (CP BF)</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2021, the Company entered into a loan agreement with CP BF Lending, LLC (“CP BF”) comprised of a Term Note and a Convertible Note. The Term Note bears cash interest at a rate of 14% per annum paid monthly and accrued interest payable-in-kind (“PIK”) cumulatively at 1.5% per annum. The outstanding principal balance of the Term Note together with accrued and unpaid interest thereon, unpaid fees and expenses and any other Obligations then due, shall be paid on February 19, 2025 (“Loan Maturity Date”). The Convertible Note accrues PIK interest cumulatively at a rate of 15.5% per annum, and is convertible into Class A Common Stock upon Qualified Financing (as defined in the agreement), upon a Change of Control (as defined in the agreement), upon Prepayment, or at Maturity at a fixed conversion price of $13,364.00 per unit. If not sooner converted or prepaid, the Convertible Note principal together with accrued and unpaid interest thereon, unpaid fees and expenses and any other Obligations then due, shall be paid on the Loan Maturity Date.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all respective periods presented, the Company was not in compliance with the Minimum Gross Profit Margin covenant in section 7.14.1 of the Loan Agreement, the Minimum ARR Growth covenant in section 7.14.2 of the Loan Agreement, and the Fixed Charge Coverage Ratio covenant in section 7.14.3 of the Loan Agreement. As a result of the Company’s noncompliance with the financial covenants, the entire principal amount and all unpaid and accrued interest will be classified as current on the Company’s consolidated balance sheets.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10, 2022 the Loan Agreement was amended, where CP BF waived payment by the Company of four months of cash interest with respect to the Term Note in replacement for a Convertible Note (“First Amendment Convertible Note”) in the principal amount of $321,345, which is not considered an Additional Loan as defined above. The First Amendment Convertible Note has the same features as the Convertible Note described above.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interest rate for the Term Note was 16% and interest expense totaled $851,175 for the year ended December 31, 2024, comprised of $772,550 of contractual interest and $78,625 of amortization of the discount. The effective interest rate for the CP BF Convertible Note and First Amendment Convertible Note was 16% for the year ended December 31, 2024. For the year ended December 31, 2024, interest expense on the Convertible Notes totaled $350,430 comprised of $325,818 of contractual interest and $24,612 for the amortization of the discount.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 - related party (CP BF restructuring)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September 5, 2024, the Company entered into a side letter to the loan agreement with CP BF whereby the Company agreed to consolidate the Term Note, CP BF Convertible Note and First Amendment Convertible Note (combined the “Old CP BF Notes”) into a single convertible note (the “2024 CP BF Convertible Note”). In accordance with FASB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the Company treated the Old CP BF Notes as extinguished and recognized a loss on debt extinguishment of $6,529,402, determined by the sum of the fair value of the 2024 CP BF Convertible Note, plus the fair value of the additional equity consideration given as part of the side letter and share purchase agreement, as discussed below, in excess of the carrying value of the Old CP BF Notes. After consideration of the below transactions CP BF was determined to be a related party as they owned approximately 16% of the outstanding Class A Common Stock.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conjunction with the side letter, the Company agreed to issue to CP BF, 35 shares of the Company’s Class A Common Stock. On September 23, 2024 the transaction was finalized and the Company issued the 2024 CP BF Convertible Note with a principal amount of $10,758,775. The outstanding principal balance of the 2024 CP BF Convertible Note together with accrued interest thereon, unpaid fees and expenses and any other Obligations then due, shall be paid on February 19, 2027 (“2024 Loan Maturity Date”). The 2024 CP BF Convertible Note accrues interest at a rate of 15.5% which interest shall be paid in kind monthly and is convertible at the holder’s option at any time on or following the effectiveness of the first resale registration statement covering the applicable conversion shares at a fixed conversion price per share of $7,780.00. Upon the occurrence, and during the continuance, of an Event of Default (as defined in the agreement), interest on the 2024 CP BF Convertible Note will bear PIK interest at a per annum rate of 20% (“2024 Default Rate.”)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may voluntarily prepay the principal of the 2024 CP BF Convertible Note, in accordance with their terms, in whole or in part at any time. On the date of any such prepayment, the Company will owe to Lender: (i) all accrued interest with respect to the principal amount so prepaid through the date the prepayment is made and (ii) the Exit Fee with respect to the principal amount so prepaid, calculated as 1.0% of the outstanding principal balance of the loans, with only the portion of the principal balance so converted counted for purposes of determining the applicable Exit Fee; and provided further, that, in the event of a partial prepayment of the loans, the Exit Fee shall be calculated on the principal amount so repaid and not on the entire outstanding principal balance thereof, and (iii) all other Obligations, if any, that shall have become due and payable hereunder with respect to the principal amount so prepaid. The 2024 CP BF Convertible Note obtain features that relate to the mandatory prepayment, either partially or in whole, upon certain contingent events.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2024 CP BF Convertible Note has an embedded redemption put feature upon a Prepayment and Default Interest triggering events. For further discussion of this derivative see </w:t>
      </w:r>
      <w:r>
        <w:rPr>
          <w:rFonts w:ascii="Times New Roman" w:cs="Times New Roman" w:eastAsia="Times New Roman" w:hAnsi="Times New Roman"/>
          <w:sz w:val="18"/>
          <w:szCs w:val="18"/>
          <w:i w:val="1"/>
          <w:iCs w:val="1"/>
          <w:color w:val="auto"/>
        </w:rPr>
        <w:t>Note 7 – Fair Value Measurements.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CP BF exercised its optional conversion option in which it received 556 Class A Common Stock at the fixed conversion price per share of $7,780.00 in satisfaction of $216,284 of the Company’s obligations under the 2024 CP BF Convertible Note.</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September 23, 2024, the Company entered into a Securities Purchase Agreement (the “CP BF SPA”), a Registration Rights Agreement (the “CP BF RRA”), a Lock-Up Agreement (the “CP BF Lock Up”) and issued CP BF a Common Stock Purchase Warrant (the “CP BF Warrant”) and a Pre-Funded Warrant (the “CP BF Pre-Funded Warrant,” together with the CP BF SPA, CP BF RRA, CP BF Lock Up and CP BF Warrant, the “CP BF Transaction Documents”). Pursuant to the CP BF SPA, CP BF agreed to convert $2,000,000 in debt into 131 shares of Class A Common Stock, CP BF Warrants to purchase up to 283 shares of Class A Common Stock and CP BF Pre-Funded Warrants to purchase up to 153 shares of Class A Common Stock (all such securities and shares collectively referred to as the “CP BF Registrable Securities”). The CP BF Warrant can be exercised at an initial exercise price of $7,780.00 per share, subject to adjustment for a term of five years. The CP BF Pre-Funded Warrant will be exercisable at any time after the date of issuance at an exercise price of $0.0001. Neither warrant may be exercised if the holder, together with its affiliates, would beneficially own more than 19.99% of the number of shares of Common Stock outstanding immediately after giving effect to such exercise. Both warrants may be exercised via cash or cashless exercise. Pursuant to the CP BF RRA, the Company agreed to file a registration statement to register the CP BF Registrable Securities and for the registration statement to become effective on or before December 9, 2024. Under the CP BF Lock-Up, the Company’s CEO, Joseph Davy, agreed not to sell an aggregate of 1,156 shares of Class B Common Stock that he owns until such time as CP BF no longer owns any of the CP BF Registrable Securities.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24, 2024, the Company entered into a securities purchase agreement with an institutional investor for the issuance and sale in a private placement with gross proceeds to the Company of approximately $4.6 million. One of the contingent redemption features in the 2024 CP BF Convertible Note relates to the Company prepaying, either partially or in whole, the obligations upon the sale of the Company’s capital stock equal to 20% of the cash proceeds in excess of $3,000,000. For the year ended December 31, 2025, the Company paid a total of $2,840,677 which satisfied outstanding principal under the 2024 CP BF Convertible Note.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interest rate for the 2024 CP BF Convertible Note was approximately 15.4% for the year ended December 31, 2025 and 2024. For the year ended December 31, 2025 and 2024, interest expense on the 2024 CP BF Convertible Note totaled $1,177,033 and $368,525,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2024 CP BF Convertible Note as of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6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Face value of the CP BF convertible notes</w:t>
            </w: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8,758,775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8,758,775</w:t>
            </w:r>
          </w:p>
        </w:tc>
        <w:tc>
          <w:tcPr>
            <w:tcW w:w="100" w:type="dxa"/>
            <w:vAlign w:val="bottom"/>
            <w:shd w:val="clear" w:color="auto" w:fill="CCEEFF"/>
          </w:tcPr>
          <w:p>
            <w:pPr>
              <w:spacing w:after="0"/>
              <w:rPr>
                <w:sz w:val="18"/>
                <w:szCs w:val="18"/>
                <w:color w:val="auto"/>
              </w:rPr>
            </w:pPr>
          </w:p>
        </w:tc>
      </w:tr>
      <w:tr>
        <w:trPr>
          <w:trHeight w:val="23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Debt premium, net</w:t>
            </w:r>
          </w:p>
        </w:tc>
        <w:tc>
          <w:tcPr>
            <w:tcW w:w="2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11,066</w:t>
            </w:r>
          </w:p>
        </w:tc>
      </w:tr>
      <w:tr>
        <w:trPr>
          <w:trHeight w:val="209"/>
        </w:trPr>
        <w:tc>
          <w:tcPr>
            <w:tcW w:w="4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value of the CP BF convertible notes</w:t>
            </w:r>
          </w:p>
        </w:tc>
        <w:tc>
          <w:tcPr>
            <w:tcW w:w="24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8,758,775</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8,769,841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2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1,557,558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369,459</w:t>
            </w:r>
          </w:p>
        </w:tc>
      </w:tr>
      <w:tr>
        <w:trPr>
          <w:trHeight w:val="216"/>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made</w:t>
            </w:r>
          </w:p>
        </w:tc>
        <w:tc>
          <w:tcPr>
            <w:tcW w:w="24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(5,011,987)</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(283,315)</w:t>
            </w:r>
          </w:p>
        </w:tc>
      </w:tr>
      <w:tr>
        <w:trPr>
          <w:trHeight w:val="22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2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(381,745)</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(216,284)</w:t>
            </w:r>
          </w:p>
        </w:tc>
      </w:tr>
      <w:tr>
        <w:trPr>
          <w:trHeight w:val="223"/>
        </w:trPr>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CP BF convertible notes and accrued interest</w:t>
            </w:r>
          </w:p>
        </w:tc>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4,922,601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8,639,701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5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2"/>
          </w:tcPr>
          <w:p>
            <w:pPr>
              <w:jc w:val="right"/>
              <w:ind w:right="2230"/>
              <w:spacing w:after="0"/>
              <w:rPr>
                <w:sz w:val="20"/>
                <w:szCs w:val="20"/>
                <w:color w:val="auto"/>
              </w:rPr>
            </w:pPr>
            <w:r>
              <w:rPr>
                <w:rFonts w:ascii="Times New Roman" w:cs="Times New Roman" w:eastAsia="Times New Roman" w:hAnsi="Times New Roman"/>
                <w:sz w:val="18"/>
                <w:szCs w:val="18"/>
                <w:color w:val="auto"/>
              </w:rPr>
              <w:t>F-78</w:t>
            </w: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CP BF Letter Agreement</w:t>
      </w:r>
    </w:p>
    <w:p>
      <w:pPr>
        <w:spacing w:after="0" w:line="22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On October 14, 2025, the Company and CP BF executed a letter agreement dated October 10, 2025, pursuant to which they amended certain terms of the Loan Agreement and Note (as amended on October 15, 2025, the “CP BF Letter Agreement”). The CP BF Letter Agreement amended the Conversion Price, as defined, to ninety-five percent (95%) of the price of the Class A Common Stock on the trading day immediately preceding delivery of any Conversion Notice, subject to a floor price of $500.00. The CP BF Letter Agreement included an amendment that CP BF shall take commercially reasonable actions to partially convert the balance outstanding under the Note as of the CP BF Letter Agreement date (the “Balance”) into shares of the Company’s Class A Common Stock at the new conversion price. The CP BF Letter Agreement limits the amount of shares that CP BF can sell or convert to five percent (5%) of the aggregate daily trading volume however the Company has the right waive or increase such limitation at its discretion. The CP BF Letter Agreement also stipulates that between the time that the Company pays down at least $2,000,000 against the Balance until the earlier of (a) 60 days following the date of the CP BF Letter Agreement and (b) receipt of $10,000,000 in gross proceeds from the sale of Company securities, the Company will no longer be required to prepay a certain percentage of other proceeds received from securities offerings to CP BF, as stipulated in the Loan Agreement.</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CP BF Letter Agreement, the parties agreed to use an agreed-upon portion of other debt to partially prepay the balance outstanding under the Note as of the CP BF Letter Agreement date (the “Balance”). The Company also agreed to reserve that number of shares of Class A Common Stock equal to 120% of the number of shares of Class A Common Stock issuable upon full conversion of the Balance at the new conversion price and to register 100% of all such shares with the SEC within 60 days of the CP BF Letter Agreement. As per the CP BF Letter Agreement, subject to the receipt by CP BF of $2,000,000 and the filing of the registration statement, CP BF also agreed to waive certain events of default that may have occurred or be occurring as of the date of the CP BF Letter Agreement; CP BF also agreed that until December 31, 2025, it shall not exercise any right or remedy associated with any failure on the part of the Company to comply with certain financial covenants set forth in the Loan Agreement, as they relate to the period ending September 30,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failure to comply with the Letter Agreement shall constitute an Event of Default under the Loan Agreement.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CP BF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17, 2025 and December 31, 2025, CP BF exercised its optional conversion option multiple times and received an aggregate of 314 shares of Class A Common Stock at conversion prices per share ranging from $542.00 to $550.00 in satisfaction of $165,461 of the Company’s obligations under the 2024 CP BF Convertible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payable, carried at fair value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Agile Term Notes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22, 2024, the Company entered into a subordinated business loan and security agreement (the “July Subordinated Business Loan and Security Agreement”) with Agile Lending, LLC (“Agile”) and Agile Capital Funding, LLC as the collateral agent (“Agile Funding”) and issued a subordinated secured promissory note (the “July Agile Note”) for an aggregate principal amount of $787,500 and received net proceeds of $750,000, after administrative agent fees of $37,500 paid to Agile Funding, with a maturity date of February 5, 2025. The July Agile Note bears interest at a rate of 42%.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13, 2024, the Company entered into a subordinated business loan and security agreement (the “September Subordinated Business Loan and Security Agreement”) with Agile and Agile Funding and issued a subordinated secured promissory note (the “September Agile Note”) for an aggregate principal amount of $262,500 and received net proceeds of $250,000, after administrative agent fees of $12,500 paid to Agile Funding, with a maturity date of March 3, 2025. The September Agile Note bears interest at a rate of 48%.</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12, 2024, the Company issued a subordinated secured promissory note (the “December Agile Note”) for an aggregate principal amount of $2,400,000 and received net proceeds of $1,782,438, after administrative agent fees of $120,000 paid to Agile Funding, and net of payments to Agile of $319,500 and $178,063 in respect to early prepayment of the remaining outstanding balances of the July Agile Note and September Agile Note. The December Agile Note has a maturity date of July 10,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12, 2024, the Company evaluated the debt modification guidance, determining that the modification is an extinguishment of the existing July Agile Note and September Agile Note due to the terms of the December Agile Note being substantially different from the terms of the July and September Agile Notes. As a result, the Company recorded a loss on debt extinguishment of $1,071,563.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31, 2025, the Company issued a subordinated secured promissory note (the “March Agile Note”) for an aggregate principal amount of $4,000,000 and received net proceeds of $2,044,105, after administrative agent fees of $200,000 paid to Agile Funding, and net of payments to Agile of $1,755,895 in respect to early prepayment of the remaining outstanding balances of the December Agile Note. The March Agile Note has a maturity date of November 12, 2025 and bears interest at a rate of 44%.</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March 31, 2025, the Company evaluated the debt modification guidance, determining that the modification is an extinguishment of the existing December Agile Note due to the terms of the March Agile Note being substantially different from the terms of the December Agile Notes. As a result, the Company recorded a loss on debt extinguishment of $1,769,895.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2025, the Company issued a subordinated secured promissory note (the “June Agile Note”) for an aggregate principal amount of $262,500 and received net proceeds of $250,000, after administrative agent fees $12,500 paid to Agile Funding. The June Agile note has a maturity date of December 15, 2025 and bears interest at a rate of 48%.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July Agile Note, the September Agile Note, the December Agile Note, the March Agile Note, and the June Agile Note are together referred to as the “Agile Notes.” Interest on the Agile Notes is calculated on a 360 day year based on the actual number of days lapsed, and accrues commencing on and including the effective date pursuant to the respective agreement’s weekly repayment and amortization schedule.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collateral under the July and September Subordinated Business Loan and Security Agreements consist of all of the Company’s goods, accounts, equipment, inventory, contract rights or rights to payment of money, leases, license agreements, franchise agreements, general intangibles (including intellectual property), commercial tort claims, documents, instruments (including any promissory notes), chattel paper (whether tangible or electronic), cash, deposit accounts and other collateral accounts, all certificates of deposit, fixtures, letters of credit rights, securities, and all other investment property, supporting obligations, and financial assets. Upon any Changes in Business or Management, Ownership (as defined in the agreements) or upon an Event of Default (as defined in the agreements), each of the July Agile Note and or the September Agile Note then-outstanding will become accelerated and the Company shall immediately pay to Agile an amount equal to the sum of (i) all outstanding principal of the term loan plus accrued and unpaid interest thereon accrued through the prepayment date, (ii) a Prepayment Fee (as defined in the agreements), plus (iii) all other obligations that are due and payable, including, without limitation, incremental interest at the Default Rate of 5.0% (as defined in the agreements). Additionally, the Company may voluntarily prepay the July Agile Note and or the September Agile Note, in accordance with their terms, in whole or in part at any time. On the date of such prepayment of any principal amounts, the Company will owe to Agile a Prepayment Fee comprising a make-whole premium payment on account of such principal amount prepaid, which shall be equal to the aggregate and actual amount of interest (at the contract rate of interest) that would be paid through the maturity date of the respective note, as described above.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Agile Notes include contingent redemption (put) rights which trigger mandatory prepayment and a make-whole premium upon certain events including an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 7 – 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issuance of the March Agile Note, the Company entered into a series of exchange and forbearance arrangements with Agile and Agile Funding, relating to the outstanding balance of the March Agile Note.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11, 2025, the remaining principal and accrued and unpaid interest under the March Agile Note was approximately $1,495,375. On December 15, 2025, the Company entered into a forbearance agreement with Agile and Agile Funding, pursuant to which Agile agreed to forbear from exercising its rights and remedies under the March Agile Note and related loan documents in connection with existing defaults. In consideration for such forbearance, the outstanding balance of the March Agile Note was increased to $2,123,432.</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modification on December 15, 2025, the Company evaluated the debt modification guidance, determining that the modification is an extinguishment of the March Agile Note due to the terms of the March Agile Note after the modification being substantially different from before the modification as a result of the forbearance agreement. As a result, the Company recorded a loss on debt extinguishment of $632,837.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15, 2025, the Company entered into an exchange agreement with Agile pursuant to which the Company issued 1,164 shares of its Class A common stock in exchange for a reduction of $284,000 in the outstanding balance of the March Agile Note. Following this exchange, the outstanding balance of the March Agile Note was reduced to approximately $1,839,432.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Agile Notes totaled $2,727,280 and $100,095 for the year ended December 31, 2025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0" w:name="page231"/>
    <w:bookmarkEnd w:id="230"/>
    <w:tbl>
      <w:tblPr>
        <w:tblLayout w:type="fixed"/>
        <w:tblInd w:w="0" w:type="dxa"/>
        <w:tblCellMar>
          <w:top w:w="0" w:type="dxa"/>
          <w:left w:w="0" w:type="dxa"/>
          <w:bottom w:w="0" w:type="dxa"/>
          <w:right w:w="0" w:type="dxa"/>
        </w:tblCellMar>
      </w:tblPr>
      <w:tr>
        <w:trPr>
          <w:trHeight w:val="20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presents the Agile Notes for the year ended December 31, 2025:</w:t>
            </w: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128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Agile Term Notes</w:t>
            </w:r>
          </w:p>
        </w:tc>
      </w:tr>
      <w:tr>
        <w:trPr>
          <w:trHeight w:val="210"/>
        </w:trPr>
        <w:tc>
          <w:tcPr>
            <w:tcW w:w="74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Agile term notes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4,262,500</w:t>
            </w: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issuance</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110,500</w:t>
            </w: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2,402,732</w:t>
            </w: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1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(8,079,300)</w:t>
            </w: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(284,000)</w:t>
            </w:r>
          </w:p>
        </w:tc>
      </w:tr>
      <w:tr>
        <w:trPr>
          <w:trHeight w:val="229"/>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173,055</w:t>
            </w:r>
          </w:p>
        </w:tc>
      </w:tr>
      <w:tr>
        <w:trPr>
          <w:trHeight w:val="263"/>
        </w:trPr>
        <w:tc>
          <w:tcPr>
            <w:tcW w:w="7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7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1,728,487</w:t>
            </w:r>
          </w:p>
        </w:tc>
        <w:tc>
          <w:tcPr>
            <w:tcW w:w="100" w:type="dxa"/>
            <w:vAlign w:val="bottom"/>
            <w:tcBorders>
              <w:bottom w:val="single" w:sz="8" w:color="CCEEFF"/>
            </w:tcBorders>
          </w:tcPr>
          <w:p>
            <w:pPr>
              <w:spacing w:after="0"/>
              <w:rPr>
                <w:sz w:val="22"/>
                <w:szCs w:val="22"/>
                <w:color w:val="auto"/>
              </w:rPr>
            </w:pPr>
          </w:p>
        </w:tc>
      </w:tr>
      <w:tr>
        <w:trPr>
          <w:trHeight w:val="196"/>
        </w:trPr>
        <w:tc>
          <w:tcPr>
            <w:tcW w:w="128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1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1,839,433</w:t>
            </w:r>
          </w:p>
        </w:tc>
      </w:tr>
      <w:tr>
        <w:trPr>
          <w:trHeight w:val="216"/>
        </w:trPr>
        <w:tc>
          <w:tcPr>
            <w:tcW w:w="7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1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Convertible Notes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16, 2024, the Company entered into a securities purchase agreement and promissory note agreement (the “August Securities Purchase Agreement”) with 1800 Diagonal Lending LLC (“Lender”) and issued a promissory note (the “August 1800 Diagonal Note”) for an aggregate principal amount of $184,000 and received net proceeds of $152,000, after an original issue discount of $24,000 and issuance costs of $8,000 for due diligence and legal fees. The August 1800 Diagonal Note has a maturity date of June 15, 2025 and bears interest at 12% per annum. The August Securities Purchase Agreement stipulates that the Company and Lender may mutually agree to enter into additional tranches of promissory notes over the 12 month period commencing on August 16, 2024, up to an aggregate total of $750,000.</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September 24, 2024, the Company issued a second promissory note (the “September 1800 Diagonal Note”) for an aggregate principal amount of $124,200 and received net proceeds of $100,000, after an original discount of $16,200 and issuance costs of $8,000 for due diligence and legal fees. The September 1800 Diagonal Note has a maturity date of July 30, 2025 and bears interest at 12% per annum. On July 23, 2025, the Company exercised its conversion option under the September 1800 Diagonal Note. On the conversion date, the September 1800 Diagonal Note had a fair value of $17,000 and converted into 35 shares of the Company’s Class A Common Stock in satisfaction of $17,388 of the Company’s obligations under the September 1800 Diagonal Note.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10, 2024, the Company issued a third promissory note (the “December 1800 Diagonal Note”) for an aggregate principal amount of $124,200 and received net proceeds of $100,000, after an original discount of $16,200 and issuance costs of $8,000 for due diligence and legal fees. The December 1800 Diagonal Note has a maturity date of October 15, 2025 and bears interest at 12% per annum. On July 22, 2025, the Company exercised its conversion option under the December 1800 Diagonal Note. On the conversion date, the December 1800 Diagonal Note had a fair value of $58,000 and converted into 100 shares of the Company’s Class A Common Stock in satisfaction of $52,164 of the Company’s obligations under the December 1800 Diagonal Note.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7, 2025, the Company issued a fourth promissory note (the “February 1800 Diagonal Note”) for an aggregate principal amount of $124,200 and received net proceeds of $100,000, after an original discount of $16,200 and issuance costs of $8,000 for due diligence and legal fees. The February 1800 Diagonal Note has a maturity date of December 15, 2025 and bears interest at 12% per annum. On August 11, 2025, the Company exercised its conversion option under the February 1800 Diagonal Note. On the conversion date, the February 1800 Diagonal Note had a fair value of $80,700 and converted into 164 shares of the Company’s Class A Common Stock in satisfaction of $69,552 of the Company’s obligations under the February 1800 Diagonal Note.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17, 2025, the Company issued a fifth promissory note (the “April 1800 Diagonal Note”) for an aggregate principal amount of $230,000 and received net proceeds of $192,000, after an original discount of $30,000 and issuance costs of $8,000 for due diligence and legal fees. The April 1800 Diagonal Note has a maturity date of February 15, 2026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21, 2025 and October 27, 2025, the Lender exercised its conversion option multiple times under the April 1800 Diagonal Note and received an aggregate of 702 shares of Class A Common Stock at conversion prices per share ranging from $338.00 to $412.00 in full satisfaction of the Company’s remaining obligations under the April 1800 Diagonal Note totaling $265,100.</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9, 2025, the Company issued a sixth promissory note (the “May 1800 Diagonal Note”) for an aggregate principal amount of $163,300 and received net proceeds of $135,000, after an original discount of $21,300 and issuance costs of $7,000 for due diligence and legal fees. The May 1800 Diagonal Note has a maturity date of February 15, 2026 and bears interest at 12%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23, 2025, the Company issued a seventh promissory note (the “July 1800 Diagonal Note”) for an aggregate principal amount of $295,550 and received net proceeds of $250,000, after an original discount of $38,550 and issuance costs of $7,000 for due diligence and legal fees. The July 1800 Diagonal Note has a maturity date of May 30, 2026 and bears interest at 12% per annum.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12, 2025, the Company issued an eighth promissory note (the “September 2025 1800 Diagonal Note”) for an aggregate principal amount of $151,800 and received net proceeds of $125,000, after an original discount of $19,800 and issuance costs of $7,000 for due diligence and legal fees. The September 2025 1800 Diagonal Note has a maturity date of June 15, 2026 and bears interest at 14%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4, 2025, the Company issued a ninth promissory note (the “November 1800 Diagonal Note”) for an aggregate principal amount of $238,050 and received net proceeds of $200,000, after an original discount of $31,050 and issuance costs of $7,000 for due diligence and legal fees. The November 1800 Diagonal Note has a maturity date of July 30, 2026 and bears interest at 14% per annum.</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August, September, December, February, April, May, July, September 2025 and November notes described above are together referred to as the “1800 Diagonal Notes.” Interest on the 1800 Diagonal Notes accrues commencing on and including the issuance date pursuant to the respective agreement’s repayment and amortization schedule.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respective agreements, all or any portion of the 1800 Diagonal Notes that are then outstanding, may become convertible at the option of the Lender into fully paid and non-assessable shares of the Company’s Common Stock up to 4.99% of the Company’s outstanding shares of Common Stock. The Notes become convertible at the Lender’s option upon an event of default, at a conversion price equal to the quotient resulting from dividing the Conversion Amount, measured as the sum of (1) the principal amount of the Note or Notes being converted in such conversion, plus (2) at the Lender’s option, accrued and unpaid interest, if any, on such principal amount at the interest rates to the respective note or notes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1800 Diagonal Notes include optional conversion rights to the holder upon an event of default, contingent redemption (put) rights which trigger mandatory prepayment upon event of default, and defaulted contingent interest upon an event of default. For further discussion of this derivative, see </w:t>
      </w:r>
      <w:r>
        <w:rPr>
          <w:rFonts w:ascii="Times New Roman" w:cs="Times New Roman" w:eastAsia="Times New Roman" w:hAnsi="Times New Roman"/>
          <w:sz w:val="18"/>
          <w:szCs w:val="18"/>
          <w:i w:val="1"/>
          <w:iCs w:val="1"/>
          <w:color w:val="auto"/>
        </w:rPr>
        <w:t>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7 – Fair Value Measurements.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1800 Diagonal Notes totaled approximately $306,696 and $100,095 for the year ended December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1800 Diagonal Notes year ended December 31, 2025:</w:t>
            </w:r>
          </w:p>
        </w:tc>
        <w:tc>
          <w:tcPr>
            <w:tcW w:w="1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7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1800 Diagonal</w:t>
            </w:r>
          </w:p>
        </w:tc>
      </w:tr>
      <w:tr>
        <w:trPr>
          <w:trHeight w:val="209"/>
        </w:trPr>
        <w:tc>
          <w:tcPr>
            <w:tcW w:w="7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4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1,297,200</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140,215</w:t>
            </w: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1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(615,457)</w:t>
            </w: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(49,478)</w:t>
            </w:r>
          </w:p>
        </w:tc>
      </w:tr>
      <w:tr>
        <w:trPr>
          <w:trHeight w:val="23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(457,493)</w:t>
            </w:r>
          </w:p>
        </w:tc>
      </w:tr>
      <w:tr>
        <w:trPr>
          <w:trHeight w:val="223"/>
        </w:trPr>
        <w:tc>
          <w:tcPr>
            <w:tcW w:w="7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746,987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17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721,938</w:t>
            </w: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17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71,015</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Private Placement Offering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27, 2025, the Company entered into a securities purchase agreement (the “Purchase Agreement”) with an institutional investor, 3i, LP (the “Buyer”) for the issuance and sale in a private placement (the “Private Placement Offering”) of senior secured convertible notes of the Company, in the aggregate original principal amount of $11,000,000 (the “Private Placement Convertible Notes”) which are convertible into shares of the Company’s Class A Common Stock (the shares of Common Stock issuable pursuant to the terms of the Notes, including, without limitation, upon conversion or otherwise, collectively, the “Conversion Shares”), in accordance with the terms of the Notes.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connection with the Offering, the Company has also entered into a letter agreement dated April 30, 2025 (the “Letter Agreement”) with Rodman &amp; Renshaw LLC as the exclusive financial advisor (the “Financial Advisor”) pursuant to which the Company has agreed to issue financial advisor warrants to purchase up to an aggregate of 106 shares of Common Stock (the “Financial Advisor Warrants,” together with the Buyer Warrants, the “Private Placement Warrants”). Refer to </w:t>
      </w:r>
      <w:r>
        <w:rPr>
          <w:rFonts w:ascii="Times New Roman" w:cs="Times New Roman" w:eastAsia="Times New Roman" w:hAnsi="Times New Roman"/>
          <w:sz w:val="18"/>
          <w:szCs w:val="18"/>
          <w:i w:val="1"/>
          <w:iCs w:val="1"/>
          <w:color w:val="auto"/>
        </w:rPr>
        <w:t>Note 15 – Equity</w:t>
      </w:r>
      <w:r>
        <w:rPr>
          <w:rFonts w:ascii="Times New Roman" w:cs="Times New Roman" w:eastAsia="Times New Roman" w:hAnsi="Times New Roman"/>
          <w:sz w:val="18"/>
          <w:szCs w:val="18"/>
          <w:color w:val="auto"/>
        </w:rPr>
        <w:t>, for further description of the Warrants issued in the Private Placement Offering.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30, 2025, the parties conducted the initial closing pursuant to the terms of the Purchase Agreement and the Company issued an initial Note (the “June 3i Note”) and an initial warrant (“June Warrant”) to acquire shares of the Company’s Class A Common Stock. The parties conducted subsequent closings on August 19, 2025 and October 8, 2025 and the Company issued additional notes and warrants (the “August 3i Note” and the “August Warrant,” and the “October 3i Note” and the “October Warrant,” respectively). The following table presents the maturity date, the original principal amount, the net proceeds received by the Company after original issue discount and issuance fees and costs, the initial conversion price per share, and the initial conversion floor price per share at the date of closing for each Note, and the number of warrants and the initial exercise price per share for each Buyer Warrant associated with the Private Placement Offering: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Private Placement Notes</w:t>
            </w: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80" w:type="dxa"/>
            <w:vAlign w:val="bottom"/>
            <w:tcBorders>
              <w:bottom w:val="single" w:sz="8" w:color="auto"/>
            </w:tcBorders>
            <w:gridSpan w:val="8"/>
          </w:tcPr>
          <w:p>
            <w:pPr>
              <w:ind w:left="440"/>
              <w:spacing w:after="0"/>
              <w:rPr>
                <w:sz w:val="20"/>
                <w:szCs w:val="20"/>
                <w:color w:val="auto"/>
              </w:rPr>
            </w:pPr>
            <w:r>
              <w:rPr>
                <w:rFonts w:ascii="Times New Roman" w:cs="Times New Roman" w:eastAsia="Times New Roman" w:hAnsi="Times New Roman"/>
                <w:sz w:val="18"/>
                <w:szCs w:val="18"/>
                <w:b w:val="1"/>
                <w:bCs w:val="1"/>
                <w:color w:val="auto"/>
              </w:rPr>
              <w:t>Private Placement Warrants</w:t>
            </w:r>
          </w:p>
        </w:tc>
      </w:tr>
      <w:tr>
        <w:trPr>
          <w:trHeight w:val="187"/>
        </w:trPr>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Initial</w:t>
            </w: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of Buyer</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Buyer</w:t>
            </w: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 Issued</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Original</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Proceeds</w:t>
            </w:r>
          </w:p>
        </w:tc>
        <w:tc>
          <w:tcPr>
            <w:tcW w:w="14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Initial</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30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Warrant</w:t>
            </w:r>
          </w:p>
        </w:tc>
      </w:tr>
      <w:tr>
        <w:trPr>
          <w:trHeight w:val="216"/>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by</w:t>
            </w:r>
          </w:p>
        </w:tc>
        <w:tc>
          <w:tcPr>
            <w:tcW w:w="2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Received</w:t>
            </w: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136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Conversion</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Issued by</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Issued by</w:t>
            </w:r>
          </w:p>
        </w:tc>
        <w:tc>
          <w:tcPr>
            <w:tcW w:w="30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Exercise</w:t>
            </w:r>
          </w:p>
        </w:tc>
      </w:tr>
      <w:tr>
        <w:trPr>
          <w:trHeight w:val="216"/>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Closing</w:t>
            </w:r>
          </w:p>
        </w:tc>
        <w:tc>
          <w:tcPr>
            <w:tcW w:w="2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20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 of the</w:t>
            </w: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by the</w:t>
            </w: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Price per</w:t>
            </w:r>
          </w:p>
        </w:tc>
        <w:tc>
          <w:tcPr>
            <w:tcW w:w="160" w:type="dxa"/>
            <w:vAlign w:val="bottom"/>
          </w:tcPr>
          <w:p>
            <w:pPr>
              <w:spacing w:after="0"/>
              <w:rPr>
                <w:sz w:val="18"/>
                <w:szCs w:val="18"/>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Floor Price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w:t>
            </w:r>
          </w:p>
        </w:tc>
        <w:tc>
          <w:tcPr>
            <w:tcW w:w="300" w:type="dxa"/>
            <w:vAlign w:val="bottom"/>
          </w:tcPr>
          <w:p>
            <w:pPr>
              <w:spacing w:after="0"/>
              <w:rPr>
                <w:sz w:val="18"/>
                <w:szCs w:val="18"/>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 per</w:t>
            </w:r>
          </w:p>
        </w:tc>
      </w:tr>
      <w:tr>
        <w:trPr>
          <w:trHeight w:val="238"/>
        </w:trPr>
        <w:tc>
          <w:tcPr>
            <w:tcW w:w="9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20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the Note</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0" w:type="dxa"/>
            <w:vAlign w:val="bottom"/>
          </w:tcPr>
          <w:p>
            <w:pPr>
              <w:spacing w:after="0"/>
              <w:rPr>
                <w:sz w:val="20"/>
                <w:szCs w:val="20"/>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60" w:type="dxa"/>
            <w:vAlign w:val="bottom"/>
          </w:tcPr>
          <w:p>
            <w:pPr>
              <w:spacing w:after="0"/>
              <w:rPr>
                <w:sz w:val="20"/>
                <w:szCs w:val="20"/>
                <w:color w:val="auto"/>
              </w:rPr>
            </w:pPr>
          </w:p>
        </w:tc>
        <w:tc>
          <w:tcPr>
            <w:tcW w:w="120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8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r>
      <w:tr>
        <w:trPr>
          <w:trHeight w:val="191"/>
        </w:trPr>
        <w:tc>
          <w:tcPr>
            <w:tcW w:w="9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2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June 30,</w:t>
            </w:r>
          </w:p>
        </w:tc>
        <w:tc>
          <w:tcPr>
            <w:tcW w:w="2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June</w:t>
            </w:r>
          </w:p>
        </w:tc>
        <w:tc>
          <w:tcPr>
            <w:tcW w:w="20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34"/>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June 3i Note</w:t>
            </w:r>
          </w:p>
        </w:tc>
        <w:tc>
          <w:tcPr>
            <w:tcW w:w="1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$ 2,200,000</w:t>
            </w:r>
          </w:p>
        </w:tc>
        <w:tc>
          <w:tcPr>
            <w:tcW w:w="11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$ 1,725,000</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336</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198"/>
        </w:trPr>
        <w:tc>
          <w:tcPr>
            <w:tcW w:w="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August 19,</w:t>
            </w:r>
          </w:p>
        </w:tc>
        <w:tc>
          <w:tcPr>
            <w:tcW w:w="11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August 3i</w:t>
            </w:r>
          </w:p>
        </w:tc>
        <w:tc>
          <w:tcPr>
            <w:tcW w:w="1300" w:type="dxa"/>
            <w:vAlign w:val="bottom"/>
            <w:gridSpan w:val="3"/>
          </w:tcPr>
          <w:p>
            <w:pPr>
              <w:ind w:left="200"/>
              <w:spacing w:after="0" w:line="198" w:lineRule="exact"/>
              <w:rPr>
                <w:sz w:val="20"/>
                <w:szCs w:val="20"/>
                <w:color w:val="auto"/>
              </w:rPr>
            </w:pPr>
            <w:r>
              <w:rPr>
                <w:rFonts w:ascii="Times New Roman" w:cs="Times New Roman" w:eastAsia="Times New Roman" w:hAnsi="Times New Roman"/>
                <w:sz w:val="18"/>
                <w:szCs w:val="18"/>
                <w:color w:val="auto"/>
              </w:rPr>
              <w:t>September</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August</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Note</w:t>
            </w: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19, 2026</w:t>
            </w:r>
          </w:p>
        </w:tc>
        <w:tc>
          <w:tcPr>
            <w:tcW w:w="200" w:type="dxa"/>
            <w:vAlign w:val="bottom"/>
          </w:tcPr>
          <w:p>
            <w:pPr>
              <w:spacing w:after="0"/>
              <w:rPr>
                <w:sz w:val="20"/>
                <w:szCs w:val="20"/>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$ 2,200,000</w:t>
            </w: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$ 1,762,000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220.00</w:t>
            </w:r>
          </w:p>
        </w:tc>
        <w:tc>
          <w:tcPr>
            <w:tcW w:w="220" w:type="dxa"/>
            <w:vAlign w:val="bottom"/>
          </w:tcPr>
          <w:p>
            <w:pPr>
              <w:spacing w:after="0"/>
              <w:rPr>
                <w:sz w:val="20"/>
                <w:szCs w:val="20"/>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198"/>
        </w:trPr>
        <w:tc>
          <w:tcPr>
            <w:tcW w:w="9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October 8,</w:t>
            </w:r>
          </w:p>
        </w:tc>
        <w:tc>
          <w:tcPr>
            <w:tcW w:w="1180" w:type="dxa"/>
            <w:vAlign w:val="bottom"/>
            <w:gridSpan w:val="2"/>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October 3i</w:t>
            </w:r>
          </w:p>
        </w:tc>
        <w:tc>
          <w:tcPr>
            <w:tcW w:w="1300" w:type="dxa"/>
            <w:vAlign w:val="bottom"/>
            <w:gridSpan w:val="3"/>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October 8,</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October</w:t>
            </w: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Note</w:t>
            </w:r>
          </w:p>
        </w:tc>
        <w:tc>
          <w:tcPr>
            <w:tcW w:w="1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$ 2,500,000</w:t>
            </w:r>
          </w:p>
        </w:tc>
        <w:tc>
          <w:tcPr>
            <w:tcW w:w="11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8"/>
              </w:rPr>
              <w:t>$ 2,010,909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124.00</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w:t>
            </w: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500.00</w:t>
            </w:r>
          </w:p>
        </w:tc>
      </w:tr>
      <w:tr>
        <w:trPr>
          <w:trHeight w:val="223"/>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$ 6,900,000</w:t>
            </w:r>
          </w:p>
        </w:tc>
        <w:tc>
          <w:tcPr>
            <w:tcW w:w="3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$ 5,497,909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Private Placement Notes were issued with an original issue discount of 10.0% and accrue interest at a rate of 10.0% per annum.</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net proceeds received by the Company are after the original issue discount and issuance fees and costs, financial advisory fees and estimated offering expenses. The Private Placement Notes mature twelve (12) months from the respective date of issuance,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Private Placement Notes have a respective conversion price that is subject to a floor price. In certain pricing conditions set by the conversion formula in the agreement, a conversion may result in the Company delivering both shares and cash to the Buyer. The Company intends to use the net proceeds received from the Private Placement Offering for general corporate purposes and working capital.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as per the terms of the Notes and Warrants, the conversion price and exercise price was adjusted to $25.00. On October 10, 2025, the Company and 3i, LP entered into a consent and waiver agreement (the “Waiver”) on certain terms of the Purchase Agreement (as defined in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in the notes to the consolidated financial statements) to waive the downward adjustment prohibition in the Purchase Agreement and to provide 3i with certain Variable Rate Securities, as defined in the Purchase Agreement, solely to the extent it would otherwise be violated by the conversion price of CP BF Letter Agreement, as defined below. As such, the parties waived that the conversion price amendment of the CP BF Letter Agreement, as defined below, shall not trigger or constitute an event of default under the Purchase Agreement.</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an Event of Default (as defined in the Notes) has occurred, the Buyer may elect convert (each, an “Alternate Conversion,” and the date of such Alternate Conversion, each, an “Alternate Conversion Date”) all, or any part of, the Conversion Amount (such portion of the Conversion Amount subject to such Alternate Conversion, the “Alternate Conversion Amount”) into shares of Common Stock at a conversion rate equal to the quotient of (x) the product of (A) the Redemption Premium and (B) the Alternate Conversion Amount, divided by (y) the Alternate Conversion Price (the “Alternate Conversion Rate”). Upon the occurrence of an Event of Default, the Company is required to deliver written notice to the Buyer within one (1) business day (an “Event of Default Notice”). At any time after the earlier of (a) the Buyer’s receipt of an Event of Default Notice, and (b) the Buyer becoming aware of an Event of Default, the Buyer may require the Company to redeem all or any portion of the Notes at a 15% premium. Beginning the earlier to occur of (x) the Effective Date (as defined in the Registration Rights Agreement) of the initial Registration Statement filed pursuant to the Registration Rights Agreement and (y) August 1, 2025, and thereafter, the first Trading Day of the calendar month immediately following (each an “Installment Date”) until the Maturity Date, the Company shall repay the Buyer approximately $183,333 towards the principal balance of the Notes and any accrued and unpaid interest in cash or, provided certain conditions are satisfied, shares of Common Stock, at the Company’s option (collectively, the “Installment Amount”). In connection with a “Change of Control,” the Buyer shall have the right to require the Company to redeem part or all of the Notes outstanding in cash, at the highest calculation of the Change of Control Redemption Price, each of which is outlined in their entirety within the Notes.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Private Placement Convertible Notes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these embedded features within the Private Placement Convertible Notes, the Company elected to account for the Private Placement Convertible Notes at fair value at their respective dates of issuance and in subsequent reporting periods, pursuant to ASC 825. The Company will record changes in the fair value of the notes that relate to changes in credit risk to other comprehensive income. The remaining changes in fair value, including the component related to accrued interest, will be recorded through the other (income) expense section of the Company’s consolidated statements of operations and comprehensive loss statement in a single line item.</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August 12, 2025 and October 22, 2025, the Buyer exercised its contractual conversion options multiple times under the June 3i Note and received an aggregate of 3,082 shares of Class A Common Stock at conversion prices per share ranging from $382.00 to $516.00 in full satisfaction of the Company’s remaining obligations under the June 3i Note totaling $1,419,698.</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September 10, 2025 and October 14, 2025, the Buyer exercised its contractual conversion option multiple times under the August 3i Note and received an aggregate of 3,088 shares of Class A Common Stock at conversion prices per share ranging from $382.00 to $484.00 in satisfaction of $1,411,667 of the Company’s obligations under the August 3i Note.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October 16, 2025 and December 11, 2025, the Buyer exercised its contractual conversion option multiple times under the October 3i Note and received an aggregate of 6,658 shares of Class A Common Stock at conversion prices per share ranging from $206.00 to $500.00 in satisfaction of $1,676,667 of the Company’s obligations under the October 3i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on the Private Placement Convertible Notes totaled approximately $1,193,231 for the year ending December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Private Placement Convertible Notes as of December 31, 2025:</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3i, LP Notes</w:t>
            </w:r>
          </w:p>
        </w:tc>
      </w:tr>
      <w:tr>
        <w:trPr>
          <w:trHeight w:val="209"/>
        </w:trPr>
        <w:tc>
          <w:tcPr>
            <w:tcW w:w="6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Private Placement Convertible Notes</w:t>
            </w:r>
          </w:p>
        </w:tc>
        <w:tc>
          <w:tcPr>
            <w:tcW w:w="26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3,349,000</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2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(1,291,516)</w:t>
            </w: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2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(2,308,368)</w:t>
            </w:r>
          </w:p>
        </w:tc>
      </w:tr>
      <w:tr>
        <w:trPr>
          <w:trHeight w:val="229"/>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Conversions</w:t>
            </w:r>
          </w:p>
        </w:tc>
        <w:tc>
          <w:tcPr>
            <w:tcW w:w="26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(4,343,116)</w:t>
            </w:r>
          </w:p>
        </w:tc>
      </w:tr>
      <w:tr>
        <w:trPr>
          <w:trHeight w:val="263"/>
        </w:trPr>
        <w:tc>
          <w:tcPr>
            <w:tcW w:w="6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6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1,856,000</w:t>
            </w:r>
          </w:p>
        </w:tc>
        <w:tc>
          <w:tcPr>
            <w:tcW w:w="100" w:type="dxa"/>
            <w:vAlign w:val="bottom"/>
            <w:tcBorders>
              <w:bottom w:val="single" w:sz="8" w:color="CCEEFF"/>
            </w:tcBorders>
          </w:tcPr>
          <w:p>
            <w:pPr>
              <w:spacing w:after="0"/>
              <w:rPr>
                <w:sz w:val="22"/>
                <w:szCs w:val="22"/>
                <w:color w:val="auto"/>
              </w:rPr>
            </w:pPr>
          </w:p>
        </w:tc>
      </w:tr>
      <w:tr>
        <w:trPr>
          <w:trHeight w:val="197"/>
        </w:trPr>
        <w:tc>
          <w:tcPr>
            <w:tcW w:w="662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29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1,709,091</w:t>
            </w:r>
          </w:p>
        </w:tc>
      </w:tr>
      <w:tr>
        <w:trPr>
          <w:trHeight w:val="216"/>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29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170,909</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Boot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 2025, the Company issued a first promissory note (the “Boot Capital Note”) for an aggregate principal amount of $115,000 and received $100,000 of proceeds, net of an original discount of $15,000, with a maturity date of August 30, 2026. The stated interest rate on the Boot Capital Note is 14% per annum, and interest shall accrue on the Boot Capital Note commencing on and including the issuance date pursuant to the agreement’s repayment and amortization schedule.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event of default, as defined in the agreement, all or any portion of the Boot Capital Note that is then outstanding, may become convertible at the option of the Lender into fully paid and non-assessable shares of the Company’s Common Stock up to 4.99% of the Company’s outstanding shares of Common Stock. The Boot Capital Note becomes convertible at the Lender’s option upon an event of default, at a conversion price equal to the quotient resulting from dividing the Conversion Amount, measured as the sum of (1) the principal amount of the note being converted in such conversion, plus (2) at the Lender’s option, accrued and unpaid interest, if any, on such principal amount at the interest rates to the respective note being converted through the conversion date, plus (3) at the Lender’s option, the default interest, divided by the “Conversion Price” then in effect on the date specified in the notice of conversion (the conversion date). The Conversion Price will be measured as seventy-five percent (75%) multiplied by the market price, which means the lowest trading price for the Company’s Common Stock during the ten (10) trading day period ending on the latest complete trading day prior to the conversion date.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Boot Capital Note include optional conversion rights to the holder upon an event of default, contingent redemption (put) rights which trigger mandatory prepayment upon event of default, and defaulted contingent interest upon an event of default.</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Due to these embedded features, the Company elected to account for the Boot Capital Note at fair value pursuant to ASC 825. For further discussion of fair value, see </w:t>
      </w:r>
      <w:r>
        <w:rPr>
          <w:rFonts w:ascii="Times New Roman" w:cs="Times New Roman" w:eastAsia="Times New Roman" w:hAnsi="Times New Roman"/>
          <w:sz w:val="18"/>
          <w:szCs w:val="18"/>
          <w:i w:val="1"/>
          <w:iCs w:val="1"/>
          <w:color w:val="auto"/>
        </w:rPr>
        <w:t>Note 7 – Fair Value Measurements.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4" w:name="page235"/>
    <w:bookmarkEnd w:id="234"/>
    <w:tbl>
      <w:tblPr>
        <w:tblLayout w:type="fixed"/>
        <w:tblInd w:w="0" w:type="dxa"/>
        <w:tblCellMar>
          <w:top w:w="0" w:type="dxa"/>
          <w:left w:w="0" w:type="dxa"/>
          <w:bottom w:w="0" w:type="dxa"/>
          <w:right w:w="0" w:type="dxa"/>
        </w:tblCellMar>
      </w:tblPr>
      <w:tr>
        <w:trPr>
          <w:trHeight w:val="207"/>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Boot Capital Convertible Notes</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Private Placement Convertible Notes as of December 31, 2025:</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Boot Capital</w:t>
            </w:r>
          </w:p>
        </w:tc>
      </w:tr>
      <w:tr>
        <w:trPr>
          <w:trHeight w:val="209"/>
        </w:trPr>
        <w:tc>
          <w:tcPr>
            <w:tcW w:w="8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convertible notes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100,000</w:t>
            </w: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issuance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12,611</w:t>
            </w:r>
          </w:p>
        </w:tc>
      </w:tr>
      <w:tr>
        <w:trPr>
          <w:trHeight w:val="216"/>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Repayments in cash</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3,225</w:t>
            </w:r>
          </w:p>
        </w:tc>
      </w:tr>
      <w:tr>
        <w:trPr>
          <w:trHeight w:val="229"/>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Conversions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principal balance as of December 31, 2025</w:t>
            </w: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115,000</w:t>
            </w:r>
          </w:p>
        </w:tc>
      </w:tr>
      <w:tr>
        <w:trPr>
          <w:trHeight w:val="234"/>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interest as of December 31, 2025</w:t>
            </w: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Warrant 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assumed Public Warrants in the Merger, exercisable into 115 shares of Common Stock of the Company, and which remained outstanding as of December 31, 2025. The Public Warrants have an exercise price of $1,150,000.00 per share, subject to adjustments, and will expire five years from the Merger Closing Date (in December 2028). The exercise price and number of shares of Class A Common Stock issuable upon exercise of the warrants may be adjusted in certain circumstances including in the event of a share dividend, or recapitalization, reorganization, merger or consolidation.</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Class A Common Stock pursuant to the exercise of a Public Warrant and will have no obligation to settle such Public Warrant exercise unless a registration statement under the Securities Act with respect to the shares of Class A Common Stock underlying the Public Warrants is then effective and a prospectus relating thereto is current, subject to the Company’s satisfying its obligations described below with respect to registration, or a valid exemption from registration is available. No Public Warrant will be exercisable and the Company will not be obligated to issue a share of Class A Common Stock upon exercise of a Public Warrant unless the shares of Class A Common Stock issuable upon such Public Warrant exercise has been registered, qualified, or deemed to be exempt under the securities laws of the state of the registered holder of the Public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the Company be required to net cash settle any Public Warrant. The Resale Registration statement went effective on February 14, 2024 (Registration No. 333-276307) and since it was declared effective within the contractual 60-day term upon closing of the Merger, no “cashless basis” exercises were triggered during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Public Warrants When the price per Share of Class A Common Stock Equals or Exceeds $1,800,000.00</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Once the Public Warrants become exercisable, the Company may redeem the outstanding Public Warrants:</w:t>
      </w:r>
    </w:p>
    <w:p>
      <w:pPr>
        <w:spacing w:after="0" w:line="225"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$1,000.00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per share of Class A Common Stock equals or exceeds $1,800,000.00 per share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Warrants—Anti-dilution Adjustments</w:t>
      </w:r>
      <w:r>
        <w:rPr>
          <w:rFonts w:ascii="Times New Roman" w:cs="Times New Roman" w:eastAsia="Times New Roman" w:hAnsi="Times New Roman"/>
          <w:sz w:val="18"/>
          <w:szCs w:val="18"/>
          <w:color w:val="auto"/>
        </w:rPr>
        <w:t>” in the Resale Registration Statement) for any 20 trading days within a 30-trading day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ending three trading days before the Company sends the notice of redemption to the warrant holders.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will not redeem the Public Warrants as described above unless a registration statement under the Securities Act covering the issuance of shares of Class A Common Stock issuable upon exercise of the Public Warrants is then effective and a current prospectus relating to those shares of Class A Common Stock is available throughout the 30-day redemption period. If and when the Public Warrants become redeemable by the Company, the Company may not exercise its redemption right if the Company is unable to register or qualify the underlying securities for sale under all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established the last of the redemption criterion discussed above to prevent a redemption call unless there is at the time of the call a significant premium to the Public Warrant exercise price. If the foregoing conditions are satisfied and the Company issues a notice of redemption of the Public Warrants, each warrant holder will be entitled to exercise his, her or its Public Warrant prior to the scheduled redemption date. However, the price per share of Class A Common Stock may fall below the $1,800,000.00 redemption trigger price (as adjusted for adjustments to the number of shares issuable upon exercise or the exercise price of a Public Warrant as described under the heading “</w:t>
      </w:r>
      <w:r>
        <w:rPr>
          <w:rFonts w:ascii="Times New Roman" w:cs="Times New Roman" w:eastAsia="Times New Roman" w:hAnsi="Times New Roman"/>
          <w:sz w:val="18"/>
          <w:szCs w:val="18"/>
          <w:i w:val="1"/>
          <w:iCs w:val="1"/>
          <w:color w:val="auto"/>
        </w:rPr>
        <w:t>—Warrants—Public Stockholder Warrants—Anti-dilution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Adjustments</w:t>
      </w:r>
      <w:r>
        <w:rPr>
          <w:rFonts w:ascii="Times New Roman" w:cs="Times New Roman" w:eastAsia="Times New Roman" w:hAnsi="Times New Roman"/>
          <w:sz w:val="18"/>
          <w:szCs w:val="18"/>
          <w:color w:val="auto"/>
        </w:rPr>
        <w:t>” in the Resale Registration Statement as well as the $1,150,000.00 (for whole shares) Public Warrant exercise price after the redemption notice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issued.</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fractional shares of Class A Common Stock will be issued upon exercise. If, upon exercise, a holder would be entitled to receive a fractional interest in a share, the Company will round down to the nearest whole number of the number of shares of Class A Common Stock to be issued to the holder.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GEM Financing Arrangement</w:t>
      </w:r>
    </w:p>
    <w:p>
      <w:pPr>
        <w:spacing w:after="0" w:line="2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association with the GEM Letter,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further details, at Closing, the GEM Warrant automatically became an obligation of the Company, and on December 15, 2023, the Company issued the GEM Warrant granting GEM the right to purchase 8 shares at an exercise price of $649,000.00 per share. GEM may exercise the GEM Warrant at any time and from time to time until December 14, 2026. The terms of the GEM Warrant provide that the exercise price of the GEM Warrant, and the number of shares of Class A Common Stock for which the GEM Warrant may be exercised, are subject to adjustment to account for increases or decreases in the number of outstanding shares of New Banzai Common Stock resulting from stock splits, reverse stock splits, consolidations, combinations and reclassifications. Additionally, the GEM Warrant contains weighted average anti-dilution provisions that provide that if the Company issues shares of Common Stock, or securities convertible into or exercisable or exchange for, shares of Common Stock at a price per share that is less than 90% of the exercise price then in effect or without consideration, then the exercise price of the GEM Warrant upon each such issuance will be adjusted to the price equal to 105% of the consideration per share paid for such Common Stock or other securities. In the event of a Change of Control, if the Surviving Corporation does not have registered class of equity securities and common shares listed on a U.S. national securities exchange, then the Holder is entitled to receive one percent of the total consideration received by the Company’s stockholders and the GEM Warrants will expire upon payment. Upon the closing of the OpenReel Merger, the exercise price of the GEM Warrants were adjusted to the price equal to 105% of the consideration per share paid which resulted in a strike price of $3,660.00. The effect of the change in strike price feature being triggered resulted in a change of value of approximately $15,000 which is recorded in the statement of operations line change in fair value of warrant liability.</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per share market value of one share of Class A Common Stock is greater than the then-current exercise price, then GEM will have the option to exercise the GEM Warrant on a cashless basis and receive a number of shares of Class A Common Stock equal to (x) the number of shares of Class A Common Stock purchasable upon exercise of all of the GEM Warrant or, if only a portion of the GEM Warrant is being exercised, the portion of the GEM Warrant being exercised, less (y) the product of the then-current exercise price and the number of shares of Class A Common Stock purchasable upon exercise of all of the GEM Warrant or, if only a portion of the GEM Warrant is being exercised, the portion of the GEM Warrant being exercised, divided by the per share market value of one share of Class A Common Stock.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GEM Warrant may not be exercised if such exercise would result in the beneficial ownership of the holder and its affiliates in excess of 9.99% of the then-issued and outstanding shares of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Offering Warrants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association with the Private Placement Convertible Notes, see </w:t>
      </w:r>
      <w:r>
        <w:rPr>
          <w:rFonts w:ascii="Times New Roman" w:cs="Times New Roman" w:eastAsia="Times New Roman" w:hAnsi="Times New Roman"/>
          <w:sz w:val="18"/>
          <w:szCs w:val="18"/>
          <w:i w:val="1"/>
          <w:iCs w:val="1"/>
          <w:color w:val="auto"/>
        </w:rPr>
        <w:t>Note 12 – Debt</w:t>
      </w:r>
      <w:r>
        <w:rPr>
          <w:rFonts w:ascii="Times New Roman" w:cs="Times New Roman" w:eastAsia="Times New Roman" w:hAnsi="Times New Roman"/>
          <w:sz w:val="18"/>
          <w:szCs w:val="18"/>
          <w:color w:val="auto"/>
        </w:rPr>
        <w:t xml:space="preserve"> for further details, at Closing, the Company issued Private Placement Warrants. Holders of the Private Placement Warrants may exercise the Private Placement Warrants at any time and from time to time until the three years from the date of issuance for the June issuance and five years from the date of issuance for the August issuance. The terms of the Private Placement Warrants provide that the exercise price of the Private Placement Warrants, and the number of shares of Class A Common Stock for which the Private Placement Warrants may be exercised, are subject to adjustment to account for increases or decreases in the number of outstanding shares of Banzai Common Stock resulting from stock splits, reverse stock splits, consolidations, combinations, and reclassifications. Additionally, the Private Placement Warrants contain anti-dilution and change in option price or rate of conversion price (“Variable Price”) provisions that provide that if the Company issues shares of Common Stock, or securities convertible into or exercisable or exchange for, shares of Common Stock after the Private Placement Offering, at a price per share that varies or may vary with the market price of the shares of Common Stock, including by way of one or more reset(s) to a fixed price, then the Holders of Private Placement Warrants have the right, but not the obligation, at their sole discretion, to elect to substitute the Variable Price for the Exercise Price upon exercise of the Private Placement Warrants. For further discussion of the accounting treatment and fair value of the Private Placement Warrants, see </w:t>
      </w:r>
      <w:r>
        <w:rPr>
          <w:rFonts w:ascii="Times New Roman" w:cs="Times New Roman" w:eastAsia="Times New Roman" w:hAnsi="Times New Roman"/>
          <w:sz w:val="18"/>
          <w:szCs w:val="18"/>
          <w:i w:val="1"/>
          <w:iCs w:val="1"/>
          <w:color w:val="auto"/>
        </w:rPr>
        <w:t>Note 7 – Fair Value Measurements.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an operating lease for its office space. The lease agreement does not provide an implicit borrowing rate therefore the Company used a benchmark approach to derive an appropriate incremental borrowing rate to discount remaining lease payments.</w:t>
      </w:r>
    </w:p>
    <w:p>
      <w:pPr>
        <w:jc w:val="both"/>
        <w:spacing w:after="0" w:line="253" w:lineRule="auto"/>
        <w:rPr>
          <w:sz w:val="20"/>
          <w:szCs w:val="20"/>
          <w:color w:val="auto"/>
        </w:rPr>
      </w:pPr>
      <w:r>
        <w:rPr>
          <w:rFonts w:ascii="Times New Roman" w:cs="Times New Roman" w:eastAsia="Times New Roman" w:hAnsi="Times New Roman"/>
          <w:sz w:val="18"/>
          <w:szCs w:val="18"/>
          <w:color w:val="auto"/>
        </w:rPr>
        <w:t>Leases with an initial term of twelve months or less are not recorded on the balance sheet. There are no material residual guarantees associated with the Company’s lease nor are there significant restrictions or covenants. Certain leases include variable payments related to common area maintenance and property taxes, which are billed by the landlord, as is customary with these types of charges for office space. The Company has not entered into any lease arrangements with related parties.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existing lease contains an escalation clause and a renewal option. The Company is not reasonably certain that the renewal option will be exercised upon expiration of the initial terms of its existing lease.</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entered into a sublease which it has identified as an operating lease prior to the adoption of FASB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Company remains the primary obligor to the head lease lessor, making rental payments directly to the lessor and separately billing the sublessee. The sublease is subordinate to the master lease, and the sublessee must comply with all applicable terms of the master lease. The Company subleased the real estate to a third-party at a monthly rental payment amount that was less than the monthly cost that it pays on the headlease with the lessor. The sublease expired at the end of September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for the years ended December 31, 2025 and 2024,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6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Components of lease expense:</w:t>
            </w: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Sublease income</w:t>
            </w: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(117,084)</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(income) expense</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are as follows:</w:t>
            </w: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60" w:type="dxa"/>
            <w:vAlign w:val="bottom"/>
            <w:gridSpan w:val="9"/>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lease expense (operating cash flow)</w:t>
            </w:r>
          </w:p>
        </w:tc>
        <w:tc>
          <w:tcPr>
            <w:tcW w:w="202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24,011</w:t>
            </w:r>
          </w:p>
        </w:tc>
        <w:tc>
          <w:tcPr>
            <w:tcW w:w="40" w:type="dxa"/>
            <w:vAlign w:val="bottom"/>
          </w:tcPr>
          <w:p>
            <w:pPr>
              <w:spacing w:after="0"/>
              <w:rPr>
                <w:sz w:val="18"/>
                <w:szCs w:val="18"/>
                <w:color w:val="auto"/>
              </w:rPr>
            </w:pPr>
          </w:p>
        </w:tc>
        <w:tc>
          <w:tcPr>
            <w:tcW w:w="660" w:type="dxa"/>
            <w:vAlign w:val="bottom"/>
            <w:gridSpan w:val="2"/>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137,717</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lease liabilities (operating cash flow)</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(23,280)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(237,607)</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assets obtained in exchange for lease obligations:</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020" w:type="dxa"/>
            <w:vAlign w:val="bottom"/>
            <w:gridSpan w:val="5"/>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7,319</w:t>
            </w:r>
          </w:p>
        </w:tc>
        <w:tc>
          <w:tcPr>
            <w:tcW w:w="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7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76,269</w:t>
            </w: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55,871</w:t>
            </w: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72,565</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33,922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49,974</w:t>
            </w:r>
          </w:p>
        </w:tc>
        <w:tc>
          <w:tcPr>
            <w:tcW w:w="0" w:type="dxa"/>
            <w:vAlign w:val="bottom"/>
          </w:tcPr>
          <w:p>
            <w:pPr>
              <w:spacing w:after="0"/>
              <w:rPr>
                <w:sz w:val="1"/>
                <w:szCs w:val="1"/>
                <w:color w:val="auto"/>
              </w:rPr>
            </w:pPr>
          </w:p>
        </w:tc>
      </w:tr>
      <w:tr>
        <w:trPr>
          <w:trHeight w:val="22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3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56,745</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72,705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w:t>
            </w:r>
          </w:p>
        </w:tc>
        <w:tc>
          <w:tcPr>
            <w:tcW w:w="13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 (in years)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13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9.40%</w:t>
            </w:r>
          </w:p>
        </w:tc>
        <w:tc>
          <w:tcPr>
            <w:tcW w:w="0" w:type="dxa"/>
            <w:vAlign w:val="bottom"/>
          </w:tcPr>
          <w:p>
            <w:pPr>
              <w:spacing w:after="0"/>
              <w:rPr>
                <w:sz w:val="1"/>
                <w:szCs w:val="1"/>
                <w:color w:val="auto"/>
              </w:rPr>
            </w:pPr>
          </w:p>
        </w:tc>
      </w:tr>
      <w:tr>
        <w:trPr>
          <w:trHeight w:val="432"/>
        </w:trPr>
        <w:tc>
          <w:tcPr>
            <w:tcW w:w="53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right"/>
              <w:ind w:right="1490"/>
              <w:spacing w:after="0"/>
              <w:rPr>
                <w:sz w:val="20"/>
                <w:szCs w:val="20"/>
                <w:color w:val="auto"/>
              </w:rPr>
            </w:pPr>
            <w:r>
              <w:rPr>
                <w:rFonts w:ascii="Times New Roman" w:cs="Times New Roman" w:eastAsia="Times New Roman" w:hAnsi="Times New Roman"/>
                <w:sz w:val="18"/>
                <w:szCs w:val="18"/>
                <w:color w:val="auto"/>
              </w:rPr>
              <w:t>F-87</w:t>
            </w: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37" w:name="page238"/>
    <w:bookmarkEnd w:id="2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 as of December 31, 2025, are as follows: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9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Maturities of lease liabilities:</w:t>
            </w:r>
          </w:p>
        </w:tc>
        <w:tc>
          <w:tcPr>
            <w:tcW w:w="2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09"/>
        </w:trPr>
        <w:tc>
          <w:tcPr>
            <w:tcW w:w="9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720" w:type="dxa"/>
            <w:vAlign w:val="bottom"/>
          </w:tcPr>
          <w:p>
            <w:pPr>
              <w:spacing w:after="0"/>
              <w:rPr>
                <w:sz w:val="18"/>
                <w:szCs w:val="18"/>
                <w:color w:val="auto"/>
              </w:rPr>
            </w:pPr>
          </w:p>
        </w:tc>
        <w:tc>
          <w:tcPr>
            <w:tcW w:w="98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33,458</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28,235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9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9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Less discounting</w:t>
            </w: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9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Relations Consulting Agreement with MZHCI,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26, 2024, the Company entered into an Investor Relations Consulting Agreement (the “Consulting Agreement”) with MZHCI, LLC, a MZ Group Company (“MZHCI”), pursuant to which the Company agreed to issue 240 restricted shares, partially in exchange for the various investor relations services outlined in the Consulting Agreement. The Company will also pay MZHCI $12,500 per month for their investor relations services with an annual 5% cost of living adjustment. This agreement becomes effective upon the execution of the Consulting Agreement and shall remain effective for a period of six (6) months, unless terminated earlier. The Consulting Agreement shall automatically renew every six (6) months thereafter unless either party delivers to the other sixty (60) days written notice of termination prior to the end of the then-current term. On September 9, 2024, the Company issued 120 shares to MZHCI. The shares are exempt from registration pursuant to Section 4(a)(2) of the Securities Act of 1933, as amended, and were issued as restricted stock with an appropriate restrictive legend.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Repayment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2024 the Company entered into various agreements (the “Settlement Agreements”) to reorganize outstanding debt from certain creditors (collectively, the “Creditors”) into shares of the Company’s Class A Common Stock (the “Shares”) (collectively, the “Debt Reorganization”). The Shares issued as part of the Debt Reorganization include Shares that are to be registered with the Securities and Exchange Commission (the “SEC”) in a registration statement on Form S-1 and Shares that are exempt from registration. The details of the various agreements are summarized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Perkins Coie LLP</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September 9, 2024, the Company entered into a Repayment Agreement (the “Perkins Repayment Agreement”) where the Company agreed to issue $1,385,000 worth of shares, which the Company shall register no fewer than 4,600 shares, subject to adjustment, in a registration statement on Form S-1 within 60 days of entering into the Perkins Repayment Agreement, and will use reasonable best efforts to ensure the Registration Statement becomes effective promptly and remains effective until all shares issued under the Perkins Repayment Agreement are sold. The Company’s registration statement on Form S-1 was filed with the SEC on October 16, 2024 and became effective on November 6, 2024. As of December 31, 2024, the Company had issued 300 shares to Perkins to settle part of the outstanding liability balance. During the year ended December 31, 2025, the Company issued 650 shares to Perkins to settle the remaining outstanding liability balance.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Cooley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Cooley LLP (“Cooley”) for previously provided legal services (the “Cooley Repayment Agreement”). Under the Cooley Repayment Agreement, the Company’s outstanding fees have been lowered from $1,523,029 to $400,000 (the “Cooley Unpaid Fee”) in exchange for 11 monthly installments of $36,300, with the first payment to be made on October 1, 2024. If payments are not made in accordance with the Repayment Agreement, Cooley retains the right to seek to collect the entire original outstanding fee balance.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$1.1 million, recognized within gain on extinguishment of liabilities on the consolidated statements of operations for the year ended December 31, 2025.</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Settlement Letter with CohnReznick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Settlement Letter with CohnReznick LLP (“CohnReznick”) regarding the Company’s unpaid balance totaling $817,400 for services rendered in connection with the 7GC business combination with the Company (the “Settlement Letter”). Under the Settlement Letter, the Company and CohnReznick agreed to settle the total unpaid balance due, upon CohnReznick’s receipt of $450,000 (the “Settlement Amount”), which will be paid in 15 equal monthly installments of $30,000. In consideration of the Settlement Letter, CohnReznick has agreed to not to pursue collection efforts now or at any time in the future, except as otherwise provided in the Settlement Letter. If payments are not made in accordance with the Settlement Letter, the unpaid portion of the total unpaid balance will immediately become due and payable. As such, in accordance with ASC 470-60, no gain on settlement will be recorded until all payments have been made as required and the potential obligation to pay the amounts written off are eliminated. The remaining unpaid balance of $577,400 is included in accrued expenses and other current liabilities on the consolidated balance sheets as of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Sidley Austin LLP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19, 2024, the Company entered into a Repayment Agreement with Sidley Austin LLP (“Sidley”) for previously provided legal services (the “Sidley Repayment Agreement”). Under the Sidley Repayment Agreement, the Company’s outstanding fees have been lowered from $4,815,979 to $1,605,326 (the “Sidley Unpaid Fee”). Under the Sidley Repayment Agreement, the Company agrees to 12 monthly payments that Sidley applies to the balance of the Sidley Unpaid Fee on a 2 for 1 basis, such that for every one dollar ($1.00) paid by Company, Sidley shall reduce the Sidley Unpaid Fee Amount by an additional two dollars ($2.00). If payments are not made in accordance with the Sidley Repayment Agreement, the shortfall shall accrue interest at a rate of 12% per annum, compounded daily, until such payment is made. As such, in accordance with ASC 470-60, no gain on settlement will be recorded until all payments have been made as required and the potential obligation to pay the amounts written off are eliminated. The Company made all required payments as of June 30, 2025 and accordingly recognized a gain on settlement of approximately $3.2 million, recognized within gain on extinguishment of liabilities on the consolidated statements of operations for the year ended December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Donnelley Financial LLC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13, 2024, the Company entered into a Repayment Agreement with Donnelley Financial LLC (“Donnelley”) for previously provided services (the “Donnelley Repayment Agreement”). Under the Donnelley Repayment Agreement, the Company’s outstanding fees have been lowered from $1,072,148 to $357,025 (the “Donnelley Unpaid Fee”). The Donnelley Unpaid Fee will be paid in 12 monthly installments, with the first monthly payment of $45,000 due on October 1, 2024; the remaining 11 payments shall each be in the amount of $28,366. Under the Donnelly Repayment Agreement, the original outstanding fee balance shall become immediately due and payable upon the occurrence of certain events, including failure to make a payment of the Donnelly Unpaid Fee when due and failure to pay for any additional services. As such, in accordance with ASC 470-60, no gain on settlement will be recorded until all payments have been made as required and the potential obligation to pay the amounts written off are eliminated. The remaining unpaid balance of $85,098 is included in accrued expenses and other current liabilities on the consolidated balance sheets as of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Repayment Agreement with Verista Partners, Inc.</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26, 2024, the Company entered into a Repayment Agreement with Verista Partners, Inc. aka Winterberry Group, (“Verista” or “Winterberry”) for previously provided services (the “Verista Repayment Agreement”). Under the Verista Repayment Agreement, the Company’s outstanding fees are $196,666 (the “Verista Unpaid Fee”). The Company and Verista have agreed that the Verista Unpaid Fee will be repaid with $66,666 worth of shares of the Company, and $130,000 in 16 equal cash installment payments of $8,125, beginning on October 1, 2024, and on the first day of each month thereafter through January 1, 2026. As of December 31, 2025, the Company had issued 15 shares and made aggregate installment payments of $78,437 to Verista. The remaining unpaid balance of $45,785 is included in Accounts Payable on the consolidated balance sheets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to Act-On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previously announced its entry into an Agreement and Plan of Merger, dated January 22, 2025, with Act-On Software, Inc., a Delaware corporation (“Act-On”), and Banzai Passage Inc., a Delaware corporation and wholly owned subsidiary of Banzai. Although the Company worked diligently to complete all closing conditions of the Plan of Merger, due to current market conditions, on June 6, 2025, Act-On served Banzai with a notice of termination to terminate the Merger Agreement and any related agreements (collectively, the “Transaction Documents”). As per the Transaction Documents, within five calendar days, the Company was required to pay certain termination fees including $500,000 in liquidated damages to cover certain transaction expenses that Act-On incurred in connection with the merger contemplated by the Merger Agreement and $882,030 in additional interest and extension fees associated with one of Act-On’s outstanding debts that the Company had intended to payoff in connection with the merger contemplated by the Merger Agreement. As of December 31, 2025, the Company had paid the total amount owed of approximately $1,382,030 to Act-On.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regular course of business affairs and operations, the Company is subject to possible loss contingencies arising from third-party litigation and federal, state, and local environmental, labor, health and safety laws and regulations. The Company assesses the probability that they may incur a liability in connection with certain of these lawsuits. The Company’s assessments are made in accordance with generally accepted accounting principles, as codified in ASC 450-20, and is not an admission of any liability on the part of the Company or any of its subsidiaries. In certain cases that are in the early stages and in light of the uncertainties surrounding them, the Company does not currently possess sufficient information to determine a range of reasonably possible liability.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capital stock consists of Class A Common Stock, Class B Common Stock, Preferred Stock and Series FE Preferred Stock. All classes of stock have a par value of $0.0001 per share. The table below sets forth information about the Company’s equity, as of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182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78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Series FE Preferred Stock</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Common Stock</w:t>
            </w:r>
          </w:p>
        </w:tc>
        <w:tc>
          <w:tcPr>
            <w:tcW w:w="1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250,000,000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51,576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51,576</w:t>
            </w:r>
          </w:p>
        </w:tc>
      </w:tr>
      <w:tr>
        <w:trPr>
          <w:trHeight w:val="22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25,000,000</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1,156</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1,156</w:t>
            </w:r>
          </w:p>
        </w:tc>
      </w:tr>
      <w:tr>
        <w:trPr>
          <w:trHeight w:val="223"/>
        </w:trPr>
        <w:tc>
          <w:tcPr>
            <w:tcW w:w="6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350,000,001</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52,732</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0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B Common Stock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Class A Common Stock and Class B Common Stock entitle their holders to one vote per share and ten votes per share, respectively, on each matter properly submitted to the stockholders entitled to vote thereon. The holders of shares of Common Stock shall be entitled to receive dividends declared by the Board of Directors (“Board”), on a pro rata basis based on the number of shares of Common Stock held by each such holder, assuming conversion of all Class B Common Stock into Class A Common Stock at a one to one conversion ratio.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the authority to issue preferred stock and to determine the rights, privileges, preferences, restrictions, and voting rights of those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FE Preferred Stock</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and as a condition to closing under the Merger Agreement during 2024, on the Closing Date, the Company issued one (1) share of series FE preferred stock (the “Series FE Preferred Stock”), to one of the OpenReel Stockholders, FE IV OR Aggregator, LLC. The Series FE Preferred Stock has a two (2) year term and from the issue date to the second anniversary of the issue date, the holder is granted the right upon a subsequent financing resulting in the issuance of new securities by the Company, to participate on a pro-rata basis in such subsequent financing up to the holder’s fully-diluted ownership percentage of the Company. Upon the two-year anniversary of the issue date of the Series FE Preferred Stock, the Series FE Preferred Stock will automatically be canceled and return to the status of authorized but unissued. The Series FE Preferred Stock does not participate in dividends of the Company, is not convertible into any other class of equity securities of the Company, has no voting rights with the Common Stock or other equity securities of the Company, and is not redeemable.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Standby Equity Purchase Agreement (“SEPA”)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Company entered into the SEPA with YA II PN, LTD, a Cayman Islands exempt limited partnership managed by Yorkville Advisors Global, LP (“Yorkville”) in connection with the Merger. Pursuant to the SEPA, subject to certain conditions, the Company shall have the option, but not the obligation, to sell to Yorkville, and Yorkville shall subscribe for, an aggregate amount of up to up to $100,000,000 of the Company’s shares of Class A common stock, par value $0.0001 per share, at the Company’s request any time during the commitment period commencing on December 14, 2023 and terminating on the 36-month anniversary of the SEPA (the “SEPA Option”).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advance (each, an “Advance”) the Company requests under the SEPA (notice of such request, an “Advance Notice”) may be for a number of shares of Class A common stock up to the greater of (i) 1,000 shares or (ii) such amount as is equal to 100% of the average daily volume traded of the Class A common stock during the five trading days immediately prior to the date the Company requests each Advance; provided, in no event shall the number of shares of Class A common stock issued cause the aggregate shares of Class A common stock held by Yorkville and its affiliates as of any such date to exceed 9.99% of the total number of shares of Class A common stock outstanding as of the date of the Advance Notice (less any such shares held by Yorkville and its affiliates as of such date) (the “Exchange Cap”). The shares would be purchased, at the Company’s election, at a purchase price equal to either:</w:t>
      </w:r>
    </w:p>
    <w:p>
      <w:pPr>
        <w:spacing w:after="0" w:line="189" w:lineRule="exact"/>
        <w:rPr>
          <w:sz w:val="20"/>
          <w:szCs w:val="20"/>
          <w:color w:val="auto"/>
        </w:rPr>
      </w:pPr>
    </w:p>
    <w:p>
      <w:pPr>
        <w:ind w:left="980" w:hanging="648"/>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of the average daily Volume Weighted Average Price (“VWAP”) of the Class A Common Stock on the Nasdaq Stock Market (“Nasdaq”), subject to certain conditions per the SEPA (the “Option 1 Pricing Period; or</w:t>
      </w:r>
    </w:p>
    <w:p>
      <w:pPr>
        <w:spacing w:after="0" w:line="161" w:lineRule="exact"/>
        <w:rPr>
          <w:rFonts w:ascii="Times New Roman" w:cs="Times New Roman" w:eastAsia="Times New Roman" w:hAnsi="Times New Roman"/>
          <w:sz w:val="18"/>
          <w:szCs w:val="18"/>
          <w:color w:val="auto"/>
        </w:rPr>
      </w:pPr>
    </w:p>
    <w:p>
      <w:pPr>
        <w:ind w:left="980" w:right="20" w:hanging="648"/>
        <w:spacing w:after="0" w:line="282" w:lineRule="auto"/>
        <w:tabs>
          <w:tab w:leader="none" w:pos="9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of the lowest daily VWAP of the Class A Common Stock during the three trading days commencing on the Advance Notice date, subject to certain conditions per the SEPA (the “Option 2 Pricing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purchase under an Advance would be subject to certain limitations, including that Yorkville shall not purchase or acquire any shares that would result in it and its affiliates beneficially owning more than 9.99% of the then outstanding voting power or number of shares of Class A common stock or any shares that, aggregated with shares issued under all other earlier Advances, would exceed 19.99% of all shares of Class A common stock and Class B common stock of the Company, par value $0.0001 per share, outstanding on the date of the SEPA, unless Company shareholder approval was obtained allowing for issuances in excess of such amount.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SEPA Option was determined to be a freestanding financial instrument which did not meet the criteria to be accounted for as a derivative instrument or to be recognized within equity. Pursuant to ASC 815, the Company will therefore recognize the SEPA Option as an asset or liability, measured at fair value at the date of issuance, December 14, 2023, and in subsequent reporting periods, with changes in fair value recognized in earnings.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execution of the SEPA, the Company agreed to pay a commitment fee of $500,000 to Yorkville at the earlier of (i) March 14, 2024 or (ii) the termination of the SEPA, which will be payable, at the option of the Company, in cash or shares of Class A common stock through an Advance (the “Deferred Fee”). In March 2024 the Company issued 7 Class A common stock as payment for the Deferred Fee.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SEPA, at any time that there is a balance outstanding under the Yorkville Promissory Notes or Yorkville Note, Yorkville has the right to receive shares to pay down the principal balance, and may select the timing and delivery of such shares (via an “Investor Notice”), in an amount up to the outstanding principal balance on the Yorkville Promissory Notes at a purchase price equal to the lower of (i) $50,000 per share of Class A common stock (the “Fixed Price”), or (ii) 90% of the lowest daily Volume Weighted Average Price (“VWAP”) of the Class A common stock on Nasdaq during the 10 consecutive Trading Days immediately preceding the Investor Notice date or other date of determination (the “Variable Price”). The Variable Price shall not be lower than $200,000.00 per share (the “Floor Price”). The Floor Price shall be adjusted (downwards only) to equal 20% of the average VWAP for the five trading days immediately prior to the date of effectiveness of the initial Registration Statement. Notwithstanding the foregoing, the Company may reduce the Floor Price to any amount via written notice to Yorkville, provided that such amount is no more than 75% of the closing price on the Trading Day immediately prior to the time of such reduction and no greater than $200,000.00 per share of Class A common stock (the “Conversion Price”). At any time that there is a balance outstanding under the Yorkville Promissory Notes, the Company is not permitted to issue Advance Notices under the SEPA unless an Amortization Event has occurred under the terms of the Yorkville Promissory Notes agreement.</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issued Advance Notices to Yorkville pursuant to the SEPA requesting the purchase of shares of the Company’s Class A common stock. The Company elected to issue Advance Notices subject to both the Option 1 Pricing Period (the “Option 1 Advances”) and the Option 2 Pricing Period (the “Option 2 Advances”).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requested the purchase of a total of 6,330 shares of the Company’s Class A common stock in connection with the Option 1 Advances, which Yorkville purchased for a total purchase price of approximately $6,473,887. The Company recognized a loss of approximately $340,850 on the sales, which represents the difference between the fair value of the shares issued and the proceeds received from the sales.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2025 the Company requested the purchase of a total of 8,080 shares of the Company’s Class A common stock in connection the Option 2 Advances. The issuance of the Advance Notices subject to the Option 2 Pricing Period represents the creation of forward share sales contracts, which were determined to meet the definition of a derivative pursuant to ASC 815. As such, upon issuance of the Advance Notices for the Option 2 Advances, the Company recognized derivative liabilities totaling approximately $467,656 in the aggregate, the fair values of which represented the intrinsic value of the requested number of shares of Class A common stock on the Advance Notice dates. The Company recognized a loss of approximately $467,656 during the year ended December 31, 2025 representing the change in fair value of the derivative liabilities during the period from the Advance Notice dates and the settlement dates of the Option 2 Advances. Upon settlement of the Option 2 Advances, the Company sold an aggregate of 8,080 shares of the Company’s Class A common stock to Yorkville for total proceeds of approximately $11,222,588.</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during the year ended December 31, 2025, the Company settled one Advance Notice subject to the Option 2 Pricing Period issued on December 30, 2024, and accordingly sold 153 of the Company’s Class A common stock to Yorkville for proceeds of approximately $48,000.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under ATM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27, 2025, the Company entered into an At The Market Offering Agreement (the “ATM Agreement”) with H.C. Wainwright &amp; Co., LLC, as sales agent (“Wainwright”), to sell its shares of Class A Common Stock, par value $0.0001 per share, from time to time, in an “at the market offering” program through Wainwright, with certain limitations on the amount of Class A Common Stock that may be offered and sold thereunder. The sales of the Shares made under the ATM Agreement (“the ATM Shares”) will be made by any method permitted by law deemed to be an “at the market offering” as defined in Rule 415(a)(4) promulgated under the Securities Act of 1933, as amended, including sales made directly on or through the Nasdaq Capital Market or on any other existing trading market for the Company’s Class A Common Stock, directly to Wainwright as principal, in negotiated transactions at market prices prevailing at the time of sale or at prices related to such prevailing market prices, and/or in any other method permitted by law.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Offers and sales of the ATM shares by the Company will be made through a prospectus supplement, dated August 27, 2025 and an accompanying base prospectus, dated August 8, 2025 (the “ATM Prospectus Supplement”), which ATM Prospectus Supplement forms a part of the Company’s shelf registration statement on Form S-3 (File 333-288908), as amended, initially filed with the SEC on July 23, 2025 (the “Registration Statement”) and declared effective by the SEC on August 8, 2025. The aggregate market value of the shares of Class A Common Stock eligible for sale under the ATM Prospectus Supplement is approximately $8.2 million as of December 5, 2025, which is based on the limitations of General Instruction I.B.6 of Form S-3.</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the ATM Agreement, the Company will set the parameters for the sale of the ATM Shares, including the number of ATM Shares to be issued, the time period during which sales are requested to be made, limitation on the number of ATM Shares that may be sold in any one trading day and any minimum price below which sales may not be made. Upon delivery of a placement notice and subject to the terms and conditions of the ATM Agreement, the Manager will use its commercially reasonable efforts, consistent with its normal trading and sales practices, applicable state and federal law, rules and regulations, and the rules of Nasdaq, to sell the ATM Shares from time to time based upon the Company’s instructions. The Company has no obligation to sell any the ATM Shares under the ATM Agreement and may at any time suspend solicitation and offers under the ATM Agreement. The Manager is not obligated to purchase any ATM Shares on a principal basis pursuant to the ATM Agreement.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ATM Agreement provides that the Company will pay the Manager commissions for its services for acting as agent in the sale of the ATM Shares. The Manager will be entitled to compensation at a fixed commission rate equal to up to 3.0% of the gross proceeds from the sale of the ATM Shares. The Company has agreed to provide the Manager and certain affiliates of the Manager with customary indemnification and contribution rights, including for liabilities under the Securities Act. Pursuant to the ATM Agreement terms, the Company has agreed to reimburse Wainwright for the reasonable fees and expenses of its legal counsel not to exceed $100,000 (excluding any periodic due diligence fees) incurred in connection with entering into the transactions contemplated by the ATM Agreement and has agreed to reimburse Wainwright up to a maximum of $5,000 per Representation Date (as defined in the ATM Agreement) in connection with a new Registration Statement or the filing of the Company’s Annual Report on Form 10-K and $2,500 in connection with each other Representation Date, plus any incidental expense incurred by the Manager in connection therewith.</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ATM Agreement contains customary representations and warranties and conditions regarding the placements of the Shares pursuant thereto, obligations to sell Shares under the ATM Agreement are subject to satisfaction of certain conditions, including the effectiveness of the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ATM and the ATM Prospectus Supplement will terminate upon the earlier of (i) the sale of the Maximum Amount (as defined in the ATM Agreement) of Shares pursuant to the ATM Agreement, or (b) the termination of the ATM Agreement by us or the Manager as permitted therein.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160 shares of Class A common stock at $1,380.00 per share and 162 prefunded warrants (the “May 2025 Prefunded Warrants”) at $680.00 per warrant. The May 2025 Prefunded Warrants were immediately exercised, resulting in the issuance of 162 shares of Class A common stock. The Company collected in aggregate $330,000 of gross proceeds from this private placement.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the Company issued 9,082 shares under the ATM Agreement for net proceeds of approximately $3,429,257.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Hudson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3, 2025, the Company issued 75 restricted shares of its Common Stock, with a determined fair value of $232,500, partially in exchange for the business advisory services outlined in the consulting agreement with Hudson Global Ventures, LLC, a Nevada limited liability company (“Hudson”). On April 25, 2025, July 1, 2025 and September 3, 2025, the Company issued 200, 118, and 260, respectively, restricted shares of its Class A Common Stock to Hudson, in exchange for certain business advisory services as outlined in a consulting agreement with Hudson, executed on April 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Verista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August 26, 2024, the Company issued 15 shares of its Common Stock, with a determined fair value of $49,800, in partial settlement of amounts owing to Verista. Refer to </w:t>
      </w:r>
      <w:r>
        <w:rPr>
          <w:rFonts w:ascii="Times New Roman" w:cs="Times New Roman" w:eastAsia="Times New Roman" w:hAnsi="Times New Roman"/>
          <w:sz w:val="18"/>
          <w:szCs w:val="18"/>
          <w:i w:val="1"/>
          <w:iCs w:val="1"/>
          <w:color w:val="auto"/>
        </w:rPr>
        <w:t>Note 14 – Commitments and Contingencies</w:t>
      </w:r>
      <w:r>
        <w:rPr>
          <w:rFonts w:ascii="Times New Roman" w:cs="Times New Roman" w:eastAsia="Times New Roman" w:hAnsi="Times New Roman"/>
          <w:sz w:val="18"/>
          <w:szCs w:val="18"/>
          <w:color w:val="auto"/>
        </w:rPr>
        <w:t xml:space="preserve"> for further detail.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RSU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1,005 RSUs vested into shares of Class A Common Stock of the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Vidello Acquisition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disclosed above, on January 31, 2025, the Company closed a previously announced merger with Vidello. As part of the consideration paid to the Vidello Shareholders, the Company issued 449 shares of Class A Common Stock, with a determined fair value of $1,661,677. Refer to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for further detail.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pre-funded warrant exercise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January 7, 2025, the Company issued 1 share of Class A Common Stock to CP BF, resulting from the exercise by CP BF of exercise of one (1) pre-funded warrant under the CP BF Pre-Funded Warrant. See </w:t>
      </w:r>
      <w:r>
        <w:rPr>
          <w:rFonts w:ascii="Times New Roman" w:cs="Times New Roman" w:eastAsia="Times New Roman" w:hAnsi="Times New Roman"/>
          <w:sz w:val="18"/>
          <w:szCs w:val="18"/>
          <w:i w:val="1"/>
          <w:iCs w:val="1"/>
          <w:color w:val="auto"/>
        </w:rPr>
        <w:t>Note 13 – Warrant Liabilities.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21, 2025, the Company issued 524 shares of Class A Common Stock to Alco, resulting from the exercise by Alco of pre-funded warrants purchased during September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26, 2025, the Company issued 5,883 shares of Class A Common Stock to FE IV Aggregator, resulting from the exercise by FE IV Aggregator of Pre-Funded Warrants held by FE Aggregator as part of the OpenReel Merger Consideration.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Issued for private placement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private placement agreement with certain investors to sell 159 shares of Class A common stock at $1,380.00 per share and 162 prefunded warrants (the “May 2025 Prefunded Warrants”) at $680.00 per warrant. The May 2025 Prefunded Warrants were immediately exercised, resulting in the issuance of 162 shares of Class A common stock. The Company collected in aggregate $330,000 of gross proceeds from this private placement.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2023, the Company adopted the 2023 Employee Stock Purchase Plan (the “ESPP”). The ESPP permits eligible employees of the Company and certain designated companies as determined by the Board, to purchase shares of the Company’s Common Stock. The aggregate number of shares of common stock that may be purchased pursuant to the Purchase Plan automatically increases on January 1 of each year ending on January 1, 2033, in an amount equal to the lesser of one percent (1%) of the total number of shares of the fully diluted common stock (as defined in the ESPP) determined as of December 31 of the preceding year, or a number of shares of common stock equal to two hundred percent (200%) of the initial share reserve of 114.</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the Company adopted the 2023 Equity Incentive Plan (the “EIP”). The EIP permits the granting of incentive stock options, nonstatutory stock options, SARs, restricted stock awards, RSU awards, performance awards, and other awards. to employees, directors, and consultants. The aggregate number of shares of common stock that may be issued under the EIP automatically increases on January 1 of each year ending on January 1, 2033, in an amount equal to 5% of the total number of shares of the fully diluted common stock determined as of December 31 of the preceding year.</w:t>
      </w:r>
    </w:p>
    <w:p>
      <w:pPr>
        <w:spacing w:after="0" w:line="1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stock-based payments pursuant to FASB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and, accordingly, the Company records compensation expense for stock-based awards based upon an assessment of the grant date fair value for options using the Black-Scholes option pricing model. The Company has concluded that its historical share option exercise experience does not provide a reasonable basis upon which to estimate expected term. Therefore, the expected term was determined according to the simplified method, which is the average of the vesting tranche dates and the contractual term. Due to the lack of company specific historical and implied volatility data, the estimate of expected volatility is primarily based on the historical volatility of a group of similar companies that are publicly traded. For these analyses, companies with comparable characteristics were selected, including enterprise value and position within the industry, and with historical share price information sufficient to meet the expected life of the share-based awards. The Company computes the historical volatility data using the daily closing prices for the selected companies’ shares during the equivalent periods of the calculated expected term of its share-based awards. The risk-free interest rate is determined by reference to the U.S. Treasury zero-coupon issues with remaining maturities similar to the expected term of the options. Expected dividend yield is zero based on the fact that the Company has never paid cash dividends and does not expect to pay any cash dividends in the foreseeable future.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assumptions used to compute the fair value of options granted: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6"/>
              </w:rPr>
              <w:t>N/A</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29,200.00 - 61,000.00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N/A</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29,200.00 - 500,000.00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6"/>
              </w:rPr>
              <w:t>N/A</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80" w:type="dxa"/>
            <w:vAlign w:val="bottom"/>
            <w:gridSpan w:val="8"/>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61.00 - 62.12%</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6"/>
              </w:rPr>
              <w:t>N/A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9"/>
              </w:rPr>
              <w:t>5.61 - 6.08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6"/>
              </w:rPr>
              <w:t>N/A</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8"/>
              </w:rPr>
              <w:t>4.20 - 4.45%</w:t>
            </w:r>
          </w:p>
        </w:tc>
      </w:tr>
      <w:tr>
        <w:trPr>
          <w:trHeight w:val="432"/>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stock option activity under the Plan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5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20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20" w:type="dxa"/>
            <w:vAlign w:val="bottom"/>
          </w:tcPr>
          <w:p>
            <w:pPr>
              <w:spacing w:after="0"/>
              <w:rPr>
                <w:sz w:val="18"/>
                <w:szCs w:val="18"/>
                <w:color w:val="auto"/>
              </w:rPr>
            </w:pP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00" w:type="dxa"/>
            <w:vAlign w:val="bottom"/>
          </w:tcPr>
          <w:p>
            <w:pPr>
              <w:spacing w:after="0"/>
              <w:rPr>
                <w:sz w:val="18"/>
                <w:szCs w:val="18"/>
                <w:color w:val="auto"/>
              </w:rPr>
            </w:pPr>
          </w:p>
        </w:tc>
        <w:tc>
          <w:tcPr>
            <w:tcW w:w="7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Intrinsic</w:t>
            </w:r>
          </w:p>
        </w:tc>
      </w:tr>
      <w:tr>
        <w:trPr>
          <w:trHeight w:val="238"/>
        </w:trPr>
        <w:tc>
          <w:tcPr>
            <w:tcW w:w="5220" w:type="dxa"/>
            <w:vAlign w:val="bottom"/>
          </w:tcPr>
          <w:p>
            <w:pPr>
              <w:spacing w:after="0"/>
              <w:rPr>
                <w:sz w:val="20"/>
                <w:szCs w:val="20"/>
                <w:color w:val="auto"/>
              </w:rPr>
            </w:pPr>
          </w:p>
        </w:tc>
        <w:tc>
          <w:tcPr>
            <w:tcW w:w="1200" w:type="dxa"/>
            <w:vAlign w:val="bottom"/>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80" w:type="dxa"/>
            <w:vAlign w:val="bottom"/>
          </w:tcPr>
          <w:p>
            <w:pPr>
              <w:spacing w:after="0"/>
              <w:rPr>
                <w:sz w:val="20"/>
                <w:szCs w:val="20"/>
                <w:color w:val="auto"/>
              </w:rPr>
            </w:pPr>
          </w:p>
        </w:tc>
        <w:tc>
          <w:tcPr>
            <w:tcW w:w="15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Term (in years)</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09"/>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13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323,660.00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77"/>
              </w:rPr>
              <w:t>50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42,090.00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8"/>
                <w:szCs w:val="18"/>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56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495,932.00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340,094.00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77"/>
              </w:rPr>
              <w:t>63</w:t>
            </w: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68,748.00</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200" w:type="dxa"/>
            <w:vAlign w:val="bottom"/>
          </w:tcPr>
          <w:p>
            <w:pPr>
              <w:spacing w:after="0"/>
              <w:rPr>
                <w:sz w:val="19"/>
                <w:szCs w:val="19"/>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w w:val="77"/>
              </w:rPr>
              <w:t>20</w:t>
            </w:r>
          </w:p>
        </w:tc>
        <w:tc>
          <w:tcPr>
            <w:tcW w:w="3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122,069.90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issuances under the Plan, the Company recorded stock-based compensation expense related to stock options of $107,683 and $130,997, which is included in general and administrative expense for the years ended December 31, 2025 and 2024, respectively. The weighted-average grant-date fair value per option granted during the years ended December 31, 2025 and 2024 was $240 and $17,000, respectively. As of December 31, 2025 and 2024, $261,467 and $212,936 of unrecognized compensation expense related to non-vested awards is expected to be recognized over the weighted average period of 8.87 and 9.25 years, respectively. The aggregate intrinsic value is calculated as the difference between the fair value of the Company’s stock price and the exercise price of the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 began issuing RSUs to employees and to non-employee directors. Each RSU entitles the recipient to one share of Class A Common Stock upon vesting. The Company measures the fair value of RSUs using the stock price on the date of grant. Stock-based compensation expense for employee-granted RSUs is recorded ratably over their vesting period of (a) four years - 25% of the RSUs will vest on each anniversary, or (b) one year - 25% will vest quarterly, or (c) one year – 100% will vest on the first anniversary of the vesting commencement date until the RSU is fully vested. Stock-based compensation expense for non-employee director-granted RSUs is recorded ratably over their vesting period which is the earlier to occur of the one (1) year anniversary of the respective grant date, or the next annual meeting of stockholders following the respective grant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activity with respect to, and status of, RSUs during the year ended December 31, 2025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69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38"/>
        </w:trPr>
        <w:tc>
          <w:tcPr>
            <w:tcW w:w="6980" w:type="dxa"/>
            <w:vAlign w:val="bottom"/>
          </w:tcPr>
          <w:p>
            <w:pPr>
              <w:spacing w:after="0"/>
              <w:rPr>
                <w:sz w:val="20"/>
                <w:szCs w:val="20"/>
                <w:color w:val="auto"/>
              </w:rPr>
            </w:pPr>
          </w:p>
        </w:tc>
        <w:tc>
          <w:tcPr>
            <w:tcW w:w="13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0"/>
        </w:trPr>
        <w:tc>
          <w:tcPr>
            <w:tcW w:w="6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2,978</w:t>
            </w:r>
          </w:p>
        </w:tc>
        <w:tc>
          <w:tcPr>
            <w:tcW w:w="18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1,406.00</w:t>
            </w:r>
          </w:p>
        </w:tc>
      </w:tr>
      <w:tr>
        <w:trPr>
          <w:trHeight w:val="216"/>
        </w:trPr>
        <w:tc>
          <w:tcPr>
            <w:tcW w:w="8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(1,005)</w:t>
            </w:r>
          </w:p>
        </w:tc>
        <w:tc>
          <w:tcPr>
            <w:tcW w:w="1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2,382.00</w:t>
            </w:r>
          </w:p>
        </w:tc>
      </w:tr>
      <w:tr>
        <w:trPr>
          <w:trHeight w:val="230"/>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180" w:type="dxa"/>
            <w:vAlign w:val="bottom"/>
          </w:tcPr>
          <w:p>
            <w:pPr>
              <w:spacing w:after="0"/>
              <w:rPr>
                <w:sz w:val="19"/>
                <w:szCs w:val="19"/>
                <w:color w:val="auto"/>
              </w:rPr>
            </w:pP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1,698.00</w:t>
            </w:r>
          </w:p>
        </w:tc>
      </w:tr>
      <w:tr>
        <w:trPr>
          <w:trHeight w:val="223"/>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2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and December 31, 2024, the Company recorded total stock-based compensation expense related to RSUs of $2,466,707 and $1,034,683, respectively, which is included in general and administrative expense. As of December 31, 2025 and 2024, unrecognized compensation cost related to the grant of RSUs was $2,342,212 and $158,032, respectively. Unvested outstanding RSUs as of December 31, 2025 and 2024 had a weighted average remaining vesting period of 2.25 and 1.2 years,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Award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2025, the Board granted an equity award to the Company’s CEO (“CEO Award”) that includes a market condition based on specified market capitalization thresholds ranging from $15.0 million to $30.0 million, which result in stock grants ranging from $250 thousand to $750 thousand, up to $2.0 million in the aggregate. The CEO Award is equity-classified and the grant-date fair value was estimated using a Monte Carlo simulation model, using historical volatility as a key input. The Company recognized $104,841 of stock-based compensation expense related to this award for the year ended December 31,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17. Income Taxes</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loss before income taxes are as follows:</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2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6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Components of net loss before income taxes:</w:t>
            </w:r>
          </w:p>
        </w:tc>
        <w:tc>
          <w:tcPr>
            <w:tcW w:w="2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top w:val="single" w:sz="8" w:color="auto"/>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10"/>
        </w:trPr>
        <w:tc>
          <w:tcPr>
            <w:tcW w:w="6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(22,673,927)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(31,513,389)</w:t>
            </w:r>
          </w:p>
        </w:tc>
        <w:tc>
          <w:tcPr>
            <w:tcW w:w="100" w:type="dxa"/>
            <w:vAlign w:val="bottom"/>
            <w:shd w:val="clear" w:color="auto" w:fill="CCEEFF"/>
          </w:tcPr>
          <w:p>
            <w:pPr>
              <w:spacing w:after="0"/>
              <w:rPr>
                <w:sz w:val="18"/>
                <w:szCs w:val="18"/>
                <w:color w:val="auto"/>
              </w:rPr>
            </w:pPr>
          </w:p>
        </w:tc>
      </w:tr>
      <w:tr>
        <w:trPr>
          <w:trHeight w:val="234"/>
        </w:trPr>
        <w:tc>
          <w:tcPr>
            <w:tcW w:w="6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242,469</w:t>
            </w: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provision for income taxes to the amount computed by applying the 21% statutory U.S. federal income tax rate to income before income taxes after the adoption of ASU 2023-09 for the year ended December 31, 2025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of Pretax Income</w:t>
            </w:r>
          </w:p>
        </w:tc>
        <w:tc>
          <w:tcPr>
            <w:tcW w:w="160" w:type="dxa"/>
            <w:vAlign w:val="bottom"/>
            <w:tcBorders>
              <w:bottom w:val="single" w:sz="8" w:color="CCEEFF"/>
            </w:tcBorders>
            <w:gridSpan w:val="2"/>
          </w:tcPr>
          <w:p>
            <w:pPr>
              <w:spacing w:after="0"/>
              <w:rPr>
                <w:sz w:val="20"/>
                <w:szCs w:val="20"/>
                <w:color w:val="auto"/>
              </w:rPr>
            </w:pPr>
          </w:p>
        </w:tc>
      </w:tr>
      <w:tr>
        <w:trPr>
          <w:trHeight w:val="209"/>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Federal Statutory Tax Rate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(4,710,559)</w:t>
            </w:r>
          </w:p>
        </w:tc>
        <w:tc>
          <w:tcPr>
            <w:tcW w:w="32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Federal Income Tax Effect</w:t>
            </w:r>
          </w:p>
        </w:tc>
        <w:tc>
          <w:tcPr>
            <w:tcW w:w="38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tax rate difference between United Kingdom and United States</w:t>
            </w: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9,699</w:t>
            </w:r>
          </w:p>
        </w:tc>
        <w:tc>
          <w:tcPr>
            <w:tcW w:w="2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Effect of Changes in Tax Laws or Rate Enacted in the Current Period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18,900</w:t>
            </w:r>
          </w:p>
        </w:tc>
        <w:tc>
          <w:tcPr>
            <w:tcW w:w="2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Credits</w:t>
            </w: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(15,243)</w:t>
            </w:r>
          </w:p>
        </w:tc>
        <w:tc>
          <w:tcPr>
            <w:tcW w:w="2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0.07%</w:t>
            </w: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8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3,149,702</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-14.04%</w:t>
            </w: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Estimates</w:t>
            </w:r>
          </w:p>
        </w:tc>
        <w:tc>
          <w:tcPr>
            <w:tcW w:w="380" w:type="dxa"/>
            <w:vAlign w:val="bottom"/>
          </w:tcPr>
          <w:p>
            <w:pPr>
              <w:spacing w:after="0"/>
              <w:rPr>
                <w:sz w:val="18"/>
                <w:szCs w:val="18"/>
                <w:color w:val="auto"/>
              </w:rPr>
            </w:pPr>
          </w:p>
        </w:tc>
        <w:tc>
          <w:tcPr>
            <w:tcW w:w="1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(602,735)</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2.76%</w:t>
            </w:r>
          </w:p>
        </w:tc>
      </w:tr>
      <w:tr>
        <w:trPr>
          <w:trHeight w:val="216"/>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Conversion – 163(l)</w:t>
            </w:r>
          </w:p>
        </w:tc>
        <w:tc>
          <w:tcPr>
            <w:tcW w:w="3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1,528,553</w:t>
            </w:r>
          </w:p>
        </w:tc>
        <w:tc>
          <w:tcPr>
            <w:tcW w:w="2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r>
      <w:tr>
        <w:trPr>
          <w:trHeight w:val="216"/>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Compensation Adjustments</w:t>
            </w:r>
          </w:p>
        </w:tc>
        <w:tc>
          <w:tcPr>
            <w:tcW w:w="380" w:type="dxa"/>
            <w:vAlign w:val="bottom"/>
          </w:tcPr>
          <w:p>
            <w:pPr>
              <w:spacing w:after="0"/>
              <w:rPr>
                <w:sz w:val="18"/>
                <w:szCs w:val="18"/>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293,474</w:t>
            </w:r>
          </w:p>
        </w:tc>
        <w:tc>
          <w:tcPr>
            <w:tcW w:w="2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388,826</w:t>
            </w:r>
          </w:p>
        </w:tc>
        <w:tc>
          <w:tcPr>
            <w:tcW w:w="2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60,617</w:t>
            </w:r>
          </w:p>
        </w:tc>
        <w:tc>
          <w:tcPr>
            <w:tcW w:w="320" w:type="dxa"/>
            <w:vAlign w:val="bottom"/>
          </w:tcPr>
          <w:p>
            <w:pPr>
              <w:spacing w:after="0"/>
              <w:rPr>
                <w:sz w:val="19"/>
                <w:szCs w:val="19"/>
                <w:color w:val="auto"/>
              </w:rPr>
            </w:pPr>
          </w:p>
        </w:tc>
        <w:tc>
          <w:tcPr>
            <w:tcW w:w="1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9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statutory U.S. federal income tax rate to the Company’s effective tax rate for the period ended December 31, 2024 consists of the following: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benefit</w:t>
            </w:r>
          </w:p>
        </w:tc>
        <w:tc>
          <w:tcPr>
            <w:tcW w:w="3160" w:type="dxa"/>
            <w:vAlign w:val="bottom"/>
            <w:gridSpan w:val="2"/>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(6,617,812)</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(463,682)</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2,968,883</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Change in state tax rate</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16,101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estimates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(107,489)</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interest – IRC 163(l)</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516,624</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transaction/restructuring costs</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conversion and extinguishment</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2,935,747</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warrant issuance expense</w:t>
            </w:r>
          </w:p>
        </w:tc>
        <w:tc>
          <w:tcPr>
            <w:tcW w:w="25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goodwill</w:t>
            </w:r>
          </w:p>
        </w:tc>
        <w:tc>
          <w:tcPr>
            <w:tcW w:w="2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612,511</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25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139,117</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25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4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13"/>
        </w:trPr>
        <w:tc>
          <w:tcPr>
            <w:tcW w:w="44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2"/>
          </w:tcPr>
          <w:p>
            <w:pPr>
              <w:jc w:val="right"/>
              <w:ind w:right="1670"/>
              <w:spacing w:after="0"/>
              <w:rPr>
                <w:sz w:val="20"/>
                <w:szCs w:val="20"/>
                <w:color w:val="auto"/>
              </w:rPr>
            </w:pPr>
            <w:r>
              <w:rPr>
                <w:rFonts w:ascii="Times New Roman" w:cs="Times New Roman" w:eastAsia="Times New Roman" w:hAnsi="Times New Roman"/>
                <w:sz w:val="18"/>
                <w:szCs w:val="18"/>
                <w:color w:val="auto"/>
              </w:rPr>
              <w:t>F-95</w:t>
            </w:r>
          </w:p>
        </w:tc>
        <w:tc>
          <w:tcPr>
            <w:tcW w:w="1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45" w:name="page246"/>
    <w:bookmarkEnd w:id="2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income tax provision (benefit) are as follows:</w:t>
            </w: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4"/>
          </w:tcPr>
          <w:p>
            <w:pPr>
              <w:jc w:val="right"/>
              <w:ind w:right="516"/>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2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4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214,398</w:t>
            </w: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6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1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214,398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(153,781)</w:t>
            </w: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8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1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(153,781</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23"/>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60,617</w:t>
            </w:r>
          </w:p>
        </w:tc>
        <w:tc>
          <w:tcPr>
            <w:tcW w:w="3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5700" w:type="dxa"/>
            <w:vAlign w:val="bottom"/>
            <w:gridSpan w:val="2"/>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92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amounts of cash income taxes paid (received) by the Company for the year ended December 31, 2025 were as follows:</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w:t>
            </w:r>
          </w:p>
        </w:tc>
        <w:tc>
          <w:tcPr>
            <w:tcW w:w="1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5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taxes, net of amounts refunded</w:t>
            </w: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Borders>
              <w:top w:val="single" w:sz="8" w:color="auto"/>
            </w:tcBorders>
          </w:tcPr>
          <w:p>
            <w:pPr>
              <w:jc w:val="right"/>
              <w:ind w:right="1256"/>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gridSpan w:val="2"/>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value of assets and liabilities for financial reporting purposes and amounts used for income tax purposes. The temporary differences that give rise to deferred tax assets and liabilities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4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(liabilities):</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21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15,736,074</w:t>
            </w:r>
          </w:p>
        </w:tc>
        <w:tc>
          <w:tcPr>
            <w:tcW w:w="680" w:type="dxa"/>
            <w:vAlign w:val="bottom"/>
            <w:gridSpan w:val="2"/>
          </w:tcPr>
          <w:p>
            <w:pPr>
              <w:jc w:val="right"/>
              <w:ind w:right="49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12,347,734</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Contribution carryforwards</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8,803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23,718</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175,785</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91,889</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284,981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157,165</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 to cash adjustment</w:t>
            </w: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Startup costs and other intangibles</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1,618,932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1,700,257</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Acquired intangibles</w:t>
            </w: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(1,953,499)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(870,569)</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13,030</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16,339</w:t>
            </w: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(12,830)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(16,308)</w:t>
            </w:r>
          </w:p>
        </w:tc>
      </w:tr>
      <w:tr>
        <w:trPr>
          <w:trHeight w:val="216"/>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664,106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651,519</w:t>
            </w:r>
          </w:p>
        </w:tc>
        <w:tc>
          <w:tcPr>
            <w:tcW w:w="80" w:type="dxa"/>
            <w:vAlign w:val="bottom"/>
            <w:shd w:val="clear" w:color="auto" w:fill="CCEEFF"/>
          </w:tcPr>
          <w:p>
            <w:pPr>
              <w:spacing w:after="0"/>
              <w:rPr>
                <w:sz w:val="18"/>
                <w:szCs w:val="18"/>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R&amp;D costs (Sec. 174)</w:t>
            </w: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1,959,520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1,930,337</w:t>
            </w:r>
          </w:p>
        </w:tc>
        <w:tc>
          <w:tcPr>
            <w:tcW w:w="80" w:type="dxa"/>
            <w:vAlign w:val="bottom"/>
          </w:tcPr>
          <w:p>
            <w:pPr>
              <w:spacing w:after="0"/>
              <w:rPr>
                <w:sz w:val="18"/>
                <w:szCs w:val="18"/>
                <w:color w:val="auto"/>
              </w:rPr>
            </w:pPr>
          </w:p>
        </w:tc>
      </w:tr>
      <w:tr>
        <w:trPr>
          <w:trHeight w:val="229"/>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66,496</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8,182</w:t>
            </w:r>
          </w:p>
        </w:tc>
        <w:tc>
          <w:tcPr>
            <w:tcW w:w="80" w:type="dxa"/>
            <w:vAlign w:val="bottom"/>
            <w:shd w:val="clear" w:color="auto" w:fill="CCEEFF"/>
          </w:tcPr>
          <w:p>
            <w:pPr>
              <w:spacing w:after="0"/>
              <w:rPr>
                <w:sz w:val="19"/>
                <w:szCs w:val="19"/>
                <w:color w:val="auto"/>
              </w:rPr>
            </w:pPr>
          </w:p>
        </w:tc>
      </w:tr>
      <w:tr>
        <w:trPr>
          <w:trHeight w:val="210"/>
        </w:trPr>
        <w:tc>
          <w:tcPr>
            <w:tcW w:w="52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18,561,398</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16,040,263</w:t>
            </w:r>
          </w:p>
        </w:tc>
        <w:tc>
          <w:tcPr>
            <w:tcW w:w="100" w:type="dxa"/>
            <w:vAlign w:val="bottom"/>
            <w:gridSpan w:val="2"/>
          </w:tcPr>
          <w:p>
            <w:pPr>
              <w:spacing w:after="0"/>
              <w:rPr>
                <w:sz w:val="18"/>
                <w:szCs w:val="18"/>
                <w:color w:val="auto"/>
              </w:rPr>
            </w:pP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(19,679,073)</w:t>
            </w:r>
          </w:p>
        </w:tc>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(16,040,263)</w:t>
            </w:r>
          </w:p>
        </w:tc>
      </w:tr>
      <w:tr>
        <w:trPr>
          <w:trHeight w:val="223"/>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(liabilities), net of allowance</w:t>
            </w:r>
          </w:p>
        </w:tc>
        <w:tc>
          <w:tcPr>
            <w:tcW w:w="174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(1,170,469</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2025, the Company had federal and state net operating loss carryforwards of approximately $65,375,600 and $35,660,700, respectively. As of December 31, 2025 the company has no foreign net operating loss carryforwards. As of December 31, 2024, the Company had federal and state net operating loss carryforwards of approximately $50,966,400 and $28,244,800, respectively. Federal losses of $180,000 begin to expire in 2036 and $65,195,600 of the federal losses carryforward indefinitely. State losses of $22,175,100 begin to expire in 2031 and $13,485,600 of the state losses carryforward indefinitely. Utilization of the net operating loss carryforwards may be subject to an annual limitation according to Section 382 of the Internal Revenue Code of 1986 as amended, and similar provisions.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determined, based upon available evidence, that it is more likely than not that all of the U.S. net deferred tax assets will not be realized and, accordingly, has provided a full valuation allowance against its U.S. net deferred tax asset. Management considers the scheduled reversal of deferred tax liabilities, projected future taxable income, net operating loss carryback potential, and tax planning strategies in making these assessments. During the period, the Company acquired its UK subsidiary, which generated intangible assets for U.S. GAAP, for which the Company has no tax basis in. Additionally, the UK company has historically generated taxable income, and has no positive evidence that would warrant a valuation allowance. As such, the Company has recorded a deferred tax liability for its UK subsidiary. Also, none of the GAAP basis of Goodwill recorded in relation to the Vidello, Ltd. acquisition is deductible for tax purposes.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the U.S. government enacted the One Big Beautiful Bill Act (OBBBA), which includes several changes to U.S. federal income tax law, including temporary and permanent extension, of expiring provisions of the Tax Cuts and Jobs Act of 2017. Significant provisions for corporate taxpayers include permanent 100% bonus depreciation for qualified property, immediate expensing of domestic R&amp;D expenditures, and changes to the limitation on business interest expense deductions under Section 163(j). None of these provisions have a material impact on the Company’s 2025 income tax provision.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it had no material uncertain tax benefits for the year ended December 31, 2025, and 2024. The Company recognizes interest accrued related to unrecognized tax benefits and penalties in interest expense and penalties in operating expense. No amounts were accrued for the payment of interest and penalties at December 31, 2025, and 2024.</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they operate. In the normal course of business, the Company is subject to examination by federal, state, and foreign jurisdictions where applicable based on the statute of limitations that apply in each jurisdiction. As of December 31, 2025, the 2018 and subsequent tax years related to all US jurisdictions remain open.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open tax audits with any taxing authority as of December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three reportable operating segments, Banzai Operating Co, Inc., OpenReel, and Vidello. The Company’s segments deliver SaaS tools that leverage data, analytics, and AI to provide marketing and sales solutions, including video production and editing, for businesses of all sizes.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Chief Executive Officer, who serves as the Company’s chief operating decision maker (“CODM”), primarily uses segment revenue, gross profit, and adjusted EBITDA to allocate resources and assess performance. Segment revenue and gross profit are determined on the same basis as consolidated revenue and consolidated gross profit as shown in the Company’s consolidated statements of operations. Segment adjusted EBITDA is defined as revenue less the following expenses associated with each segment: cost of revenue, people, marketing and advertising, technology, and other segment expenses. Segment adjusted EBITDA excludes certain non-cash items or items that management does not consider reflective of ongoing core operations. Currently, the CODM does not review assets in evaluating the results of the operating segments, and therefore, such information is not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160" w:type="dxa"/>
            <w:vAlign w:val="bottom"/>
          </w:tcPr>
          <w:p>
            <w:pPr>
              <w:spacing w:after="0"/>
              <w:rPr>
                <w:sz w:val="20"/>
                <w:szCs w:val="20"/>
                <w:color w:val="auto"/>
              </w:rPr>
            </w:pPr>
          </w:p>
        </w:tc>
        <w:tc>
          <w:tcPr>
            <w:tcW w:w="1300" w:type="dxa"/>
            <w:vAlign w:val="bottom"/>
            <w:gridSpan w:val="2"/>
            <w:vMerge w:val="restart"/>
          </w:tcPr>
          <w:p>
            <w:pPr>
              <w:jc w:val="right"/>
              <w:ind w:right="501"/>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vMerge w:val="restart"/>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5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20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Vidello</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4,426,868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5,473,389</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2,261,162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12,161,419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1,476,701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310,362</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401,520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2,188,583</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2,950,167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5,163,027</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1,859,642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9,972,836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6,254,527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4,545,813</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393,025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11,193,365</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2,160,168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155,237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558,059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2,873,464</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spacing w:after="0"/>
              <w:rPr>
                <w:sz w:val="18"/>
                <w:szCs w:val="18"/>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926,334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272,926</w:t>
            </w:r>
          </w:p>
        </w:tc>
        <w:tc>
          <w:tcPr>
            <w:tcW w:w="2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83,839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1,283,099</w:t>
            </w:r>
          </w:p>
        </w:tc>
        <w:tc>
          <w:tcPr>
            <w:tcW w:w="0" w:type="dxa"/>
            <w:vAlign w:val="bottom"/>
          </w:tcPr>
          <w:p>
            <w:pPr>
              <w:spacing w:after="0"/>
              <w:rPr>
                <w:sz w:val="1"/>
                <w:szCs w:val="1"/>
                <w:color w:val="auto"/>
              </w:rPr>
            </w:pPr>
          </w:p>
        </w:tc>
      </w:tr>
      <w:tr>
        <w:trPr>
          <w:trHeight w:val="270"/>
        </w:trPr>
        <w:tc>
          <w:tcPr>
            <w:tcW w:w="520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1</w:t>
            </w:r>
          </w:p>
        </w:tc>
        <w:tc>
          <w:tcPr>
            <w:tcW w:w="1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2,223,686</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535,823</w:t>
            </w:r>
          </w:p>
        </w:tc>
        <w:tc>
          <w:tcPr>
            <w:tcW w:w="2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198,407</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2,957,915</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11,564,715</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5,509,799</w:t>
            </w:r>
          </w:p>
        </w:tc>
        <w:tc>
          <w:tcPr>
            <w:tcW w:w="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1,233,330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18,307,843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(8,614,548)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(346,772)</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(8,335,007)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160" w:type="dxa"/>
            <w:vAlign w:val="bottom"/>
          </w:tcPr>
          <w:p>
            <w:pPr>
              <w:spacing w:after="0"/>
              <w:rPr>
                <w:sz w:val="19"/>
                <w:szCs w:val="19"/>
                <w:color w:val="auto"/>
              </w:rPr>
            </w:pPr>
          </w:p>
        </w:tc>
        <w:tc>
          <w:tcPr>
            <w:tcW w:w="13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8,819,671</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71,320</w:t>
            </w:r>
          </w:p>
        </w:tc>
        <w:tc>
          <w:tcPr>
            <w:tcW w:w="2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88,511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8,979,501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(17,434,219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(418,092</w:t>
            </w:r>
          </w:p>
        </w:tc>
        <w:tc>
          <w:tcPr>
            <w:tcW w:w="340" w:type="dxa"/>
            <w:vAlign w:val="bottom"/>
            <w:tcBorders>
              <w:top w:val="single" w:sz="8" w:color="CCEEFF"/>
              <w:bottom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(17,314,508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280" w:hanging="74"/>
        <w:spacing w:after="0" w:line="213" w:lineRule="auto"/>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Other segment expenses for each reportable segment includes provision for credit losses, foreign currency exchange rate changes, travel and entertainment expenses, professional expenses other than those included in transaction and PubCo expenses, insurance expenses, and expenses related to licenses.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07"/>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7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table below presents information about segments for the year ended December 31, 2024:</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0" w:type="dxa"/>
            <w:vAlign w:val="bottom"/>
          </w:tcPr>
          <w:p>
            <w:pPr>
              <w:spacing w:after="0"/>
              <w:rPr>
                <w:sz w:val="24"/>
                <w:szCs w:val="24"/>
                <w:color w:val="auto"/>
              </w:rPr>
            </w:pPr>
          </w:p>
        </w:tc>
        <w:tc>
          <w:tcPr>
            <w:tcW w:w="1400" w:type="dxa"/>
            <w:vAlign w:val="bottom"/>
            <w:gridSpan w:val="2"/>
            <w:vMerge w:val="restart"/>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Banzai</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vMerge w:val="restart"/>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94"/>
        </w:trPr>
        <w:tc>
          <w:tcPr>
            <w:tcW w:w="128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Vidello</w:t>
            </w:r>
            <w:r>
              <w:rPr>
                <w:rFonts w:ascii="Times New Roman" w:cs="Times New Roman" w:eastAsia="Times New Roman" w:hAnsi="Times New Roman"/>
                <w:sz w:val="29"/>
                <w:szCs w:val="29"/>
                <w:b w:val="1"/>
                <w:bCs w:val="1"/>
                <w:color w:val="auto"/>
                <w:vertAlign w:val="superscript"/>
              </w:rPr>
              <w:t>1</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OpenReel</w:t>
            </w:r>
          </w:p>
        </w:tc>
        <w:tc>
          <w:tcPr>
            <w:tcW w:w="18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4,305,429</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222,450</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4,527,879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1,407,564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14,978</w:t>
            </w: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1,422,542</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2,897,865</w:t>
            </w:r>
          </w:p>
        </w:tc>
        <w:tc>
          <w:tcPr>
            <w:tcW w:w="3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207,472</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3,105,337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People</w:t>
            </w:r>
          </w:p>
        </w:tc>
        <w:tc>
          <w:tcPr>
            <w:tcW w:w="16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6,209,488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17,642</w:t>
            </w:r>
          </w:p>
        </w:tc>
        <w:tc>
          <w:tcPr>
            <w:tcW w:w="18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6,227,130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Marketing and advertising</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1,587,085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5,020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1,592,105</w:t>
            </w:r>
          </w:p>
        </w:tc>
        <w:tc>
          <w:tcPr>
            <w:tcW w:w="0" w:type="dxa"/>
            <w:vAlign w:val="bottom"/>
          </w:tcPr>
          <w:p>
            <w:pPr>
              <w:spacing w:after="0"/>
              <w:rPr>
                <w:sz w:val="1"/>
                <w:szCs w:val="1"/>
                <w:color w:val="auto"/>
              </w:rPr>
            </w:pPr>
          </w:p>
        </w:tc>
      </w:tr>
      <w:tr>
        <w:trPr>
          <w:trHeight w:val="216"/>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60" w:type="dxa"/>
            <w:vAlign w:val="bottom"/>
          </w:tcPr>
          <w:p>
            <w:pPr>
              <w:spacing w:after="0"/>
              <w:rPr>
                <w:sz w:val="18"/>
                <w:szCs w:val="18"/>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861,775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112,429</w:t>
            </w:r>
          </w:p>
        </w:tc>
        <w:tc>
          <w:tcPr>
            <w:tcW w:w="180" w:type="dxa"/>
            <w:vAlign w:val="bottom"/>
          </w:tcPr>
          <w:p>
            <w:pPr>
              <w:spacing w:after="0"/>
              <w:rPr>
                <w:sz w:val="18"/>
                <w:szCs w:val="18"/>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974,204</w:t>
            </w:r>
          </w:p>
        </w:tc>
        <w:tc>
          <w:tcPr>
            <w:tcW w:w="0" w:type="dxa"/>
            <w:vAlign w:val="bottom"/>
          </w:tcPr>
          <w:p>
            <w:pPr>
              <w:spacing w:after="0"/>
              <w:rPr>
                <w:sz w:val="1"/>
                <w:szCs w:val="1"/>
                <w:color w:val="auto"/>
              </w:rPr>
            </w:pPr>
          </w:p>
        </w:tc>
      </w:tr>
      <w:tr>
        <w:trPr>
          <w:trHeight w:val="270"/>
        </w:trPr>
        <w:tc>
          <w:tcPr>
            <w:tcW w:w="5200" w:type="dxa"/>
            <w:vAlign w:val="bottom"/>
            <w:gridSpan w:val="2"/>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811,519</w:t>
            </w: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6,856</w:t>
            </w: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818,375</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9,469,867</w:t>
            </w:r>
          </w:p>
        </w:tc>
        <w:tc>
          <w:tcPr>
            <w:tcW w:w="3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141,947</w:t>
            </w:r>
          </w:p>
        </w:tc>
        <w:tc>
          <w:tcPr>
            <w:tcW w:w="3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9,611,814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Segment Adjusted EBITDA</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(6,572,002)</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65,525</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(6,506,477)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PubCo. Expenses and Stock-based compensation</w:t>
            </w:r>
          </w:p>
        </w:tc>
        <w:tc>
          <w:tcPr>
            <w:tcW w:w="16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6,912,309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6,912,309</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(13,484,311</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65,525</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(13,418,786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The Vidello acquisition occurred on January 31, 2025 (refer to </w:t>
      </w:r>
      <w:r>
        <w:rPr>
          <w:rFonts w:ascii="Times New Roman" w:cs="Times New Roman" w:eastAsia="Times New Roman" w:hAnsi="Times New Roman"/>
          <w:sz w:val="18"/>
          <w:szCs w:val="18"/>
          <w:i w:val="1"/>
          <w:iCs w:val="1"/>
          <w:color w:val="auto"/>
        </w:rPr>
        <w:t>Note 4 – Acquisitions</w:t>
      </w:r>
      <w:r>
        <w:rPr>
          <w:rFonts w:ascii="Times New Roman" w:cs="Times New Roman" w:eastAsia="Times New Roman" w:hAnsi="Times New Roman"/>
          <w:sz w:val="18"/>
          <w:szCs w:val="18"/>
          <w:color w:val="auto"/>
        </w:rPr>
        <w:t xml:space="preserve"> and therefore is presented at $0 for comparative purposes.</w:t>
      </w:r>
    </w:p>
    <w:p>
      <w:pPr>
        <w:spacing w:after="0" w:line="209" w:lineRule="exact"/>
        <w:rPr>
          <w:sz w:val="20"/>
          <w:szCs w:val="20"/>
          <w:color w:val="auto"/>
        </w:rPr>
      </w:pPr>
    </w:p>
    <w:p>
      <w:pPr>
        <w:jc w:val="both"/>
        <w:ind w:left="280" w:hanging="74"/>
        <w:spacing w:after="0" w:line="213" w:lineRule="auto"/>
        <w:rPr>
          <w:sz w:val="20"/>
          <w:szCs w:val="20"/>
          <w:color w:val="auto"/>
        </w:rPr>
      </w:pP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Other segment expenses for each reportable segment includes travel and entertainment expenses, professional expenses other than those included in transaction and PubCo expenses, the SEPA commitment fee expense and deferred fee expense, the GEM warrant expense, and the GEM commitment fee expense.</w:t>
      </w:r>
    </w:p>
    <w:p>
      <w:pPr>
        <w:spacing w:after="0" w:line="30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reconciliation between EBITDA by reportable segment to consolidated net loss before income taxes for the years ended December 31, 2025, and 2024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by segment</w:t>
            </w:r>
          </w:p>
        </w:tc>
        <w:tc>
          <w:tcPr>
            <w:tcW w:w="2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Banzai Operating Co.</w:t>
            </w:r>
          </w:p>
        </w:tc>
        <w:tc>
          <w:tcPr>
            <w:tcW w:w="2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(17,434,219)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(13,484,311)</w:t>
            </w:r>
          </w:p>
        </w:tc>
      </w:tr>
      <w:tr>
        <w:trPr>
          <w:trHeight w:val="216"/>
        </w:trPr>
        <w:tc>
          <w:tcPr>
            <w:tcW w:w="4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OpenReel</w:t>
            </w:r>
          </w:p>
        </w:tc>
        <w:tc>
          <w:tcPr>
            <w:tcW w:w="2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(418,092)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65,525</w:t>
            </w:r>
          </w:p>
        </w:tc>
      </w:tr>
      <w:tr>
        <w:trPr>
          <w:trHeight w:val="230"/>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Vidello</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537,801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(17,314,510)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(13,418,786)</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ectPr>
          <w:pgSz w:w="11900" w:h="16838" w:orient="portrait"/>
          <w:cols w:equalWidth="0" w:num="1">
            <w:col w:w="11240"/>
          </w:cols>
          <w:pgMar w:left="320" w:top="216" w:right="33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Reconciliation to loss before income taxes:</w:t>
      </w:r>
    </w:p>
    <w:p>
      <w:pPr>
        <w:spacing w:after="0" w:line="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income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Interest expense – related party</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conversion of liabilities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on extinguishment of liabilities, net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Gain on release of Vidello revenue holdback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Vidello earnout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Failed acquisition costs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Yorkville SEPA advances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GEM settlement fee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Yorkville prepayment premium expense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on debt issuance</w:t>
      </w:r>
    </w:p>
    <w:p>
      <w:pPr>
        <w:spacing w:after="0" w:line="9" w:lineRule="exact"/>
        <w:rPr>
          <w:sz w:val="20"/>
          <w:szCs w:val="20"/>
          <w:color w:val="auto"/>
        </w:rPr>
      </w:pPr>
    </w:p>
    <w:p>
      <w:pPr>
        <w:ind w:left="180" w:right="1260"/>
        <w:spacing w:after="0" w:line="250" w:lineRule="auto"/>
        <w:rPr>
          <w:sz w:val="20"/>
          <w:szCs w:val="20"/>
          <w:color w:val="auto"/>
        </w:rPr>
      </w:pPr>
      <w:r>
        <w:rPr>
          <w:rFonts w:ascii="Times New Roman" w:cs="Times New Roman" w:eastAsia="Times New Roman" w:hAnsi="Times New Roman"/>
          <w:sz w:val="18"/>
          <w:szCs w:val="18"/>
          <w:color w:val="auto"/>
        </w:rPr>
        <w:t>Changes in fair value of financial instruments Goodwill impairment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15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(2,955)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1,156,984</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3,047,101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1,150,471</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11,338,284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(2,085,895)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390,801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(973,000)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485,720</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1,382,002</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974,079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80,760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5,580,835</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653,208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(3,052,229)</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(478,288)</w:t>
            </w: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2,725,460</w:t>
            </w:r>
          </w:p>
        </w:tc>
        <w:tc>
          <w:tcPr>
            <w:tcW w:w="6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(726,572)</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113,108</w:t>
            </w:r>
          </w:p>
        </w:tc>
        <w:tc>
          <w:tcPr>
            <w:tcW w:w="60" w:type="dxa"/>
            <w:vAlign w:val="bottom"/>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(21,203,950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(31,513,389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-2519680</wp:posOffset>
            </wp:positionV>
            <wp:extent cx="713232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-2245360</wp:posOffset>
            </wp:positionV>
            <wp:extent cx="7132320"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-1971040</wp:posOffset>
            </wp:positionV>
            <wp:extent cx="713232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-1696720</wp:posOffset>
            </wp:positionV>
            <wp:extent cx="713232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-1422400</wp:posOffset>
            </wp:positionV>
            <wp:extent cx="7132320"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-1148080</wp:posOffset>
            </wp:positionV>
            <wp:extent cx="713232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-873760</wp:posOffset>
            </wp:positionV>
            <wp:extent cx="713232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-599440</wp:posOffset>
            </wp:positionV>
            <wp:extent cx="713232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-325120</wp:posOffset>
            </wp:positionV>
            <wp:extent cx="7132320" cy="1460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4740" w:space="720"/>
            <w:col w:w="5780"/>
          </w:cols>
          <w:pgMar w:left="320" w:top="216" w:right="339" w:bottom="1440" w:gutter="0" w:footer="0" w:header="0"/>
          <w:type w:val="continuous"/>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percentage of revenue generated by SaaS product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40" w:type="dxa"/>
            <w:vAlign w:val="bottom"/>
            <w:tcBorders>
              <w:bottom w:val="single" w:sz="8" w:color="auto"/>
            </w:tcBorders>
            <w:gridSpan w:val="3"/>
          </w:tcPr>
          <w:p>
            <w:pPr>
              <w:ind w:left="1120"/>
              <w:spacing w:after="0"/>
              <w:rPr>
                <w:sz w:val="20"/>
                <w:szCs w:val="20"/>
                <w:color w:val="auto"/>
              </w:rPr>
            </w:pPr>
            <w:r>
              <w:rPr>
                <w:rFonts w:ascii="Times New Roman" w:cs="Times New Roman" w:eastAsia="Times New Roman" w:hAnsi="Times New Roman"/>
                <w:sz w:val="18"/>
                <w:szCs w:val="18"/>
                <w:b w:val="1"/>
                <w:bCs w:val="1"/>
                <w:i w:val="1"/>
                <w:iCs w:val="1"/>
                <w:color w:val="auto"/>
                <w:w w:val="97"/>
              </w:rPr>
              <w:t>Year Ended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6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Revenue %</w:t>
            </w:r>
          </w:p>
        </w:tc>
        <w:tc>
          <w:tcPr>
            <w:tcW w:w="220" w:type="dxa"/>
            <w:vAlign w:val="bottom"/>
            <w:tcBorders>
              <w:bottom w:val="single" w:sz="8" w:color="CCEEFF"/>
            </w:tcBorders>
          </w:tcPr>
          <w:p>
            <w:pPr>
              <w:spacing w:after="0"/>
              <w:rPr>
                <w:sz w:val="19"/>
                <w:szCs w:val="19"/>
                <w:color w:val="auto"/>
              </w:rPr>
            </w:pPr>
          </w:p>
        </w:tc>
        <w:tc>
          <w:tcPr>
            <w:tcW w:w="19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i w:val="1"/>
                <w:iCs w:val="1"/>
                <w:color w:val="auto"/>
              </w:rPr>
              <w:t>2025</w:t>
            </w:r>
          </w:p>
        </w:tc>
        <w:tc>
          <w:tcPr>
            <w:tcW w:w="3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i w:val="1"/>
                <w:iCs w:val="1"/>
                <w:color w:val="auto"/>
                <w:w w:val="94"/>
              </w:rPr>
              <w:t>2024</w:t>
            </w:r>
          </w:p>
        </w:tc>
        <w:tc>
          <w:tcPr>
            <w:tcW w:w="160" w:type="dxa"/>
            <w:vAlign w:val="bottom"/>
            <w:tcBorders>
              <w:bottom w:val="single" w:sz="8" w:color="CCEEFF"/>
            </w:tcBorders>
          </w:tcPr>
          <w:p>
            <w:pPr>
              <w:spacing w:after="0"/>
              <w:rPr>
                <w:sz w:val="19"/>
                <w:szCs w:val="19"/>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Reach</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7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Demio</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34.2%</w:t>
            </w:r>
          </w:p>
        </w:tc>
        <w:tc>
          <w:tcPr>
            <w:tcW w:w="7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w:t>
            </w:r>
          </w:p>
        </w:tc>
      </w:tr>
      <w:tr>
        <w:trPr>
          <w:trHeight w:val="257"/>
        </w:trPr>
        <w:tc>
          <w:tcPr>
            <w:tcW w:w="69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OpenReel </w:t>
            </w:r>
            <w:r>
              <w:rPr>
                <w:rFonts w:ascii="Times New Roman" w:cs="Times New Roman" w:eastAsia="Times New Roman" w:hAnsi="Times New Roman"/>
                <w:sz w:val="29"/>
                <w:szCs w:val="29"/>
                <w:color w:val="auto"/>
                <w:vertAlign w:val="superscript"/>
              </w:rPr>
              <w:t>1</w:t>
            </w:r>
          </w:p>
        </w:tc>
        <w:tc>
          <w:tcPr>
            <w:tcW w:w="22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45.0%</w:t>
            </w:r>
          </w:p>
        </w:tc>
        <w:tc>
          <w:tcPr>
            <w:tcW w:w="7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70"/>
        </w:trPr>
        <w:tc>
          <w:tcPr>
            <w:tcW w:w="6900" w:type="dxa"/>
            <w:vAlign w:val="bottom"/>
            <w:gridSpan w:val="2"/>
          </w:tcPr>
          <w:p>
            <w:pPr>
              <w:spacing w:after="0" w:line="270" w:lineRule="exact"/>
              <w:rPr>
                <w:sz w:val="20"/>
                <w:szCs w:val="20"/>
                <w:color w:val="auto"/>
              </w:rPr>
            </w:pPr>
            <w:r>
              <w:rPr>
                <w:rFonts w:ascii="Times New Roman" w:cs="Times New Roman" w:eastAsia="Times New Roman" w:hAnsi="Times New Roman"/>
                <w:sz w:val="18"/>
                <w:szCs w:val="18"/>
                <w:color w:val="auto"/>
              </w:rPr>
              <w:t xml:space="preserve">Vidello </w:t>
            </w:r>
            <w:r>
              <w:rPr>
                <w:rFonts w:ascii="Times New Roman" w:cs="Times New Roman" w:eastAsia="Times New Roman" w:hAnsi="Times New Roman"/>
                <w:sz w:val="29"/>
                <w:szCs w:val="29"/>
                <w:color w:val="auto"/>
                <w:vertAlign w:val="superscript"/>
              </w:rPr>
              <w:t>2</w:t>
            </w:r>
          </w:p>
        </w:tc>
        <w:tc>
          <w:tcPr>
            <w:tcW w:w="22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18.6%</w:t>
            </w:r>
          </w:p>
        </w:tc>
        <w:tc>
          <w:tcPr>
            <w:tcW w:w="76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Borders>
              <w:top w:val="single" w:sz="8" w:color="CCEEFF"/>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79"/>
              </w:rPr>
              <w:t>%</w:t>
            </w:r>
          </w:p>
        </w:tc>
        <w:tc>
          <w:tcPr>
            <w:tcW w:w="7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disaggregation of revenue by geographic area, refer to </w:t>
      </w:r>
      <w:r>
        <w:rPr>
          <w:rFonts w:ascii="Times New Roman" w:cs="Times New Roman" w:eastAsia="Times New Roman" w:hAnsi="Times New Roman"/>
          <w:sz w:val="18"/>
          <w:szCs w:val="18"/>
          <w:i w:val="1"/>
          <w:iCs w:val="1"/>
          <w:color w:val="auto"/>
        </w:rPr>
        <w:t>Note 6 – Revenue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December 31, 2025, on January 27, 2026, February 9, 2026, February 25, 2026, and March 30, 2026, the Company entered into exchange agreements with Agile pursuant to which the Company issued an aggregate of approximately 2,931 shares of its Class A Common Stock in exchange for aggregate reductions of approximately $660,000 in the outstanding balance of the March Agile Note. Following these exchanges, the outstanding balance of the March Agile Note was reduced to approximately $1.3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Vesting of Employee Awards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March 31, 2026, approximately 3,420 RSUs granted to employees vested into shares of Class A Common Stock. In addition, the Company will issue 1,885 shares of Class B Common Stock to the Company’s CEO, of which, approximately 1,256 shares relate to a tranche of the CEO Award vesting upon achieving a market capitalization threshold, and the remaining 628 shares relate to the CEO’s 2025 bonus payment. See </w:t>
      </w:r>
      <w:r>
        <w:rPr>
          <w:rFonts w:ascii="Times New Roman" w:cs="Times New Roman" w:eastAsia="Times New Roman" w:hAnsi="Times New Roman"/>
          <w:sz w:val="18"/>
          <w:szCs w:val="18"/>
          <w:i w:val="1"/>
          <w:iCs w:val="1"/>
          <w:color w:val="auto"/>
        </w:rPr>
        <w:t>Note 16, Stock-Based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Yorkville Advanced Notice Settlements and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Company issued Advance Notices to Yorkville pursuant to the SEPA in which the Company requested the purchase of approximately 3,175 shares of the Company’s Class A Common Stock at an aggregate gross value of approximately $700 thousand, and net proceeds of approximately $670 thousand were applied against the outstanding Yorkville Convertible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Offering (3i, LP)</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13, 2026, the parties held an additional closing pursuant to the terms of the Purchase Agreement (the “February Closing”). The Company issued an additional note in the original principal amount of $2,333,333, with an initial conversion price equal to $222.00 per share and issuance date of February 13, 2026 (the “February 3i Note,” together with the August Note, the October Note, and the Initial Note, are collectively referred to herein as the “Notes”), and additional warrants to purchase up to 2,102 shares of Common Stock, at an initial exercise price equal to $500.00 per share (the “February Warrants,” together with the August Warrant, the October Warrants, August Warrants and the Initial Buyer Warrants, are collectively referred to herein as the “Buyer Warrants”), in the February Closing. The February Note matures on February 13, 2027. Other than the maturity date of the February Note and February Warrants, respectively, the February Note and February Warrants have the same terms as those issued on the August Closing, the October Closing and the Initial Closing Date. Upon the issuance of the February Note, the Company received proceeds of approximately $1.6 million, net of original issue discount and issuance fees and costs.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February Note was issued with an original issue discount of 10.0% (the “OID”), as were the other Notes issued on the August Closing, the October Closing and the Initial Closing Date and accrue interest at a rate of 10.0% per annum. The Notes mature 12 months from the date of issuance (the “Maturity Date”), unless extended pursuant to the terms thereof. The Notes are convertible (in whole or in part) at any time prior to the Maturity Date into the number of shares of Common Stock equal to quotient of the Conversion Amount divided by (y) the Conversion Price (the “Conversion Rate”). At no time may the Buyer hold more than 4.99% (or up to 9.99% at the election of the Buyers pursuant to the Notes) of the outstanding Common Stock. The conversion price of the October Note is subject to a floor price of $50.80.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Issuance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12, 2026 and March 17, 2026, the Company issued the eleventh and twelfth promissory notes (the “January 1800 Diagonal Note and “March 1800 Diagonal Note,” respectively) for an aggregate principal amount of approximately $296 thousand and $180 thousand, respectively, and received net proceeds of approximately $250 thousand and $157 thousand, respectively, after discount and transaction fees. The notes have maturity dates of October 15, 2026 and December 15, 2026, respectively and bear interest at 14% per annum.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Issuances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3i, LP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Buyer exercised its contractual conversion option multiple times under the August 3i Note, the October 3i Note, and the February 3i Note and received an aggregate of approximately 14 thousand shares of Class A Common Stock at conversion prices per share ranging from $166.00 to $220.00 in satisfaction of approximately $2.7 million of the Company’s obligations under the respective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1800 Diagonal Conversions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Between January 1, 2026 and March 31, 2026, the Lender exercised its contractual conversion option multiple times under the July 1800 Diagonal Note and September 1800 Diagonal Note and received an aggregate of approximately 2 thousand shares of Class A Common Stock at conversion prices ranging from $165.00 to $186.00 in satisfaction of approximately $392 thousand of the Company’s obligations under the respective Notes.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 the Market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Subsequent to December 31, 2025, the Company issued approximately 11 thousand shares under the ATM Agreement for net proceeds of approximately $2.7 million. The aggregate market value of the shares of Class A Common Stock eligible for sale under the ATM Prospectus Supplement is approximately $1.5 million as of March 31, 2026, which is based on the limitations of General Instruction I.B.6 of Form S-3.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 Announcement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23, 2026, the Company announced that it reached an agreement on terms to acquire assets of ConnectAndSell, Inc. (“ConnectAndSell”), an AI-powered sales enablement platform serving B2B organizations across financial services, healthcare, technology, and other industries. The acquisition is expected to increase Banzai’s annual revenue by approximately $15 million. The two companies have executed a non-binding letter of intent, and the final transaction is expected to close in early second quarter 2026, subject to execution of a definitive agreement and closing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Name Change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October 27, 2026, our company name changed from Banzai International, Inc. to Parabolic Technologies, Inc. following approval by our shareholders.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Authorized Share Increase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October 30, 2026, the Company amended its Second Amended and Restated Certificate of Incorporation to provide for authorized capital stock of 850,000,000 shares (from 350,000,000), consisting of 750,000,000 shares of Class A Common Stock (from 250,000,000), 25,000,000 shares of Class B Common Stock and 75,000,000 shares of Preferred Stock, each with a par value of $0.0001 per share following approval by our shareholders.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MARCH 31, 2026 AND FOR THE THREE MONTHS 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MARCH 31, 2026 AND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CONNECTANDSELL, INC.</w:t>
            </w:r>
          </w:p>
        </w:tc>
        <w:tc>
          <w:tcPr>
            <w:tcW w:w="0" w:type="dxa"/>
            <w:vAlign w:val="bottom"/>
          </w:tcPr>
          <w:p>
            <w:pPr>
              <w:spacing w:after="0"/>
              <w:rPr>
                <w:sz w:val="1"/>
                <w:szCs w:val="1"/>
                <w:color w:val="auto"/>
              </w:rPr>
            </w:pPr>
          </w:p>
        </w:tc>
      </w:tr>
      <w:tr>
        <w:trPr>
          <w:trHeight w:val="238"/>
        </w:trPr>
        <w:tc>
          <w:tcPr>
            <w:tcW w:w="2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0" w:type="dxa"/>
            <w:vAlign w:val="bottom"/>
          </w:tcPr>
          <w:p>
            <w:pPr>
              <w:spacing w:after="0"/>
              <w:rPr>
                <w:sz w:val="1"/>
                <w:szCs w:val="1"/>
                <w:color w:val="auto"/>
              </w:rPr>
            </w:pPr>
          </w:p>
        </w:tc>
      </w:tr>
      <w:tr>
        <w:trPr>
          <w:trHeight w:val="216"/>
        </w:trPr>
        <w:tc>
          <w:tcPr>
            <w:tcW w:w="2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5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5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tc>
        <w:tc>
          <w:tcPr>
            <w:tcW w:w="5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Unaudited Condensed Balance Sheets</w:t>
            </w:r>
          </w:p>
        </w:tc>
        <w:tc>
          <w:tcPr>
            <w:tcW w:w="56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F-103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Operations</w:t>
            </w:r>
          </w:p>
        </w:tc>
        <w:tc>
          <w:tcPr>
            <w:tcW w:w="56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Stockholders’ Deficit</w:t>
            </w:r>
          </w:p>
        </w:tc>
        <w:tc>
          <w:tcPr>
            <w:tcW w:w="56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F-105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Cash Flows</w:t>
            </w:r>
          </w:p>
        </w:tc>
        <w:tc>
          <w:tcPr>
            <w:tcW w:w="56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F-106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56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56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F-107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274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6240" w:type="dxa"/>
            <w:vAlign w:val="bottom"/>
            <w:tcBorders>
              <w:top w:val="single" w:sz="8" w:color="CCEEFF"/>
              <w:bottom w:val="single" w:sz="8" w:color="auto"/>
            </w:tcBorders>
            <w:gridSpan w:val="2"/>
          </w:tcPr>
          <w:p>
            <w:pPr>
              <w:jc w:val="right"/>
              <w:ind w:right="5312"/>
              <w:spacing w:after="0"/>
              <w:rPr>
                <w:sz w:val="20"/>
                <w:szCs w:val="20"/>
                <w:color w:val="auto"/>
              </w:rPr>
            </w:pPr>
            <w:r>
              <w:rPr>
                <w:rFonts w:ascii="Times New Roman" w:cs="Times New Roman" w:eastAsia="Times New Roman" w:hAnsi="Times New Roman"/>
                <w:sz w:val="18"/>
                <w:szCs w:val="18"/>
                <w:color w:val="auto"/>
              </w:rPr>
              <w:t>F-102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BALANCE SHEETS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2026 and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(Audited)</w:t>
            </w: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6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r>
      <w:tr>
        <w:trPr>
          <w:trHeight w:val="210"/>
        </w:trPr>
        <w:tc>
          <w:tcPr>
            <w:tcW w:w="6740" w:type="dxa"/>
            <w:vAlign w:val="bottom"/>
            <w:tcBorders>
              <w:top w:val="single" w:sz="8" w:color="CCEEFF"/>
            </w:tcBorders>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452,782</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1,478,736</w:t>
            </w:r>
          </w:p>
        </w:tc>
      </w:tr>
      <w:tr>
        <w:trPr>
          <w:trHeight w:val="198"/>
        </w:trPr>
        <w:tc>
          <w:tcPr>
            <w:tcW w:w="6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allowance for doubtful accounts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$5,000 and $34,040, respectively</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1,143,176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1,476,913</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39,262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40,702</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173,339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176,329</w:t>
            </w:r>
          </w:p>
        </w:tc>
      </w:tr>
      <w:tr>
        <w:trPr>
          <w:trHeight w:val="229"/>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current portion</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52,452</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1,838,763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3,225,132</w:t>
            </w:r>
          </w:p>
        </w:tc>
      </w:tr>
      <w:tr>
        <w:trPr>
          <w:trHeight w:val="216"/>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14,311</w:t>
            </w:r>
          </w:p>
        </w:tc>
      </w:tr>
      <w:tr>
        <w:trPr>
          <w:trHeight w:val="216"/>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 net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911,647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969,183</w:t>
            </w:r>
          </w:p>
        </w:tc>
      </w:tr>
      <w:tr>
        <w:trPr>
          <w:trHeight w:val="230"/>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42,937</w:t>
            </w:r>
          </w:p>
        </w:tc>
      </w:tr>
      <w:tr>
        <w:trPr>
          <w:trHeight w:val="209"/>
        </w:trPr>
        <w:tc>
          <w:tcPr>
            <w:tcW w:w="6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2,808,601</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4,251,563</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ind w:left="14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Line of credit, net of discount</w:t>
            </w:r>
          </w:p>
        </w:tc>
        <w:tc>
          <w:tcPr>
            <w:tcW w:w="4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207,648</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long-term debt, net of discount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4,961,754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4,961,754</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notes payable and accrued interest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4,139,298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4,057,046</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54,053</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952,921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924,075</w:t>
            </w:r>
          </w:p>
        </w:tc>
      </w:tr>
      <w:tr>
        <w:trPr>
          <w:trHeight w:val="216"/>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990,670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890,412</w:t>
            </w:r>
          </w:p>
        </w:tc>
      </w:tr>
      <w:tr>
        <w:trPr>
          <w:trHeight w:val="216"/>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6,843,043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7,785,463</w:t>
            </w:r>
          </w:p>
        </w:tc>
      </w:tr>
      <w:tr>
        <w:trPr>
          <w:trHeight w:val="230"/>
        </w:trPr>
        <w:tc>
          <w:tcPr>
            <w:tcW w:w="6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stock liability</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1,334,193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1,334,193</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19,252,997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20,214,644</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19,252,997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20,214,644</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3,086,832 shares authorized;</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2,753,489 shares issued and outstanding (aggregate liquidation preference of $812,279)</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751,930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751,930</w:t>
            </w: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$0.0001 par value; 1,913,379 shares authorized;</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943,813 shares issued and outstanding (aggregate liquidation preference of $595,121)</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536,426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536,426</w:t>
            </w:r>
          </w:p>
        </w:tc>
      </w:tr>
      <w:tr>
        <w:trPr>
          <w:trHeight w:val="216"/>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7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140,000,000 shares authorized; 29,653,140 shares</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6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r>
      <w:tr>
        <w:trPr>
          <w:trHeight w:val="216"/>
        </w:trPr>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40,365,502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40,328,485</w:t>
            </w:r>
          </w:p>
        </w:tc>
      </w:tr>
      <w:tr>
        <w:trPr>
          <w:trHeight w:val="230"/>
        </w:trPr>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(58,101,220)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(57,582,888)</w:t>
            </w:r>
          </w:p>
        </w:tc>
      </w:tr>
      <w:tr>
        <w:trPr>
          <w:trHeight w:val="209"/>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(16,444,396)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(15,963,081)</w:t>
            </w:r>
          </w:p>
        </w:tc>
      </w:tr>
      <w:tr>
        <w:trPr>
          <w:trHeight w:val="209"/>
        </w:trPr>
        <w:tc>
          <w:tcPr>
            <w:tcW w:w="6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2,808,601</w:t>
            </w: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4,251,563</w:t>
            </w:r>
          </w:p>
        </w:tc>
      </w:tr>
      <w:tr>
        <w:trPr>
          <w:trHeight w:val="20"/>
        </w:trPr>
        <w:tc>
          <w:tcPr>
            <w:tcW w:w="6980" w:type="dxa"/>
            <w:vAlign w:val="bottom"/>
            <w:gridSpan w:val="2"/>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9100" w:type="dxa"/>
            <w:vAlign w:val="bottom"/>
            <w:gridSpan w:val="5"/>
          </w:tcPr>
          <w:p>
            <w:pPr>
              <w:ind w:left="3640"/>
              <w:spacing w:after="0"/>
              <w:rPr>
                <w:sz w:val="20"/>
                <w:szCs w:val="20"/>
                <w:color w:val="auto"/>
              </w:rPr>
            </w:pPr>
            <w:r>
              <w:rPr>
                <w:rFonts w:ascii="Times New Roman" w:cs="Times New Roman" w:eastAsia="Times New Roman" w:hAnsi="Times New Roman"/>
                <w:sz w:val="18"/>
                <w:szCs w:val="18"/>
                <w:color w:val="auto"/>
              </w:rPr>
              <w:t>See notes to unaudited condensed financial statements.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74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F-103</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3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140" w:type="dxa"/>
            <w:vAlign w:val="bottom"/>
            <w:gridSpan w:val="2"/>
            <w:shd w:val="clear" w:color="auto" w:fill="CCEEFF"/>
          </w:tcPr>
          <w:p>
            <w:pPr>
              <w:jc w:val="right"/>
              <w:ind w:right="10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3,090,625</w:t>
            </w:r>
          </w:p>
        </w:tc>
        <w:tc>
          <w:tcPr>
            <w:tcW w:w="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3,485,515</w:t>
            </w:r>
          </w:p>
        </w:tc>
      </w:tr>
      <w:tr>
        <w:trPr>
          <w:trHeight w:val="216"/>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376,206</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567,220</w:t>
            </w:r>
          </w:p>
        </w:tc>
      </w:tr>
      <w:tr>
        <w:trPr>
          <w:trHeight w:val="210"/>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2,714,419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2,918,295</w:t>
            </w:r>
          </w:p>
        </w:tc>
      </w:tr>
      <w:tr>
        <w:trPr>
          <w:trHeight w:val="209"/>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803,991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701,977</w:t>
            </w: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9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1,422,676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1,756,936</w:t>
            </w:r>
          </w:p>
        </w:tc>
      </w:tr>
      <w:tr>
        <w:trPr>
          <w:trHeight w:val="229"/>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700,836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741,306</w:t>
            </w:r>
          </w:p>
        </w:tc>
      </w:tr>
      <w:tr>
        <w:trPr>
          <w:trHeight w:val="210"/>
        </w:trPr>
        <w:tc>
          <w:tcPr>
            <w:tcW w:w="50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2" w:lineRule="exact"/>
        <w:rPr>
          <w:sz w:val="20"/>
          <w:szCs w:val="20"/>
          <w:color w:val="auto"/>
        </w:rPr>
      </w:pPr>
    </w:p>
    <w:p>
      <w:pPr>
        <w:ind w:right="320"/>
        <w:spacing w:after="0" w:line="516" w:lineRule="auto"/>
        <w:rPr>
          <w:sz w:val="20"/>
          <w:szCs w:val="20"/>
          <w:color w:val="auto"/>
        </w:rPr>
      </w:pPr>
      <w:r>
        <w:rPr>
          <w:rFonts w:ascii="Times New Roman" w:cs="Times New Roman" w:eastAsia="Times New Roman" w:hAnsi="Times New Roman"/>
          <w:sz w:val="18"/>
          <w:szCs w:val="18"/>
          <w:b w:val="1"/>
          <w:bCs w:val="1"/>
          <w:color w:val="auto"/>
        </w:rPr>
        <w:t>Net loss before provision for taxes Income tax provision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ind w:left="4540"/>
        <w:spacing w:after="0"/>
        <w:tabs>
          <w:tab w:leader="none" w:pos="6760" w:val="left"/>
        </w:tabs>
        <w:rPr>
          <w:sz w:val="20"/>
          <w:szCs w:val="20"/>
          <w:color w:val="auto"/>
        </w:rPr>
      </w:pPr>
      <w:r>
        <w:rPr>
          <w:rFonts w:ascii="Times New Roman" w:cs="Times New Roman" w:eastAsia="Times New Roman" w:hAnsi="Times New Roman"/>
          <w:sz w:val="18"/>
          <w:szCs w:val="18"/>
          <w:color w:val="auto"/>
        </w:rPr>
        <w:t>2,927,503</w:t>
      </w:r>
      <w:r>
        <w:rPr>
          <w:sz w:val="20"/>
          <w:szCs w:val="20"/>
          <w:color w:val="auto"/>
        </w:rPr>
        <w:tab/>
      </w:r>
      <w:r>
        <w:rPr>
          <w:rFonts w:ascii="Times New Roman" w:cs="Times New Roman" w:eastAsia="Times New Roman" w:hAnsi="Times New Roman"/>
          <w:sz w:val="18"/>
          <w:szCs w:val="18"/>
          <w:color w:val="auto"/>
        </w:rPr>
        <w:t>3,200,219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14605</wp:posOffset>
            </wp:positionV>
            <wp:extent cx="7132320" cy="145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14" w:lineRule="exact"/>
        <w:rPr>
          <w:sz w:val="20"/>
          <w:szCs w:val="20"/>
          <w:color w:val="auto"/>
        </w:rPr>
      </w:pPr>
    </w:p>
    <w:p>
      <w:pPr>
        <w:jc w:val="both"/>
        <w:ind w:left="4620"/>
        <w:spacing w:after="0"/>
        <w:tabs>
          <w:tab w:leader="none" w:pos="6820" w:val="left"/>
        </w:tabs>
        <w:rPr>
          <w:sz w:val="20"/>
          <w:szCs w:val="20"/>
          <w:color w:val="auto"/>
        </w:rPr>
      </w:pPr>
      <w:r>
        <w:rPr>
          <w:rFonts w:ascii="Times New Roman" w:cs="Times New Roman" w:eastAsia="Times New Roman" w:hAnsi="Times New Roman"/>
          <w:sz w:val="18"/>
          <w:szCs w:val="18"/>
          <w:color w:val="auto"/>
        </w:rPr>
        <w:t>(213,084)</w:t>
      </w:r>
      <w:r>
        <w:rPr>
          <w:sz w:val="20"/>
          <w:szCs w:val="20"/>
          <w:color w:val="auto"/>
        </w:rPr>
        <w:tab/>
      </w:r>
      <w:r>
        <w:rPr>
          <w:rFonts w:ascii="Times New Roman" w:cs="Times New Roman" w:eastAsia="Times New Roman" w:hAnsi="Times New Roman"/>
          <w:sz w:val="18"/>
          <w:szCs w:val="18"/>
          <w:color w:val="auto"/>
        </w:rPr>
        <w:t>(281,924)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17145</wp:posOffset>
            </wp:positionV>
            <wp:extent cx="7132320" cy="1371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left="4860"/>
        <w:spacing w:after="0"/>
        <w:tabs>
          <w:tab w:leader="none" w:pos="7000" w:val="left"/>
        </w:tabs>
        <w:rPr>
          <w:sz w:val="20"/>
          <w:szCs w:val="20"/>
          <w:color w:val="auto"/>
        </w:rPr>
      </w:pPr>
      <w:r>
        <w:rPr>
          <w:rFonts w:ascii="Times New Roman" w:cs="Times New Roman" w:eastAsia="Times New Roman" w:hAnsi="Times New Roman"/>
          <w:sz w:val="18"/>
          <w:szCs w:val="18"/>
          <w:color w:val="auto"/>
        </w:rPr>
        <w:t>1,430</w:t>
      </w:r>
      <w:r>
        <w:rPr>
          <w:sz w:val="20"/>
          <w:szCs w:val="20"/>
          <w:color w:val="auto"/>
        </w:rPr>
        <w:tab/>
      </w:r>
      <w:r>
        <w:rPr>
          <w:rFonts w:ascii="Times New Roman" w:cs="Times New Roman" w:eastAsia="Times New Roman" w:hAnsi="Times New Roman"/>
          <w:sz w:val="18"/>
          <w:szCs w:val="18"/>
          <w:color w:val="auto"/>
        </w:rPr>
        <w:t>(1,022)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17145</wp:posOffset>
            </wp:positionV>
            <wp:extent cx="7132320" cy="13716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color w:val="auto"/>
        </w:rPr>
        <w:t>(299,102)</w:t>
      </w:r>
      <w:r>
        <w:rPr>
          <w:sz w:val="20"/>
          <w:szCs w:val="20"/>
          <w:color w:val="auto"/>
        </w:rPr>
        <w:tab/>
      </w:r>
      <w:r>
        <w:rPr>
          <w:rFonts w:ascii="Times New Roman" w:cs="Times New Roman" w:eastAsia="Times New Roman" w:hAnsi="Times New Roman"/>
          <w:sz w:val="18"/>
          <w:szCs w:val="18"/>
          <w:color w:val="auto"/>
        </w:rPr>
        <w:t>(1,607,126)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26035</wp:posOffset>
            </wp:positionV>
            <wp:extent cx="713232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jc w:val="both"/>
        <w:ind w:left="4620"/>
        <w:spacing w:after="0"/>
        <w:tabs>
          <w:tab w:leader="none" w:pos="6700" w:val="left"/>
        </w:tabs>
        <w:rPr>
          <w:sz w:val="20"/>
          <w:szCs w:val="20"/>
          <w:color w:val="auto"/>
        </w:rPr>
      </w:pPr>
      <w:r>
        <w:rPr>
          <w:rFonts w:ascii="Times New Roman" w:cs="Times New Roman" w:eastAsia="Times New Roman" w:hAnsi="Times New Roman"/>
          <w:sz w:val="18"/>
          <w:szCs w:val="18"/>
          <w:color w:val="auto"/>
        </w:rPr>
        <w:t>(510,756)</w:t>
      </w:r>
      <w:r>
        <w:rPr>
          <w:sz w:val="20"/>
          <w:szCs w:val="20"/>
          <w:color w:val="auto"/>
        </w:rPr>
        <w:tab/>
      </w:r>
      <w:r>
        <w:rPr>
          <w:rFonts w:ascii="Times New Roman" w:cs="Times New Roman" w:eastAsia="Times New Roman" w:hAnsi="Times New Roman"/>
          <w:sz w:val="18"/>
          <w:szCs w:val="18"/>
          <w:color w:val="auto"/>
        </w:rPr>
        <w:t>(1,890,072)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17145</wp:posOffset>
            </wp:positionV>
            <wp:extent cx="713232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right"/>
        <w:ind w:right="40"/>
        <w:spacing w:after="0"/>
        <w:tabs>
          <w:tab w:leader="none" w:pos="380" w:val="left"/>
        </w:tabs>
        <w:rPr>
          <w:sz w:val="20"/>
          <w:szCs w:val="20"/>
          <w:color w:val="auto"/>
        </w:rPr>
      </w:pPr>
      <w:r>
        <w:rPr>
          <w:rFonts w:ascii="Times New Roman" w:cs="Times New Roman" w:eastAsia="Times New Roman" w:hAnsi="Times New Roman"/>
          <w:sz w:val="18"/>
          <w:szCs w:val="18"/>
          <w:color w:val="auto"/>
        </w:rPr>
        <w:t>(7,576)</w:t>
      </w:r>
      <w:r>
        <w:rPr>
          <w:sz w:val="20"/>
          <w:szCs w:val="20"/>
          <w:color w:val="auto"/>
        </w:rPr>
        <w:tab/>
      </w:r>
      <w:r>
        <w:rPr>
          <w:rFonts w:ascii="Times New Roman" w:cs="Times New Roman" w:eastAsia="Times New Roman" w:hAnsi="Times New Roman"/>
          <w:sz w:val="18"/>
          <w:szCs w:val="18"/>
          <w:color w:val="auto"/>
        </w:rPr>
        <w:t>(266)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26035</wp:posOffset>
            </wp:positionV>
            <wp:extent cx="7132320" cy="146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8" w:lineRule="exact"/>
        <w:rPr>
          <w:sz w:val="20"/>
          <w:szCs w:val="20"/>
          <w:color w:val="auto"/>
        </w:rPr>
      </w:pPr>
    </w:p>
    <w:p>
      <w:pPr>
        <w:jc w:val="both"/>
        <w:ind w:left="3340"/>
        <w:spacing w:after="0"/>
        <w:tabs>
          <w:tab w:leader="none" w:pos="4600" w:val="left"/>
          <w:tab w:leader="none" w:pos="5560" w:val="left"/>
          <w:tab w:leader="none" w:pos="670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(518,332)</w:t>
        <w:tab/>
        <w:t>$</w:t>
      </w:r>
      <w:r>
        <w:rPr>
          <w:sz w:val="20"/>
          <w:szCs w:val="20"/>
          <w:color w:val="auto"/>
        </w:rPr>
        <w:tab/>
      </w:r>
      <w:r>
        <w:rPr>
          <w:rFonts w:ascii="Times New Roman" w:cs="Times New Roman" w:eastAsia="Times New Roman" w:hAnsi="Times New Roman"/>
          <w:sz w:val="18"/>
          <w:szCs w:val="18"/>
          <w:b w:val="1"/>
          <w:bCs w:val="1"/>
          <w:color w:val="auto"/>
        </w:rPr>
        <w:t>(1,890,338)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2125345</wp:posOffset>
            </wp:positionH>
            <wp:positionV relativeFrom="paragraph">
              <wp:posOffset>28575</wp:posOffset>
            </wp:positionV>
            <wp:extent cx="26314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36" w:lineRule="exact"/>
        <w:rPr>
          <w:sz w:val="20"/>
          <w:szCs w:val="20"/>
          <w:color w:val="auto"/>
        </w:rPr>
      </w:pPr>
    </w:p>
    <w:p>
      <w:pPr>
        <w:jc w:val="center"/>
        <w:ind w:right="3640"/>
        <w:spacing w:after="0"/>
        <w:rPr>
          <w:sz w:val="20"/>
          <w:szCs w:val="20"/>
          <w:color w:val="auto"/>
        </w:rPr>
      </w:pPr>
      <w:r>
        <w:rPr>
          <w:rFonts w:ascii="Times New Roman" w:cs="Times New Roman" w:eastAsia="Times New Roman" w:hAnsi="Times New Roman"/>
          <w:sz w:val="18"/>
          <w:szCs w:val="18"/>
          <w:color w:val="auto"/>
        </w:rPr>
        <w:t>See notes to unaudited condensed financial statements.</w:t>
      </w:r>
    </w:p>
    <w:p>
      <w:pPr>
        <w:spacing w:after="0" w:line="22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-2305685</wp:posOffset>
            </wp:positionH>
            <wp:positionV relativeFrom="paragraph">
              <wp:posOffset>26035</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2">
            <w:col w:w="2920" w:space="720"/>
            <w:col w:w="7600"/>
          </w:cols>
          <w:pgMar w:left="320" w:top="229" w:right="339" w:bottom="1440" w:gutter="0" w:footer="0" w:header="0"/>
          <w:type w:val="continuous"/>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STATEMENTS OF STOCKHOLDERS’ DEFICIT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920" w:type="dxa"/>
            <w:vAlign w:val="bottom"/>
          </w:tcPr>
          <w:p>
            <w:pPr>
              <w:spacing w:after="0"/>
              <w:rPr>
                <w:sz w:val="21"/>
                <w:szCs w:val="21"/>
                <w:color w:val="auto"/>
              </w:rPr>
            </w:pPr>
          </w:p>
        </w:tc>
        <w:tc>
          <w:tcPr>
            <w:tcW w:w="3400" w:type="dxa"/>
            <w:vAlign w:val="bottom"/>
            <w:gridSpan w:val="9"/>
          </w:tcPr>
          <w:p>
            <w:pPr>
              <w:ind w:left="560"/>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23"/>
        </w:trPr>
        <w:tc>
          <w:tcPr>
            <w:tcW w:w="1920" w:type="dxa"/>
            <w:vAlign w:val="bottom"/>
          </w:tcPr>
          <w:p>
            <w:pPr>
              <w:spacing w:after="0"/>
              <w:rPr>
                <w:sz w:val="19"/>
                <w:szCs w:val="19"/>
                <w:color w:val="auto"/>
              </w:rPr>
            </w:pPr>
          </w:p>
        </w:tc>
        <w:tc>
          <w:tcPr>
            <w:tcW w:w="1780" w:type="dxa"/>
            <w:vAlign w:val="bottom"/>
            <w:tcBorders>
              <w:top w:val="single" w:sz="8" w:color="auto"/>
            </w:tcBorders>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1500" w:type="dxa"/>
            <w:vAlign w:val="bottom"/>
            <w:tcBorders>
              <w:top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Series B</w:t>
            </w:r>
          </w:p>
        </w:tc>
        <w:tc>
          <w:tcPr>
            <w:tcW w:w="120" w:type="dxa"/>
            <w:vAlign w:val="bottom"/>
          </w:tcPr>
          <w:p>
            <w:pPr>
              <w:spacing w:after="0"/>
              <w:rPr>
                <w:sz w:val="19"/>
                <w:szCs w:val="19"/>
                <w:color w:val="auto"/>
              </w:rPr>
            </w:pPr>
          </w:p>
        </w:tc>
        <w:tc>
          <w:tcPr>
            <w:tcW w:w="1860" w:type="dxa"/>
            <w:vAlign w:val="bottom"/>
            <w:gridSpan w:val="6"/>
          </w:tcPr>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9"/>
                <w:szCs w:val="19"/>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23"/>
        </w:trPr>
        <w:tc>
          <w:tcPr>
            <w:tcW w:w="1920" w:type="dxa"/>
            <w:vAlign w:val="bottom"/>
          </w:tcPr>
          <w:p>
            <w:pPr>
              <w:spacing w:after="0"/>
              <w:rPr>
                <w:sz w:val="19"/>
                <w:szCs w:val="19"/>
                <w:color w:val="auto"/>
              </w:rPr>
            </w:pPr>
          </w:p>
        </w:tc>
        <w:tc>
          <w:tcPr>
            <w:tcW w:w="8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7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9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40" w:type="dxa"/>
            <w:vAlign w:val="bottom"/>
          </w:tcPr>
          <w:p>
            <w:pPr>
              <w:spacing w:after="0"/>
              <w:rPr>
                <w:sz w:val="19"/>
                <w:szCs w:val="19"/>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Deficit</w:t>
            </w:r>
          </w:p>
        </w:tc>
      </w:tr>
      <w:tr>
        <w:trPr>
          <w:trHeight w:val="174"/>
        </w:trPr>
        <w:tc>
          <w:tcPr>
            <w:tcW w:w="192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w:t>
            </w:r>
          </w:p>
        </w:tc>
        <w:tc>
          <w:tcPr>
            <w:tcW w:w="8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5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2,753,489</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$ 751,930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943,813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$ 536,426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29,658,140</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2,966</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39,536,082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(54,471,420)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(13,644,016)</w:t>
            </w:r>
          </w:p>
        </w:tc>
      </w:tr>
      <w:tr>
        <w:trPr>
          <w:trHeight w:val="178"/>
        </w:trPr>
        <w:tc>
          <w:tcPr>
            <w:tcW w:w="1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Stock-based</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174,000</w:t>
            </w:r>
          </w:p>
        </w:tc>
        <w:tc>
          <w:tcPr>
            <w:tcW w:w="1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80" w:type="dxa"/>
            <w:vAlign w:val="bottom"/>
          </w:tcPr>
          <w:p>
            <w:pPr>
              <w:spacing w:after="0"/>
              <w:rPr>
                <w:sz w:val="20"/>
                <w:szCs w:val="20"/>
                <w:color w:val="auto"/>
              </w:rPr>
            </w:pPr>
          </w:p>
        </w:tc>
      </w:tr>
      <w:tr>
        <w:trPr>
          <w:trHeight w:val="23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(1,890,338)</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(1,890,338)</w:t>
            </w:r>
          </w:p>
        </w:tc>
      </w:tr>
      <w:tr>
        <w:trPr>
          <w:trHeight w:val="174"/>
        </w:trPr>
        <w:tc>
          <w:tcPr>
            <w:tcW w:w="19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305"/>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2,753,489</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$ 751,930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943,813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$ 536,426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29,658,140</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2,966</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39,710,082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(56,361,758)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(15,360,354)</w:t>
            </w:r>
          </w:p>
        </w:tc>
      </w:tr>
      <w:tr>
        <w:trPr>
          <w:trHeight w:val="147"/>
        </w:trPr>
        <w:tc>
          <w:tcPr>
            <w:tcW w:w="192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Balance at December</w:t>
            </w:r>
          </w:p>
        </w:tc>
        <w:tc>
          <w:tcPr>
            <w:tcW w:w="8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r>
      <w:tr>
        <w:trPr>
          <w:trHeight w:val="252"/>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31, 2025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2,753,489</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$ 751,930</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943,813</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$ 536,426</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29,658,140</w:t>
            </w:r>
          </w:p>
        </w:tc>
        <w:tc>
          <w:tcPr>
            <w:tcW w:w="2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2,966</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40,328,485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(57,582,888)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(15,963,081)</w:t>
            </w:r>
          </w:p>
        </w:tc>
      </w:tr>
      <w:tr>
        <w:trPr>
          <w:trHeight w:val="178"/>
        </w:trPr>
        <w:tc>
          <w:tcPr>
            <w:tcW w:w="192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Stock-based</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37,017</w:t>
            </w:r>
          </w:p>
        </w:tc>
        <w:tc>
          <w:tcPr>
            <w:tcW w:w="14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37,017</w:t>
            </w:r>
          </w:p>
        </w:tc>
        <w:tc>
          <w:tcPr>
            <w:tcW w:w="80" w:type="dxa"/>
            <w:vAlign w:val="bottom"/>
          </w:tcPr>
          <w:p>
            <w:pPr>
              <w:spacing w:after="0"/>
              <w:rPr>
                <w:sz w:val="20"/>
                <w:szCs w:val="20"/>
                <w:color w:val="auto"/>
              </w:rPr>
            </w:pPr>
          </w:p>
        </w:tc>
      </w:tr>
      <w:tr>
        <w:trPr>
          <w:trHeight w:val="230"/>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(518,332)</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(518,332)</w:t>
            </w:r>
          </w:p>
        </w:tc>
      </w:tr>
      <w:tr>
        <w:trPr>
          <w:trHeight w:val="174"/>
        </w:trPr>
        <w:tc>
          <w:tcPr>
            <w:tcW w:w="192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8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65"/>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2,753,489</w:t>
            </w: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$ 751,930</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943,813</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$ 536,426</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29,658,140</w:t>
            </w: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2,966</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40,365,502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(58,101,220)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(16,444,396)</w:t>
            </w:r>
          </w:p>
        </w:tc>
      </w:tr>
      <w:tr>
        <w:trPr>
          <w:trHeight w:val="20"/>
        </w:trPr>
        <w:tc>
          <w:tcPr>
            <w:tcW w:w="19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r>
      <w:tr>
        <w:trPr>
          <w:trHeight w:val="20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(518,332)</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(1,890,338)</w:t>
            </w: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175,263</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202,422</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15,174</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37,017</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22,248</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20,933</w:t>
            </w:r>
          </w:p>
        </w:tc>
      </w:tr>
      <w:tr>
        <w:trPr>
          <w:trHeight w:val="216"/>
        </w:trPr>
        <w:tc>
          <w:tcPr>
            <w:tcW w:w="6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1,334,193</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333,737</w:t>
            </w:r>
          </w:p>
        </w:tc>
        <w:tc>
          <w:tcPr>
            <w:tcW w:w="4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929,833</w:t>
            </w: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1,440</w:t>
            </w:r>
          </w:p>
        </w:tc>
        <w:tc>
          <w:tcPr>
            <w:tcW w:w="44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2,990</w:t>
            </w:r>
          </w:p>
        </w:tc>
        <w:tc>
          <w:tcPr>
            <w:tcW w:w="44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(134,714)</w:t>
            </w:r>
          </w:p>
        </w:tc>
      </w:tr>
      <w:tr>
        <w:trPr>
          <w:trHeight w:val="216"/>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Lease liability</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(22,935)</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(20,933)</w:t>
            </w:r>
          </w:p>
        </w:tc>
      </w:tr>
      <w:tr>
        <w:trPr>
          <w:trHeight w:val="216"/>
        </w:trPr>
        <w:tc>
          <w:tcPr>
            <w:tcW w:w="6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28,846</w:t>
            </w:r>
          </w:p>
        </w:tc>
        <w:tc>
          <w:tcPr>
            <w:tcW w:w="44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(172,546)</w:t>
            </w:r>
          </w:p>
        </w:tc>
      </w:tr>
      <w:tr>
        <w:trPr>
          <w:trHeight w:val="216"/>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100,258</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58,992</w:t>
            </w:r>
          </w:p>
        </w:tc>
      </w:tr>
      <w:tr>
        <w:trPr>
          <w:trHeight w:val="216"/>
        </w:trPr>
        <w:tc>
          <w:tcPr>
            <w:tcW w:w="67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interest on related party notes payable</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207,252</w:t>
            </w:r>
          </w:p>
        </w:tc>
        <w:tc>
          <w:tcPr>
            <w:tcW w:w="44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47,905</w:t>
            </w:r>
          </w:p>
        </w:tc>
      </w:tr>
      <w:tr>
        <w:trPr>
          <w:trHeight w:val="230"/>
        </w:trPr>
        <w:tc>
          <w:tcPr>
            <w:tcW w:w="67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(942,420)</w:t>
            </w:r>
          </w:p>
        </w:tc>
        <w:tc>
          <w:tcPr>
            <w:tcW w:w="440" w:type="dxa"/>
            <w:vAlign w:val="bottom"/>
            <w:shd w:val="clear" w:color="auto" w:fill="CCEEFF"/>
          </w:tcPr>
          <w:p>
            <w:pPr>
              <w:spacing w:after="0"/>
              <w:rPr>
                <w:sz w:val="19"/>
                <w:szCs w:val="19"/>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431,185</w:t>
            </w:r>
          </w:p>
        </w:tc>
        <w:tc>
          <w:tcPr>
            <w:tcW w:w="80" w:type="dxa"/>
            <w:vAlign w:val="bottom"/>
            <w:shd w:val="clear" w:color="auto" w:fill="CCEEFF"/>
          </w:tcPr>
          <w:p>
            <w:pPr>
              <w:spacing w:after="0"/>
              <w:rPr>
                <w:sz w:val="19"/>
                <w:szCs w:val="19"/>
                <w:color w:val="auto"/>
              </w:rPr>
            </w:pPr>
          </w:p>
        </w:tc>
      </w:tr>
      <w:tr>
        <w:trPr>
          <w:trHeight w:val="209"/>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(574,636)</w:t>
            </w:r>
          </w:p>
        </w:tc>
        <w:tc>
          <w:tcPr>
            <w:tcW w:w="440" w:type="dxa"/>
            <w:vAlign w:val="bottom"/>
            <w:shd w:val="clear" w:color="auto" w:fill="CCEEFF"/>
          </w:tcPr>
          <w:p>
            <w:pPr>
              <w:spacing w:after="0"/>
              <w:rPr>
                <w:sz w:val="19"/>
                <w:szCs w:val="19"/>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996,106</w:t>
            </w:r>
          </w:p>
        </w:tc>
        <w:tc>
          <w:tcPr>
            <w:tcW w:w="80" w:type="dxa"/>
            <w:vAlign w:val="bottom"/>
            <w:shd w:val="clear" w:color="auto" w:fill="CCEEFF"/>
          </w:tcPr>
          <w:p>
            <w:pPr>
              <w:spacing w:after="0"/>
              <w:rPr>
                <w:sz w:val="19"/>
                <w:szCs w:val="19"/>
                <w:color w:val="auto"/>
              </w:rPr>
            </w:pPr>
          </w:p>
        </w:tc>
      </w:tr>
      <w:tr>
        <w:trPr>
          <w:trHeight w:val="210"/>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internal use software development costs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(115,193)</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(153,864)</w:t>
            </w: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(3,477)</w:t>
            </w:r>
          </w:p>
        </w:tc>
        <w:tc>
          <w:tcPr>
            <w:tcW w:w="4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10"/>
        </w:trPr>
        <w:tc>
          <w:tcPr>
            <w:tcW w:w="6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7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(118,670)</w:t>
            </w:r>
          </w:p>
        </w:tc>
        <w:tc>
          <w:tcPr>
            <w:tcW w:w="440" w:type="dxa"/>
            <w:vAlign w:val="bottom"/>
          </w:tcPr>
          <w:p>
            <w:pPr>
              <w:spacing w:after="0"/>
              <w:rPr>
                <w:sz w:val="19"/>
                <w:szCs w:val="19"/>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(153,864)</w:t>
            </w:r>
          </w:p>
        </w:tc>
      </w:tr>
      <w:tr>
        <w:trPr>
          <w:trHeight w:val="209"/>
        </w:trPr>
        <w:tc>
          <w:tcPr>
            <w:tcW w:w="67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line of credit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2,274,340</w:t>
            </w:r>
          </w:p>
        </w:tc>
        <w:tc>
          <w:tcPr>
            <w:tcW w:w="44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3,858,781</w:t>
            </w:r>
          </w:p>
        </w:tc>
        <w:tc>
          <w:tcPr>
            <w:tcW w:w="80" w:type="dxa"/>
            <w:vAlign w:val="bottom"/>
            <w:shd w:val="clear" w:color="auto" w:fill="CCEEFF"/>
          </w:tcPr>
          <w:p>
            <w:pPr>
              <w:spacing w:after="0"/>
              <w:rPr>
                <w:sz w:val="18"/>
                <w:szCs w:val="18"/>
                <w:color w:val="auto"/>
              </w:rPr>
            </w:pPr>
          </w:p>
        </w:tc>
      </w:tr>
      <w:tr>
        <w:trPr>
          <w:trHeight w:val="216"/>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(2,481,988)</w:t>
            </w:r>
          </w:p>
        </w:tc>
        <w:tc>
          <w:tcPr>
            <w:tcW w:w="44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(4,828,898)</w:t>
            </w:r>
          </w:p>
        </w:tc>
      </w:tr>
      <w:tr>
        <w:trPr>
          <w:trHeight w:val="229"/>
        </w:trPr>
        <w:tc>
          <w:tcPr>
            <w:tcW w:w="6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related party notes</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(125,000)</w:t>
            </w:r>
          </w:p>
        </w:tc>
        <w:tc>
          <w:tcPr>
            <w:tcW w:w="4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(300,000)</w:t>
            </w:r>
          </w:p>
        </w:tc>
      </w:tr>
      <w:tr>
        <w:trPr>
          <w:trHeight w:val="210"/>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(332,648)</w:t>
            </w:r>
          </w:p>
        </w:tc>
        <w:tc>
          <w:tcPr>
            <w:tcW w:w="4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(1,270,117)</w:t>
            </w:r>
          </w:p>
        </w:tc>
      </w:tr>
      <w:tr>
        <w:trPr>
          <w:trHeight w:val="210"/>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(1,025,954)</w:t>
            </w:r>
          </w:p>
        </w:tc>
        <w:tc>
          <w:tcPr>
            <w:tcW w:w="44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(427,875)</w:t>
            </w: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7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1,478,736</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1,318,599</w:t>
            </w:r>
          </w:p>
        </w:tc>
        <w:tc>
          <w:tcPr>
            <w:tcW w:w="80" w:type="dxa"/>
            <w:vAlign w:val="bottom"/>
            <w:shd w:val="clear" w:color="auto" w:fill="CCEEFF"/>
          </w:tcPr>
          <w:p>
            <w:pPr>
              <w:spacing w:after="0"/>
              <w:rPr>
                <w:sz w:val="19"/>
                <w:szCs w:val="19"/>
                <w:color w:val="auto"/>
              </w:rPr>
            </w:pPr>
          </w:p>
        </w:tc>
      </w:tr>
      <w:tr>
        <w:trPr>
          <w:trHeight w:val="210"/>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7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452,782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890,724</w:t>
            </w:r>
          </w:p>
        </w:tc>
        <w:tc>
          <w:tcPr>
            <w:tcW w:w="80" w:type="dxa"/>
            <w:vAlign w:val="bottom"/>
            <w:shd w:val="clear" w:color="auto" w:fill="CCEEFF"/>
          </w:tcPr>
          <w:p>
            <w:pPr>
              <w:spacing w:after="0"/>
              <w:rPr>
                <w:sz w:val="21"/>
                <w:szCs w:val="2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6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120,525</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198,272</w:t>
            </w:r>
          </w:p>
        </w:tc>
        <w:tc>
          <w:tcPr>
            <w:tcW w:w="80" w:type="dxa"/>
            <w:vAlign w:val="bottom"/>
          </w:tcPr>
          <w:p>
            <w:pPr>
              <w:spacing w:after="0"/>
              <w:rPr>
                <w:sz w:val="19"/>
                <w:szCs w:val="19"/>
                <w:color w:val="auto"/>
              </w:rPr>
            </w:pPr>
          </w:p>
        </w:tc>
      </w:tr>
      <w:tr>
        <w:trPr>
          <w:trHeight w:val="209"/>
        </w:trPr>
        <w:tc>
          <w:tcPr>
            <w:tcW w:w="67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7,576</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deferred stock and related liability</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1,334,193</w:t>
            </w:r>
          </w:p>
        </w:tc>
        <w:tc>
          <w:tcPr>
            <w:tcW w:w="80" w:type="dxa"/>
            <w:vAlign w:val="bottom"/>
          </w:tcPr>
          <w:p>
            <w:pPr>
              <w:spacing w:after="0"/>
              <w:rPr>
                <w:sz w:val="19"/>
                <w:szCs w:val="19"/>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Organization</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As shown in the accompanying financial statements, the Company has negative working capital and has suffered recurring operating losses and, as of March 31, 2026, had an accumulated deficit of $58,101,220, debt that matured in March 2026 and a line of credit that matures in December 2026. These conditions raise substantial doubt about the Company’s ability to continue as a going concern for at least one year from the issuance date of these unaudited condensed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10, the Company is in process of negotiating a sale of the Company. The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in accordance with accounting principles generally accepted in the United States of America (“GAAP”) for interim financial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and capitalization and amortization of software development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from the date of purchase of three months or less to be cash equivalents. As of March 31, 2026 and December 31, 2025, cash and cash equivalents consist of cash deposited with banks. The recorded carrying amount of cash and cash equivalents approximates their fair value. The Company places its cash equivalents with high credit-quality financial institutions.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March 31, 2026 and December 31, 2025, the Company recorded an allowance for credit losses of $5,000 and $34,040, respectively.</w:t>
      </w:r>
    </w:p>
    <w:p>
      <w:pPr>
        <w:spacing w:after="0" w:line="18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accounts receivable for the three months ended March 31, 2026 and 2025:</w:t>
      </w:r>
    </w:p>
    <w:p>
      <w:pPr>
        <w:sectPr>
          <w:pgSz w:w="11900" w:h="16838" w:orient="portrait"/>
          <w:cols w:equalWidth="0" w:num="1">
            <w:col w:w="11240"/>
          </w:cols>
          <w:pgMar w:left="320" w:top="229" w:right="339" w:bottom="1440" w:gutter="0" w:footer="0" w:header="0"/>
        </w:sectPr>
      </w:pPr>
    </w:p>
    <w:p>
      <w:pPr>
        <w:spacing w:after="0" w:line="37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Beginning balance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-116840</wp:posOffset>
            </wp:positionV>
            <wp:extent cx="5700395"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46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Write-offs charged against the allowance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Ending balance as of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40005</wp:posOffset>
            </wp:positionV>
            <wp:extent cx="5700395" cy="1543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6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Beginning balance as of January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19685</wp:posOffset>
            </wp:positionV>
            <wp:extent cx="5700395" cy="13716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Write-offs charged against the allowance</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Ending balance 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-121920</wp:posOffset>
            </wp:positionV>
            <wp:extent cx="5700395" cy="1625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68" w:lineRule="exact"/>
        <w:rPr>
          <w:sz w:val="20"/>
          <w:szCs w:val="20"/>
          <w:color w:val="auto"/>
        </w:rPr>
      </w:pPr>
    </w:p>
    <w:p>
      <w:pPr>
        <w:jc w:val="right"/>
        <w:ind w:right="1940"/>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ind w:left="940" w:hanging="934"/>
        <w:spacing w:after="0"/>
        <w:tabs>
          <w:tab w:leader="none" w:pos="9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271,546</w:t>
      </w:r>
    </w:p>
    <w:p>
      <w:pPr>
        <w:spacing w:after="0" w:line="27"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(60,900)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96837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940" w:hanging="934"/>
        <w:spacing w:after="0"/>
        <w:tabs>
          <w:tab w:leader="none" w:pos="94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210,646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wp:posOffset>
            </wp:positionV>
            <wp:extent cx="96837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50" w:lineRule="exact"/>
        <w:rPr>
          <w:sz w:val="20"/>
          <w:szCs w:val="20"/>
          <w:color w:val="auto"/>
        </w:rPr>
      </w:pPr>
    </w:p>
    <w:p>
      <w:pPr>
        <w:ind w:left="1040" w:hanging="1034"/>
        <w:spacing w:after="0"/>
        <w:tabs>
          <w:tab w:leader="none" w:pos="104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34,040</w:t>
      </w:r>
    </w:p>
    <w:p>
      <w:pPr>
        <w:spacing w:after="0" w:line="27" w:lineRule="exact"/>
        <w:rPr>
          <w:rFonts w:ascii="Times New Roman" w:cs="Times New Roman" w:eastAsia="Times New Roman" w:hAnsi="Times New Roman"/>
          <w:sz w:val="18"/>
          <w:szCs w:val="18"/>
          <w:color w:val="auto"/>
        </w:rPr>
      </w:pPr>
    </w:p>
    <w:p>
      <w:pPr>
        <w:ind w:left="1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(29,040)</w:t>
      </w:r>
    </w:p>
    <w:p>
      <w:pPr>
        <w:spacing w:after="0" w:line="27" w:lineRule="exact"/>
        <w:rPr>
          <w:sz w:val="20"/>
          <w:szCs w:val="20"/>
          <w:color w:val="auto"/>
        </w:rPr>
      </w:pPr>
    </w:p>
    <w:p>
      <w:pPr>
        <w:ind w:left="1120" w:hanging="1114"/>
        <w:spacing w:after="0"/>
        <w:tabs>
          <w:tab w:leader="none" w:pos="11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36830</wp:posOffset>
            </wp:positionV>
            <wp:extent cx="9683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ectPr>
          <w:pgSz w:w="11900" w:h="16838" w:orient="portrait"/>
          <w:cols w:equalWidth="0" w:num="2">
            <w:col w:w="7780" w:space="720"/>
            <w:col w:w="2740"/>
          </w:cols>
          <w:pgMar w:left="320" w:top="229" w:right="339" w:bottom="1440" w:gutter="0" w:footer="0" w:header="0"/>
          <w:type w:val="continuous"/>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and for the three months ended March 31, 2026, the Company had two customers who accounted for approximately 16% and 11% of total accounts receivable and there was one customer who accounted for approximately 19% of total revenues.</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two customers who accounted for approximately 26% and 11% of total accounts receivable. and there was one customer who accounted for approximately 18% of total revenues. For the three months ended March 31, 2025, the Company had one customer who accounted for approximately 14% of total revenues.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amount of an asset may not be recoverable. No such impairments have been identified as of December 31, 2025 or during the three months ended March 31, 2026.</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p>
    <w:p>
      <w:pPr>
        <w:spacing w:after="0" w:line="225"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180" w:lineRule="exact"/>
        <w:rPr>
          <w:sz w:val="20"/>
          <w:szCs w:val="20"/>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The transaction price is allocated to each distinct performance obligation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“Product Type” as it best describes the product offering as it flows through revenue. For all such revenue types, the revenue recognition is over time. The disaggregated revenue for the three months ended March 31 was as follows:</w:t>
      </w:r>
    </w:p>
    <w:p>
      <w:pPr>
        <w:spacing w:after="0" w:line="200" w:lineRule="exact"/>
        <w:rPr>
          <w:sz w:val="20"/>
          <w:szCs w:val="20"/>
          <w:color w:val="auto"/>
        </w:rPr>
      </w:pPr>
    </w:p>
    <w:p>
      <w:pPr>
        <w:spacing w:after="0" w:line="201"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Type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09"/>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Smart Dials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34,427</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94,856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NUL</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2,979,425</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3,312,796</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4,385</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40,950</w:t>
            </w:r>
          </w:p>
        </w:tc>
      </w:tr>
      <w:tr>
        <w:trPr>
          <w:trHeight w:val="229"/>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72,388</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36,913</w:t>
            </w:r>
          </w:p>
        </w:tc>
      </w:tr>
      <w:tr>
        <w:trPr>
          <w:trHeight w:val="223"/>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3,090,625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3,485,515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There are several practical expedients and exemptions allowed under ASC 606 that impact timing of revenue recognition and the Company’s disclosures. Below is a list of practical expedients the Company applied in the adoption and application of ASC 606:</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Application Practical Expedients</w:t>
      </w:r>
    </w:p>
    <w:p>
      <w:pPr>
        <w:spacing w:after="0" w:line="225" w:lineRule="exact"/>
        <w:rPr>
          <w:sz w:val="20"/>
          <w:szCs w:val="20"/>
          <w:color w:val="auto"/>
        </w:rPr>
      </w:pPr>
    </w:p>
    <w:p>
      <w:pPr>
        <w:ind w:left="2280" w:hanging="328"/>
        <w:spacing w:after="0" w:line="282" w:lineRule="auto"/>
        <w:tabs>
          <w:tab w:leader="none" w:pos="2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evaluate a contract for a significant financing component if payment is expected within one year or less from the transfer of the promised items to the customer.</w:t>
      </w:r>
    </w:p>
    <w:p>
      <w:pPr>
        <w:spacing w:after="0" w:line="161"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expenses sales commissions when incurred when the amortization period would have been one year or less. These costs are recorded within sales and marketing expense in the consolidated statements of operations.</w:t>
      </w:r>
    </w:p>
    <w:p>
      <w:pPr>
        <w:spacing w:after="0" w:line="161" w:lineRule="exact"/>
        <w:rPr>
          <w:rFonts w:ascii="Times New Roman" w:cs="Times New Roman" w:eastAsia="Times New Roman" w:hAnsi="Times New Roman"/>
          <w:sz w:val="18"/>
          <w:szCs w:val="18"/>
          <w:color w:val="auto"/>
        </w:rPr>
      </w:pPr>
    </w:p>
    <w:p>
      <w:pPr>
        <w:ind w:left="2280" w:hanging="328"/>
        <w:spacing w:after="0" w:line="282" w:lineRule="auto"/>
        <w:tabs>
          <w:tab w:leader="none" w:pos="22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opening balances (January 1, 2025) of contract assets and liabilities were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3,141,063</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7,444,552</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Costs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Costs to Obtain Contracts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only incremental costs incurred to obtain contracts with customers within the scope of ASC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March 31, 2026 and December 31, 2025.</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applies the practical expedient in ASC 606 and expenses costs as incurred for sales commissions when the amortization period would have been one year or less.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Costs to Fulfill Contracts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 fulfillment costs associated with its contracts do not meet the capitalization criteria in Topic 340 and should not be capitalized and amortized.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costs are charged to operations as incurred.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Internal-use Software</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as of December 31, 2025 or during the three months ended March 31, 2026 and 2025.</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Advertising</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advertising, including promotional expenses, as incurred. Advertising expense for the three months ended March 31, 2026 and 2025 was $3,762 and $43,135, respectively and included in sales and marketing expenses in the statement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adoption of ASU 2025-05 did not have a material impact on the Company’s financial statements.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spacing w:after="0" w:line="183" w:lineRule="exact"/>
        <w:rPr>
          <w:sz w:val="20"/>
          <w:szCs w:val="20"/>
          <w:color w:val="auto"/>
        </w:rPr>
      </w:pPr>
    </w:p>
    <w:p>
      <w:pPr>
        <w:ind w:left="1300" w:hanging="320"/>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Includes other inputs that are directly or indirectly observable in the marketplace.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major categories of assets and liabilities measured at fair value at March 31, 2026 and December 31, 2025 are cash and cash equivalents, which are Level 1 and the deferred stock liability (see Note 6), which is Level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SIGNIFICANT BALANCE SHEET COMPONENTS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5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35,956</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11,420</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20,646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31,344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31,344</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1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50,025</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75,107</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13,276</w:t>
            </w:r>
          </w:p>
        </w:tc>
        <w:tc>
          <w:tcPr>
            <w:tcW w:w="1680" w:type="dxa"/>
            <w:vAlign w:val="bottom"/>
          </w:tcPr>
          <w:p>
            <w:pPr>
              <w:spacing w:after="0"/>
              <w:rPr>
                <w:sz w:val="18"/>
                <w:szCs w:val="18"/>
                <w:color w:val="auto"/>
              </w:rPr>
            </w:pPr>
          </w:p>
        </w:tc>
      </w:tr>
      <w:tr>
        <w:trPr>
          <w:trHeight w:val="243"/>
        </w:trPr>
        <w:tc>
          <w:tcPr>
            <w:tcW w:w="1700" w:type="dxa"/>
            <w:vAlign w:val="bottom"/>
          </w:tcPr>
          <w:p>
            <w:pPr>
              <w:spacing w:after="0"/>
              <w:rPr>
                <w:sz w:val="21"/>
                <w:szCs w:val="21"/>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Prepaid and other current assets</w:t>
            </w:r>
          </w:p>
        </w:tc>
        <w:tc>
          <w:tcPr>
            <w:tcW w:w="19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173,339</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176,329</w:t>
            </w:r>
          </w:p>
        </w:tc>
        <w:tc>
          <w:tcPr>
            <w:tcW w:w="1680" w:type="dxa"/>
            <w:vAlign w:val="bottom"/>
          </w:tcPr>
          <w:p>
            <w:pPr>
              <w:spacing w:after="0"/>
              <w:rPr>
                <w:sz w:val="21"/>
                <w:szCs w:val="2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20"/>
        </w:trPr>
        <w:tc>
          <w:tcPr>
            <w:tcW w:w="17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F-115</w:t>
            </w: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SIGNIFICANT BALANCE SHEET COMPONENTS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w:t>
      </w:r>
    </w:p>
    <w:p>
      <w:pPr>
        <w:spacing w:after="0" w:line="200" w:lineRule="exact"/>
        <w:rPr>
          <w:sz w:val="20"/>
          <w:szCs w:val="20"/>
          <w:color w:val="auto"/>
        </w:rPr>
      </w:pP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860" w:type="dxa"/>
            <w:vAlign w:val="bottom"/>
          </w:tcPr>
          <w:p>
            <w:pPr>
              <w:spacing w:after="0"/>
              <w:rPr>
                <w:sz w:val="20"/>
                <w:szCs w:val="20"/>
                <w:color w:val="auto"/>
              </w:rPr>
            </w:pP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leasehold improvements</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114,983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4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(99,729)</w:t>
            </w: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(97,195)</w:t>
            </w: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15,254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14,311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$2,534 and $4,402 for the three months ended March 31, 2026 and 2025,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Internally Developed Software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Internally developed software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860" w:type="dxa"/>
            <w:vAlign w:val="bottom"/>
          </w:tcPr>
          <w:p>
            <w:pPr>
              <w:spacing w:after="0"/>
              <w:rPr>
                <w:sz w:val="20"/>
                <w:szCs w:val="20"/>
                <w:color w:val="auto"/>
              </w:rPr>
            </w:pPr>
          </w:p>
        </w:tc>
        <w:tc>
          <w:tcPr>
            <w:tcW w:w="15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internally developed software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8,573,489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8,458,296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(7,661,842)</w:t>
            </w: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(7,489,113)</w:t>
            </w: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Internally developed software, net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911,647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969,183</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$172,729 and $198,019 for the three months ended March 31, 2026 and 2025,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31, 2026, future amortization expense is as follows:</w:t>
      </w:r>
    </w:p>
    <w:p>
      <w:pPr>
        <w:spacing w:after="0" w:line="200" w:lineRule="exact"/>
        <w:rPr>
          <w:sz w:val="20"/>
          <w:szCs w:val="20"/>
          <w:color w:val="auto"/>
        </w:rPr>
      </w:pPr>
    </w:p>
    <w:p>
      <w:pPr>
        <w:spacing w:after="0" w:line="25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Year Ending December 31,</w:t>
      </w:r>
    </w:p>
    <w:p>
      <w:pPr>
        <w:spacing w:after="0" w:line="51" w:lineRule="exact"/>
        <w:rPr>
          <w:sz w:val="20"/>
          <w:szCs w:val="20"/>
          <w:color w:val="auto"/>
        </w:rPr>
      </w:pPr>
    </w:p>
    <w:tbl>
      <w:tblPr>
        <w:tblLayout w:type="fixed"/>
        <w:tblInd w:w="1700" w:type="dxa"/>
        <w:tblCellMar>
          <w:top w:w="0" w:type="dxa"/>
          <w:left w:w="0" w:type="dxa"/>
          <w:bottom w:w="0" w:type="dxa"/>
          <w:right w:w="0" w:type="dxa"/>
        </w:tblCellMar>
      </w:tblPr>
      <w:tr>
        <w:trPr>
          <w:trHeight w:val="20"/>
        </w:trPr>
        <w:tc>
          <w:tcPr>
            <w:tcW w:w="6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90"/>
        </w:trPr>
        <w:tc>
          <w:tcPr>
            <w:tcW w:w="6440" w:type="dxa"/>
            <w:vAlign w:val="bottom"/>
            <w:gridSpan w:val="2"/>
            <w:shd w:val="clear" w:color="auto" w:fill="CCEEFF"/>
          </w:tcPr>
          <w:p>
            <w:pPr>
              <w:jc w:val="right"/>
              <w:ind w:right="160"/>
              <w:spacing w:after="0" w:line="189" w:lineRule="exact"/>
              <w:rPr>
                <w:sz w:val="20"/>
                <w:szCs w:val="20"/>
                <w:color w:val="auto"/>
              </w:rPr>
            </w:pPr>
            <w:r>
              <w:rPr>
                <w:rFonts w:ascii="Times New Roman" w:cs="Times New Roman" w:eastAsia="Times New Roman" w:hAnsi="Times New Roman"/>
                <w:sz w:val="18"/>
                <w:szCs w:val="18"/>
                <w:color w:val="auto"/>
              </w:rPr>
              <w:t>2026</w:t>
            </w:r>
          </w:p>
        </w:tc>
        <w:tc>
          <w:tcPr>
            <w:tcW w:w="420" w:type="dxa"/>
            <w:vAlign w:val="bottom"/>
            <w:shd w:val="clear" w:color="auto" w:fill="CCEEFF"/>
          </w:tcPr>
          <w:p>
            <w:pPr>
              <w:jc w:val="right"/>
              <w:ind w:right="2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437,897</w:t>
            </w:r>
          </w:p>
        </w:tc>
        <w:tc>
          <w:tcPr>
            <w:tcW w:w="80" w:type="dxa"/>
            <w:vAlign w:val="bottom"/>
            <w:shd w:val="clear" w:color="auto" w:fill="CCEEFF"/>
          </w:tcPr>
          <w:p>
            <w:pPr>
              <w:spacing w:after="0"/>
              <w:rPr>
                <w:sz w:val="16"/>
                <w:szCs w:val="16"/>
                <w:color w:val="auto"/>
              </w:rPr>
            </w:pPr>
          </w:p>
        </w:tc>
      </w:tr>
      <w:tr>
        <w:trPr>
          <w:trHeight w:val="216"/>
        </w:trPr>
        <w:tc>
          <w:tcPr>
            <w:tcW w:w="6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2027</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334,544</w:t>
            </w:r>
          </w:p>
        </w:tc>
        <w:tc>
          <w:tcPr>
            <w:tcW w:w="8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2028</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129,606</w:t>
            </w:r>
          </w:p>
        </w:tc>
        <w:tc>
          <w:tcPr>
            <w:tcW w:w="8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2029 and thereafter</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43"/>
        </w:trPr>
        <w:tc>
          <w:tcPr>
            <w:tcW w:w="6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42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911,647</w:t>
            </w:r>
          </w:p>
        </w:tc>
        <w:tc>
          <w:tcPr>
            <w:tcW w:w="80" w:type="dxa"/>
            <w:vAlign w:val="bottom"/>
          </w:tcPr>
          <w:p>
            <w:pPr>
              <w:spacing w:after="0"/>
              <w:rPr>
                <w:sz w:val="21"/>
                <w:szCs w:val="21"/>
                <w:color w:val="auto"/>
              </w:rPr>
            </w:pPr>
          </w:p>
        </w:tc>
      </w:tr>
      <w:tr>
        <w:trPr>
          <w:trHeight w:val="20"/>
        </w:trPr>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Accrued Expenses and Other Current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2860" w:type="dxa"/>
            <w:vAlign w:val="bottom"/>
            <w:tcBorders>
              <w:bottom w:val="single" w:sz="8" w:color="CCEEFF"/>
            </w:tcBorders>
          </w:tcPr>
          <w:p>
            <w:pPr>
              <w:spacing w:after="0"/>
              <w:rPr>
                <w:sz w:val="20"/>
                <w:szCs w:val="20"/>
                <w:color w:val="auto"/>
              </w:rPr>
            </w:pPr>
          </w:p>
        </w:tc>
        <w:tc>
          <w:tcPr>
            <w:tcW w:w="20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Employee-related liabilities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422,498</w:t>
            </w: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Accrued cost of revenues</w:t>
            </w:r>
          </w:p>
        </w:tc>
        <w:tc>
          <w:tcPr>
            <w:tcW w:w="2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75,568</w:t>
            </w:r>
          </w:p>
        </w:tc>
        <w:tc>
          <w:tcPr>
            <w:tcW w:w="12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84,123</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and other fees</w:t>
            </w:r>
          </w:p>
        </w:tc>
        <w:tc>
          <w:tcPr>
            <w:tcW w:w="2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143,529</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31,373</w:t>
            </w:r>
          </w:p>
        </w:tc>
        <w:tc>
          <w:tcPr>
            <w:tcW w:w="1680" w:type="dxa"/>
            <w:vAlign w:val="bottom"/>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340,923</w:t>
            </w: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352,418</w:t>
            </w:r>
          </w:p>
        </w:tc>
        <w:tc>
          <w:tcPr>
            <w:tcW w:w="1680" w:type="dxa"/>
            <w:vAlign w:val="bottom"/>
          </w:tcPr>
          <w:p>
            <w:pPr>
              <w:spacing w:after="0"/>
              <w:rPr>
                <w:sz w:val="19"/>
                <w:szCs w:val="19"/>
                <w:color w:val="auto"/>
              </w:rPr>
            </w:pPr>
          </w:p>
        </w:tc>
      </w:tr>
      <w:tr>
        <w:trPr>
          <w:trHeight w:val="210"/>
        </w:trPr>
        <w:tc>
          <w:tcPr>
            <w:tcW w:w="170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20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990,670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890,412</w:t>
            </w: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433"/>
        </w:trPr>
        <w:tc>
          <w:tcPr>
            <w:tcW w:w="17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jc w:val="right"/>
              <w:ind w:right="830"/>
              <w:spacing w:after="0"/>
              <w:rPr>
                <w:sz w:val="20"/>
                <w:szCs w:val="20"/>
                <w:color w:val="auto"/>
              </w:rPr>
            </w:pPr>
            <w:r>
              <w:rPr>
                <w:rFonts w:ascii="Times New Roman" w:cs="Times New Roman" w:eastAsia="Times New Roman" w:hAnsi="Times New Roman"/>
                <w:sz w:val="18"/>
                <w:szCs w:val="18"/>
                <w:color w:val="auto"/>
              </w:rPr>
              <w:t>F-116</w:t>
            </w: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is June 28, 2024. Proceeds from the term loan were used to exercise a buyout option in the Royalty Purchase Agreement and repay the then outstanding term loan of $1.5 million. The agreement also provided access to a $3 million revolving line of credit which bears the same interest rate as the term loan and a maturity date of June 28, 2023. In May 2023, the loan and security agreement was amended to extend the maturity date of the revolving line of credit to June 28, 2025 and to amend a certain financial covenant.</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Under the Consideration and Repayment Agreement, the Company shall make three payments to this principal as follows: a) $50,000 in November 2022, b) $80,000 in December 2022, and $100,000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 (Continued)</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2023, the loan and security agreement was amended as follows:</w:t>
      </w:r>
    </w:p>
    <w:p>
      <w:pPr>
        <w:spacing w:after="0" w:line="225" w:lineRule="exact"/>
        <w:rPr>
          <w:sz w:val="20"/>
          <w:szCs w:val="20"/>
          <w:color w:val="auto"/>
        </w:rPr>
      </w:pPr>
    </w:p>
    <w:p>
      <w:pPr>
        <w:jc w:val="both"/>
        <w:ind w:left="1300" w:hanging="320"/>
        <w:spacing w:after="0" w:line="266"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line of credit was amended to $2.5 million. Advances shall bear interest at a per annum rate equal to 2.0% above the Prime Rate. In December 2024, the revolving line of credit was amended to $3.5 million. As of March 31, 2026 and December 31, 2025, the interest rate was 8.75% and 8.75%, respectively and the balance on the line of credit was $0 and $207,648, respectively.</w:t>
      </w:r>
    </w:p>
    <w:p>
      <w:pPr>
        <w:spacing w:after="0" w:line="17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Secured Line of up to $2.5 million was added. Cash Secured Advances shall bear interest at a rate equal to 0.25% above the Prime Rate. The Company took advances of $2.5 million in 2023 and fully repaid the balance during the year ended December 31, 2024.</w:t>
      </w:r>
    </w:p>
    <w:p>
      <w:pPr>
        <w:spacing w:after="0" w:line="161"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Secured Line of up to $5 million was added. Securities Secured Advances shall bear interest at a rate equal to the Prime Rate. As of March 31, 2026 and December 31, 2025, the interest rate was 6.75% and 8.50%, respectively. During 2023, the Company took advances of $4,961,754. As of March 31, 2026 and December 31, 2025, the balance was $4,961,754. The debt issuance cost incurred were capitalized and are being amortized over the term of the debt. During the three months ended March 31, 2026 and 2025, the Company recorded interest expense of $0 and $15,174, respectively related to the debt issuance costs amortization. At March 31, 2026 and December 31, 2025, there was $0 unamortized debt issuance costs.</w:t>
      </w:r>
    </w:p>
    <w:p>
      <w:pPr>
        <w:spacing w:after="0" w:line="18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p>
      <w:pPr>
        <w:spacing w:after="0" w:line="175"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for all of the credit facilities was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11).</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the credit increase, a full guarantee by one of the principals of the Company is required.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PARTY NOTES PAYABLE</w:t>
      </w:r>
    </w:p>
    <w:p>
      <w:pPr>
        <w:spacing w:after="0" w:line="229"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related party notes payable are:</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26"/>
        </w:trPr>
        <w:tc>
          <w:tcPr>
            <w:tcW w:w="104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04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20"/>
                <w:szCs w:val="20"/>
                <w:color w:val="auto"/>
              </w:rPr>
            </w:pPr>
          </w:p>
        </w:tc>
      </w:tr>
      <w:tr>
        <w:trPr>
          <w:trHeight w:val="210"/>
        </w:trPr>
        <w:tc>
          <w:tcPr>
            <w:tcW w:w="1040" w:type="dxa"/>
            <w:vAlign w:val="bottom"/>
          </w:tcPr>
          <w:p>
            <w:pPr>
              <w:spacing w:after="0"/>
              <w:rPr>
                <w:sz w:val="18"/>
                <w:szCs w:val="18"/>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notes payable on demand</w:t>
            </w: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1,762,232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1,762,232</w:t>
            </w:r>
          </w:p>
        </w:tc>
        <w:tc>
          <w:tcPr>
            <w:tcW w:w="80" w:type="dxa"/>
            <w:vAlign w:val="bottom"/>
            <w:tcBorders>
              <w:top w:val="single" w:sz="8" w:color="CCEEFF"/>
            </w:tcBorders>
            <w:shd w:val="clear" w:color="auto" w:fill="CCEEFF"/>
          </w:tcPr>
          <w:p>
            <w:pPr>
              <w:spacing w:after="0"/>
              <w:rPr>
                <w:sz w:val="18"/>
                <w:szCs w:val="18"/>
                <w:color w:val="auto"/>
              </w:rPr>
            </w:pPr>
          </w:p>
        </w:tc>
      </w:tr>
      <w:tr>
        <w:trPr>
          <w:trHeight w:val="229"/>
        </w:trPr>
        <w:tc>
          <w:tcPr>
            <w:tcW w:w="10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2,377,066</w:t>
            </w:r>
          </w:p>
        </w:tc>
        <w:tc>
          <w:tcPr>
            <w:tcW w:w="12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2,294,814</w:t>
            </w:r>
          </w:p>
        </w:tc>
      </w:tr>
      <w:tr>
        <w:trPr>
          <w:trHeight w:val="223"/>
        </w:trPr>
        <w:tc>
          <w:tcPr>
            <w:tcW w:w="104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Related party notes payable</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4,139,298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4,057,046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0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 December 2017, additional advances of $385,000 were converted into a junior demand unsecured promissory note bearing interest at 20% per annum and payable on-demand.</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RELATED PARTY NOTES PAYABLE (Continued)</w:t>
      </w:r>
    </w:p>
    <w:p>
      <w:pPr>
        <w:spacing w:after="0" w:line="229"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10. As the grantees have the option of receiving cash, it has been classified as a liability under ASC 480, Distinguishing Liabilities from Equity.</w:t>
      </w:r>
    </w:p>
    <w:p>
      <w:pPr>
        <w:spacing w:after="0" w:line="19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statement of operations for year ended December 31, 2025.</w:t>
      </w:r>
    </w:p>
    <w:p>
      <w:pPr>
        <w:spacing w:after="0" w:line="18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paid $0 of accrued interest on the demand promissory notes and interest-bearing notes. Interest expense on these notes was $207,252 and $86,905 for the three months ended March 31, 2026 and 2025,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At March 31, 2026 and December 31, 2025, the authorized capital stock of the Company consisted of 145,000,211 shares of capital stock comprising 140,000,000 shares of common stock and 5,000,211 of convertible preferred stock. All classes of the Company’s stock have $0.0001 par value.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January 2015, the Company awarded three officers of the Company the right to each purchase 2,200,000 shares of Common stock, par value of $0.001,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2026 or 2025.</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spacing w:after="0" w:line="17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December 2017, a similar Restricted Stock Purchase Agreement was issued to an officer to purchase 5,431,731 shares of Common Stock par value $.001,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spacing w:after="0" w:line="18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above Restricted Stock Agreements, total vested shares were 12,031,731 at March 31, 2026 and December 31, 2025. All shares were fully vested as of December 31, 2021. Because the notes are non-recourse, this transaction is not treated as an option exercise for accounting purposes and neither the shares nor the non-recourse loans are shown as outstanding in the balance sheet.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2015 and 2016, an officer of the Company exercised fully vested options in exchange for two non-recourse loans:</w:t>
      </w:r>
    </w:p>
    <w:p>
      <w:pPr>
        <w:spacing w:after="0" w:line="225" w:lineRule="exact"/>
        <w:rPr>
          <w:sz w:val="20"/>
          <w:szCs w:val="20"/>
          <w:color w:val="auto"/>
        </w:rPr>
      </w:pPr>
    </w:p>
    <w:p>
      <w:pPr>
        <w:ind w:left="1300" w:hanging="320"/>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promissory note for $99,999, dated May 8, 2015. Interest shall accrue at the rate of 1.53% per annum, compounded annually.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promissory note for $47,969 dated July 11, 2016. Interest shall accrue at the rate of 1.43% per annum, compounded annually.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both notes, the unpaid principal amount and any accrued, but unpaid, interest is due upon the earlier of (1) 7 years from the date of the note or</w:t>
      </w:r>
    </w:p>
    <w:p>
      <w:pPr>
        <w:spacing w:after="0" w:line="27" w:lineRule="exact"/>
        <w:rPr>
          <w:sz w:val="20"/>
          <w:szCs w:val="20"/>
          <w:color w:val="auto"/>
        </w:rPr>
      </w:pPr>
    </w:p>
    <w:p>
      <w:pPr>
        <w:jc w:val="both"/>
        <w:ind w:left="660" w:hanging="4"/>
        <w:spacing w:after="0" w:line="253" w:lineRule="auto"/>
        <w:tabs>
          <w:tab w:leader="none" w:pos="9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August 2025, all of the stockholder notes were amended to extend the maturity date to May 31, 2026. After the original 7-year maturity date of the notes, interest shall accrue monthly at the applicable short-term federal rate. As of March 31, 2026 and December 31, 2025, the short-term federal rate was 3.53% and 3.60%,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Convertible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features of the Company’s convertible preferred stock are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provisions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original issuance price and current conversion price for Series A and Series B is $0.295 and $0.63055 per share.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Convertible Preferred Stock</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Redemption rights</w:t>
            </w: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preferred stock is not redeemable at the option of the holder.</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are common shares reserved for future issuance as of March 31, 2026:</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options-2007 plan</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15,092,988</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options-2017 plan</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37,043,355</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available for future issuance</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668,491</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16,509,612</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2,753,489</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943,813</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12,963,720</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Deferred stock</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24,475,000</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110,450,468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16,352,988 and 19,885,000 options were issued and remain outstanding as of March 31, 2026 and December 31, 2025, respectively. No further shares are reserved for future issuance under the 2007 Plan.</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November 2019, the Board of Directors and stockholders approved an increase in the number of shares authorized for issuance in the 2017 Stock Option and Grant Plan to 37,716,846.</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227"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recorded stock-based compensation expense of $37,017 and $174,000,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three months ended March 31, 2026 and 2025 is as follows: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Outstanding at December 31, 2024</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Options forfeited</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Options expired</w:t>
      </w:r>
    </w:p>
    <w:p>
      <w:pPr>
        <w:spacing w:after="0" w:line="23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Outstanding at March 31, 2025</w:t>
      </w:r>
    </w:p>
    <w:p>
      <w:pPr>
        <w:spacing w:after="0" w:line="29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Outstanding at December 31, 2025</w:t>
      </w:r>
    </w:p>
    <w:p>
      <w:pPr>
        <w:spacing w:after="0" w:line="23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Options expired</w:t>
      </w:r>
    </w:p>
    <w:p>
      <w:pPr>
        <w:spacing w:after="0" w:line="25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Outstanding at March 31, 2026</w:t>
      </w:r>
    </w:p>
    <w:p>
      <w:pPr>
        <w:spacing w:after="0" w:line="5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Vested and expected to vest at</w:t>
      </w:r>
    </w:p>
    <w:p>
      <w:pPr>
        <w:spacing w:after="0" w:line="2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March 31, 2026</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Vested and exercisable at</w:t>
      </w:r>
    </w:p>
    <w:p>
      <w:pPr>
        <w:spacing w:after="0" w:line="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March 31,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Weighted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average</w:t>
            </w: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average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r>
      <w:tr>
        <w:trPr>
          <w:trHeight w:val="216"/>
        </w:trPr>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exercise 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contractual</w:t>
            </w:r>
          </w:p>
        </w:tc>
      </w:tr>
      <w:tr>
        <w:trPr>
          <w:trHeight w:val="234"/>
        </w:trPr>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per share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life (in years)</w:t>
            </w:r>
          </w:p>
        </w:tc>
      </w:tr>
      <w:tr>
        <w:trPr>
          <w:trHeight w:val="228"/>
        </w:trPr>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58,258,842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4.106</w:t>
            </w:r>
          </w:p>
        </w:tc>
      </w:tr>
      <w:tr>
        <w:trPr>
          <w:trHeight w:val="395"/>
        </w:trPr>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(21,875)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8"/>
        </w:trPr>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(3,492,997)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45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54,743,970</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3"/>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52,496,343</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r>
      <w:tr>
        <w:trPr>
          <w:trHeight w:val="446"/>
        </w:trPr>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(360,000)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53"/>
        </w:trPr>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52,136,343</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0"/>
        </w:trPr>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85"/>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51,005,443</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w:t>
            </w:r>
          </w:p>
        </w:tc>
      </w:tr>
      <w:tr>
        <w:trPr>
          <w:trHeight w:val="432"/>
        </w:trPr>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50,337,270</w:t>
            </w:r>
          </w:p>
        </w:tc>
        <w:tc>
          <w:tcPr>
            <w:tcW w:w="16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-3084195</wp:posOffset>
            </wp:positionH>
            <wp:positionV relativeFrom="paragraph">
              <wp:posOffset>-2305050</wp:posOffset>
            </wp:positionV>
            <wp:extent cx="5700395" cy="1454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-2022475</wp:posOffset>
            </wp:positionV>
            <wp:extent cx="5700395" cy="13716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-1739265</wp:posOffset>
            </wp:positionV>
            <wp:extent cx="5700395" cy="14605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-1431290</wp:posOffset>
            </wp:positionV>
            <wp:extent cx="5700395" cy="15430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700395" cy="15430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-1139190</wp:posOffset>
            </wp:positionV>
            <wp:extent cx="5700395" cy="13716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-856615</wp:posOffset>
            </wp:positionV>
            <wp:extent cx="5700395" cy="1454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700395" cy="145415"/>
                    </a:xfrm>
                    <a:prstGeom prst="rect">
                      <a:avLst/>
                    </a:prstGeom>
                    <a:noFill/>
                  </pic:spPr>
                </pic:pic>
              </a:graphicData>
            </a:graphic>
          </wp:anchor>
        </w:drawing>
        <w:drawing>
          <wp:anchor simplePos="0" relativeHeight="251657728" behindDoc="1" locked="0" layoutInCell="0" allowOverlap="1">
            <wp:simplePos x="0" y="0"/>
            <wp:positionH relativeFrom="column">
              <wp:posOffset>-3084195</wp:posOffset>
            </wp:positionH>
            <wp:positionV relativeFrom="paragraph">
              <wp:posOffset>-548005</wp:posOffset>
            </wp:positionV>
            <wp:extent cx="5700395" cy="2743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00395" cy="27432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80" w:space="720"/>
            <w:col w:w="5240"/>
          </w:cols>
          <w:pgMar w:left="320" w:top="229" w:right="339" w:bottom="1440" w:gutter="0" w:footer="0" w:header="0"/>
          <w:type w:val="continuous"/>
        </w:sect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there was $196,018 and $232,201, respectively, of unamortized stock-based compensation cost related to unvested stock options, which is expected to be recognized over a weighted-average period of 1.95 and 2.18 years,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options vested for the three months ended March 31, 2026 and 2025 was $157,103 and $175,352, respectively.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Rent expense related to the Company’s operating leases was $22,827 and $22,827 for the three months ended March 31, 2026 and 2025, respectively. Cash paid for rent was $23,513 and $22,827 for the three months ended March 31, 2026 and 2025, respectively.</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748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w w:val="99"/>
              </w:rPr>
              <w:t>Future minimum payments under non-cancelable leases are as follows as of March 31, 2026:</w:t>
            </w: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4"/>
                <w:szCs w:val="24"/>
                <w:color w:val="auto"/>
              </w:rPr>
            </w:pPr>
          </w:p>
        </w:tc>
        <w:tc>
          <w:tcPr>
            <w:tcW w:w="6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For the Year Ending December 31,</w:t>
            </w: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40" w:type="dxa"/>
            <w:vAlign w:val="bottom"/>
            <w:vMerge w:val="restart"/>
          </w:tcPr>
          <w:p>
            <w:pPr>
              <w:spacing w:after="0"/>
              <w:rPr>
                <w:sz w:val="19"/>
                <w:szCs w:val="19"/>
                <w:color w:val="auto"/>
              </w:rPr>
            </w:pPr>
          </w:p>
        </w:tc>
        <w:tc>
          <w:tcPr>
            <w:tcW w:w="6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40" w:type="dxa"/>
            <w:vAlign w:val="bottom"/>
            <w:vMerge w:val="continue"/>
          </w:tcPr>
          <w:p>
            <w:pPr>
              <w:spacing w:after="0"/>
              <w:rPr>
                <w:sz w:val="19"/>
                <w:szCs w:val="19"/>
                <w:color w:val="auto"/>
              </w:rPr>
            </w:pPr>
          </w:p>
        </w:tc>
        <w:tc>
          <w:tcPr>
            <w:tcW w:w="6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31,251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040" w:type="dxa"/>
            <w:vAlign w:val="bottom"/>
          </w:tcPr>
          <w:p>
            <w:pPr>
              <w:spacing w:after="0"/>
              <w:rPr>
                <w:sz w:val="18"/>
                <w:szCs w:val="18"/>
                <w:color w:val="auto"/>
              </w:rPr>
            </w:pPr>
          </w:p>
        </w:tc>
        <w:tc>
          <w:tcPr>
            <w:tcW w:w="6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64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Less imputed interest</w:t>
            </w:r>
          </w:p>
        </w:tc>
        <w:tc>
          <w:tcPr>
            <w:tcW w:w="4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3"/>
        </w:trPr>
        <w:tc>
          <w:tcPr>
            <w:tcW w:w="1040" w:type="dxa"/>
            <w:vAlign w:val="bottom"/>
          </w:tcPr>
          <w:p>
            <w:pPr>
              <w:spacing w:after="0"/>
              <w:rPr>
                <w:sz w:val="19"/>
                <w:szCs w:val="19"/>
                <w:color w:val="auto"/>
              </w:rPr>
            </w:pPr>
          </w:p>
        </w:tc>
        <w:tc>
          <w:tcPr>
            <w:tcW w:w="6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31,118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Upon commencement of the Lease Extension Agreement in August 2023, the Company recorded a right-of-use asset and related lease liability of $251,070.</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lease contracts do not provide a readily determinable implicit rate. The Company used its estimated incremental borrowing rate of 6%, which was based on information available at the inception of the lease. The weighted average remaining term at March 31, 2026 was 0.33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 (Continued)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March 31, 2026 and December 31, 2025.</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May 2026, the Company redeemed and canceled a total of 8,339,719 shares of common stock for a purchase price of $0.52 per share from two officers of the Company, in full satisfaction of amounts due under the nonrecourse promissory notes related to restricted stock purchase agreements and option exercises from 2015 and 2017 discussed in Note 7.</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Subsequent events have been evaluated through June 5,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FINANCIAL REPORT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CONNECTANDSELL, INC.</w:t>
            </w: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0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0" w:type="dxa"/>
            <w:vAlign w:val="bottom"/>
          </w:tcPr>
          <w:p>
            <w:pPr>
              <w:spacing w:after="0"/>
              <w:rPr>
                <w:sz w:val="1"/>
                <w:szCs w:val="1"/>
                <w:color w:val="auto"/>
              </w:rPr>
            </w:pPr>
          </w:p>
        </w:tc>
      </w:tr>
      <w:tr>
        <w:trPr>
          <w:trHeight w:val="54"/>
        </w:trPr>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64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7"/>
        </w:trPr>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64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6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40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64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40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w:t>
            </w:r>
          </w:p>
        </w:tc>
        <w:tc>
          <w:tcPr>
            <w:tcW w:w="64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40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Stockholders’ Deficit</w:t>
            </w:r>
          </w:p>
        </w:tc>
        <w:tc>
          <w:tcPr>
            <w:tcW w:w="64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40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64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64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0" w:type="dxa"/>
            <w:vAlign w:val="bottom"/>
            <w:shd w:val="clear" w:color="auto" w:fill="CCEEFF"/>
          </w:tcPr>
          <w:p>
            <w:pPr>
              <w:spacing w:after="0"/>
              <w:rPr>
                <w:sz w:val="17"/>
                <w:szCs w:val="17"/>
                <w:color w:val="auto"/>
              </w:rPr>
            </w:pPr>
          </w:p>
        </w:tc>
        <w:tc>
          <w:tcPr>
            <w:tcW w:w="402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640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F-137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Borders>
              <w:top w:val="single" w:sz="8" w:color="CCEEFF"/>
              <w:bottom w:val="single" w:sz="8" w:color="auto"/>
            </w:tcBorders>
          </w:tcPr>
          <w:p>
            <w:pPr>
              <w:spacing w:after="0"/>
              <w:rPr>
                <w:sz w:val="24"/>
                <w:szCs w:val="24"/>
                <w:color w:val="auto"/>
              </w:rPr>
            </w:pPr>
          </w:p>
        </w:tc>
        <w:tc>
          <w:tcPr>
            <w:tcW w:w="110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7040" w:type="dxa"/>
            <w:vAlign w:val="bottom"/>
            <w:tcBorders>
              <w:top w:val="single" w:sz="8" w:color="CCEEFF"/>
              <w:bottom w:val="single" w:sz="8" w:color="auto"/>
            </w:tcBorders>
            <w:gridSpan w:val="2"/>
          </w:tcPr>
          <w:p>
            <w:pPr>
              <w:jc w:val="right"/>
              <w:ind w:right="5310"/>
              <w:spacing w:after="0"/>
              <w:rPr>
                <w:sz w:val="20"/>
                <w:szCs w:val="20"/>
                <w:color w:val="auto"/>
              </w:rPr>
            </w:pPr>
            <w:r>
              <w:rPr>
                <w:rFonts w:ascii="Times New Roman" w:cs="Times New Roman" w:eastAsia="Times New Roman" w:hAnsi="Times New Roman"/>
                <w:sz w:val="18"/>
                <w:szCs w:val="18"/>
                <w:color w:val="auto"/>
              </w:rPr>
              <w:t>F-130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2219960" cy="65976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21996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ConnectAndSell,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audited the financial statements of ConnectAndSell, Inc. (the “Company”), which comprise the balance sheets as of December 31, 2025 and 2024, the related statements of operations, stockholders’ deficit, and cash flows for the years then ended, and the related notes to the financial statements.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our opinion, the accompanying financial statements present fairly, in all material respects, the financial position of the Company as of December 31, 2025 and 2024, and the results of its operations and its cash flows for the years then ended in accordance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conducted our audits in accordance with auditing standards generally accepted in the United States of America (GAAS). Our responsibilities under those standards are further described in the Auditor’s Responsibilities for the Audit of the Financial Statements section of our report. We are required to be independent of the Company and to meet our other ethical responsibilities, in accordance with the relevant ethical requirements relating to our audits. We believe that the audit evidence we have obtained is sufficient and appropriate to provide a basis for our audit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the Company has suffered recurring losses from operations, has negative working capital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Responsibilities of Management for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preparation and fair presentation of the financial statements in accordance with accounting principles generally accepted in the United States of America, and for the design, implementation, and maintenance of internal control relevant to the preparation and fair presentation of financial statements that are free from material misstatement, whether due to fraud or error.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preparing the financial statements, management is required to evaluate whether there are conditions or events, considered in the aggregate, that raise substantial doubt about the Company’s ability to continue as a going concern within one year after the date that the financial statements are issued or available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123190</wp:posOffset>
            </wp:positionV>
            <wp:extent cx="5760720" cy="3429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6072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ConnectAndSell,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Independent Auditor’s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Auditor’s Responsibilities for the Audit of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objectives are to obtain reasonable assurance about whether the financial statements as a whole are free from material misstatement, whether due to fraud or error, and to issue an auditor’s report that includes our opinion. Reasonable assurance is a high level of assurance but is not absolute assurance and therefore is not a guarantee that an audit conducted in accordance with GAAS will always detect a material misstatement when it exists. The risk of not detecting a material misstatement resulting from fraud is higher than for one resulting from error, as fraud may involve collusion, forgery, intentional omissions, misrepresentations, or the override of internal control. Misstatements are considered material if there is a substantial likelihood that, individually or in the aggregate, they would influence the judgment made by a reasonable user based on the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performing an audit in accordance with GAAS, we:</w:t>
      </w:r>
    </w:p>
    <w:p>
      <w:pPr>
        <w:spacing w:after="0" w:line="225"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professional judgment and maintain professional skepticism throughout the audit.</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assess the risks of material misstatement of the financial statements, whether due to fraud or error, and design and perform audit procedures responsive to those risks. Such procedures include examining, on a test basis, evidence regarding the amounts and disclosures in the financial statements.</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 understanding of internal control relevant to the audit in order to design audit procedures that are appropriate in the circumstances, but not for the purpose of expressing an opinion on the effectiveness of the Company’s internal control. Accordingly, no such opinion is expressed.</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appropriateness of accounting policies used and the reasonableness of significant accounting estimates made by management, as well as evaluate the overall presentation of the financial statements.</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Conclude whether, in our judgment, there are conditions or events, considered in the aggregate, that raise substantial doubt about the Company’s ability to continue as a going concern for a reasonable period of time.</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are required to communicate with those charged with governance regarding, among other matters, the planned scope and timing of the audit, significant audit findings, and certain internal control-related matters that we identified during the audit.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66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SingerLewak LLP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18,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0"/>
        </w:trPr>
        <w:tc>
          <w:tcPr>
            <w:tcW w:w="6900" w:type="dxa"/>
            <w:vAlign w:val="bottom"/>
            <w:shd w:val="clear" w:color="auto" w:fill="CCEEFF"/>
          </w:tcPr>
          <w:p>
            <w:pPr>
              <w:ind w:lef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1,478,736</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1,318,599</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allowance for credit losses of $34,040 and $271,546, respectively</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1,476,913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3,141,063</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40,702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925</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176,329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113,819</w:t>
            </w:r>
          </w:p>
        </w:tc>
      </w:tr>
      <w:tr>
        <w:trPr>
          <w:trHeight w:val="22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assets, current portion</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52,452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85,662</w:t>
            </w:r>
          </w:p>
        </w:tc>
      </w:tr>
      <w:tr>
        <w:trPr>
          <w:trHeight w:val="210"/>
        </w:trPr>
        <w:tc>
          <w:tcPr>
            <w:tcW w:w="6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3,225,132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4,660,068</w:t>
            </w:r>
          </w:p>
        </w:tc>
      </w:tr>
      <w:tr>
        <w:trPr>
          <w:trHeight w:val="216"/>
        </w:trPr>
        <w:tc>
          <w:tcPr>
            <w:tcW w:w="6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 of use assets, noncurrent portion</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52,452</w:t>
            </w: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14,311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21,349</w:t>
            </w: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Internally developed software, net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969,183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1,282,055</w:t>
            </w:r>
          </w:p>
        </w:tc>
      </w:tr>
      <w:tr>
        <w:trPr>
          <w:trHeight w:val="229"/>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54,779</w:t>
            </w:r>
          </w:p>
        </w:tc>
      </w:tr>
      <w:tr>
        <w:trPr>
          <w:trHeight w:val="209"/>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4,251,563</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6,070,703</w:t>
            </w:r>
          </w:p>
        </w:tc>
      </w:tr>
      <w:tr>
        <w:trPr>
          <w:trHeight w:val="209"/>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140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Line of credit</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207,648</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2,052,593</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long-term debt, net of discount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4,961,754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4,901,058</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notes payable and accrued interest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4,057,046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3,013,730</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liability, current portion</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54,053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86,805</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924,075</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1,205,613</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890,412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956,315</w:t>
            </w:r>
          </w:p>
        </w:tc>
      </w:tr>
      <w:tr>
        <w:trPr>
          <w:trHeight w:val="216"/>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7,785,463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7,444,552</w:t>
            </w:r>
          </w:p>
        </w:tc>
      </w:tr>
      <w:tr>
        <w:trPr>
          <w:trHeight w:val="229"/>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stock liability</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1,334,193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20,214,644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19,660,666</w:t>
            </w:r>
          </w:p>
        </w:tc>
      </w:t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 liability, noncurrent portion</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54,053</w:t>
            </w:r>
          </w:p>
        </w:tc>
      </w:tr>
      <w:tr>
        <w:trPr>
          <w:trHeight w:val="209"/>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20,214,644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19,714,719</w:t>
            </w:r>
          </w:p>
        </w:tc>
      </w:tr>
      <w:tr>
        <w:trPr>
          <w:trHeight w:val="210"/>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A convertible preferred stock, $0.0001 par value; 3,086,832 shares authorized;</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2,753,489 shares issued and outstanding (aggregate liquidation preference of $812,279)</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751,930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751,930</w:t>
            </w:r>
          </w:p>
        </w:tc>
      </w:tr>
      <w:tr>
        <w:trPr>
          <w:trHeight w:val="216"/>
        </w:trPr>
        <w:tc>
          <w:tcPr>
            <w:tcW w:w="6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Series B convertible preferred stock, $0.0001 par value; 1,913,379 shares authorized;</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943,813 shares issued and outstanding (aggregate liquidation preference of $595,121)</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536,426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536,426</w:t>
            </w:r>
          </w:p>
        </w:tc>
      </w:tr>
      <w:tr>
        <w:trPr>
          <w:trHeight w:val="216"/>
        </w:trPr>
        <w:tc>
          <w:tcPr>
            <w:tcW w:w="6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69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par value; 140,000,000 shares authorized; 29,653,140 shares</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issued and outstanding</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2,966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2,966</w:t>
            </w:r>
          </w:p>
        </w:tc>
      </w:tr>
      <w:tr>
        <w:trPr>
          <w:trHeight w:val="216"/>
        </w:trPr>
        <w:tc>
          <w:tcPr>
            <w:tcW w:w="6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40,328,485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39,536,082</w:t>
            </w:r>
          </w:p>
        </w:tc>
      </w:tr>
      <w:tr>
        <w:trPr>
          <w:trHeight w:val="22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(57,582,888)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(54,471,420)</w:t>
            </w:r>
          </w:p>
        </w:tc>
      </w:tr>
      <w:tr>
        <w:trPr>
          <w:trHeight w:val="210"/>
        </w:trPr>
        <w:tc>
          <w:tcPr>
            <w:tcW w:w="6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(15,963,081)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(13,644,016)</w:t>
            </w:r>
          </w:p>
        </w:tc>
      </w:tr>
      <w:tr>
        <w:trPr>
          <w:trHeight w:val="210"/>
        </w:trPr>
        <w:tc>
          <w:tcPr>
            <w:tcW w:w="6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4,251,563</w:t>
            </w:r>
          </w:p>
        </w:tc>
        <w:tc>
          <w:tcPr>
            <w:tcW w:w="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6,070,703</w:t>
            </w:r>
          </w:p>
        </w:tc>
      </w:tr>
      <w:tr>
        <w:trPr>
          <w:trHeight w:val="425"/>
        </w:trPr>
        <w:tc>
          <w:tcPr>
            <w:tcW w:w="6900" w:type="dxa"/>
            <w:vAlign w:val="bottom"/>
          </w:tcPr>
          <w:p>
            <w:pPr>
              <w:ind w:left="4440"/>
              <w:spacing w:after="0"/>
              <w:rPr>
                <w:sz w:val="20"/>
                <w:szCs w:val="20"/>
                <w:color w:val="auto"/>
              </w:rPr>
            </w:pPr>
            <w:r>
              <w:rPr>
                <w:rFonts w:ascii="Times New Roman" w:cs="Times New Roman" w:eastAsia="Times New Roman" w:hAnsi="Times New Roman"/>
                <w:sz w:val="18"/>
                <w:szCs w:val="18"/>
                <w:color w:val="auto"/>
              </w:rPr>
              <w:t>See notes to financial statements</w:t>
            </w:r>
          </w:p>
        </w:tc>
        <w:tc>
          <w:tcPr>
            <w:tcW w:w="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6900" w:type="dxa"/>
            <w:vAlign w:val="bottom"/>
            <w:tcBorders>
              <w:bottom w:val="single" w:sz="8" w:color="auto"/>
            </w:tcBorders>
          </w:tcPr>
          <w:p>
            <w:pPr>
              <w:ind w:left="5400"/>
              <w:spacing w:after="0"/>
              <w:rPr>
                <w:sz w:val="20"/>
                <w:szCs w:val="20"/>
                <w:color w:val="auto"/>
              </w:rPr>
            </w:pPr>
            <w:r>
              <w:rPr>
                <w:rFonts w:ascii="Times New Roman" w:cs="Times New Roman" w:eastAsia="Times New Roman" w:hAnsi="Times New Roman"/>
                <w:sz w:val="18"/>
                <w:szCs w:val="18"/>
                <w:color w:val="auto"/>
              </w:rPr>
              <w:t>F-133</w:t>
            </w: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3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CONNECTANDSELL, INC.</w:t>
            </w:r>
          </w:p>
        </w:tc>
      </w:tr>
      <w:tr>
        <w:trPr>
          <w:trHeight w:val="216"/>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r>
      <w:tr>
        <w:trPr>
          <w:trHeight w:val="238"/>
        </w:trPr>
        <w:tc>
          <w:tcPr>
            <w:tcW w:w="50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tc>
      </w:tr>
      <w:tr>
        <w:trPr>
          <w:trHeight w:val="54"/>
        </w:trPr>
        <w:tc>
          <w:tcPr>
            <w:tcW w:w="502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r>
        <w:trPr>
          <w:trHeight w:val="506"/>
        </w:trPr>
        <w:tc>
          <w:tcPr>
            <w:tcW w:w="50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4"/>
                <w:szCs w:val="24"/>
                <w:color w:val="auto"/>
              </w:rPr>
            </w:pPr>
          </w:p>
        </w:tc>
      </w:tr>
      <w:tr>
        <w:trPr>
          <w:trHeight w:val="210"/>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14,715,954</w:t>
            </w:r>
          </w:p>
        </w:tc>
        <w:tc>
          <w:tcPr>
            <w:tcW w:w="7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16,209,629</w:t>
            </w:r>
          </w:p>
        </w:tc>
      </w:tr>
      <w:tr>
        <w:trPr>
          <w:trHeight w:val="216"/>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1,998,847</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3,173,817</w:t>
            </w:r>
          </w:p>
        </w:tc>
      </w:tr>
      <w:tr>
        <w:trPr>
          <w:trHeight w:val="209"/>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12,717,107</w:t>
            </w:r>
          </w:p>
        </w:tc>
        <w:tc>
          <w:tcPr>
            <w:tcW w:w="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13,035,812</w:t>
            </w:r>
          </w:p>
        </w:tc>
      </w:tr>
      <w:tr>
        <w:trPr>
          <w:trHeight w:val="210"/>
        </w:trPr>
        <w:tc>
          <w:tcPr>
            <w:tcW w:w="50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Engineering, research and development</w:t>
            </w:r>
          </w:p>
        </w:tc>
        <w:tc>
          <w:tcPr>
            <w:tcW w:w="1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3,123,013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2,863,137</w:t>
            </w:r>
          </w:p>
        </w:tc>
      </w:tr>
      <w:tr>
        <w:trPr>
          <w:trHeight w:val="216"/>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6,339,507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7,175,172</w:t>
            </w:r>
          </w:p>
        </w:tc>
      </w:tr>
      <w:tr>
        <w:trPr>
          <w:trHeight w:val="230"/>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2,797,975</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2,081,508</w:t>
            </w:r>
          </w:p>
        </w:tc>
      </w:tr>
      <w:tr>
        <w:trPr>
          <w:trHeight w:val="209"/>
        </w:trPr>
        <w:tc>
          <w:tcPr>
            <w:tcW w:w="50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on debt extinguishment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Net loss before provision for taxes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 benefit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0" w:lineRule="exact"/>
        <w:rPr>
          <w:sz w:val="20"/>
          <w:szCs w:val="20"/>
          <w:color w:val="auto"/>
        </w:rPr>
      </w:pPr>
      <w:r>
        <w:rPr>
          <w:sz w:val="20"/>
          <w:szCs w:val="20"/>
          <w:color w:val="auto"/>
        </w:rPr>
        <w:br w:type="column"/>
      </w:r>
    </w:p>
    <w:p>
      <w:pPr>
        <w:jc w:val="both"/>
        <w:ind w:left="3660"/>
        <w:spacing w:after="0"/>
        <w:tabs>
          <w:tab w:leader="none" w:pos="5860" w:val="left"/>
        </w:tabs>
        <w:rPr>
          <w:sz w:val="20"/>
          <w:szCs w:val="20"/>
          <w:color w:val="auto"/>
        </w:rPr>
      </w:pPr>
      <w:r>
        <w:rPr>
          <w:rFonts w:ascii="Times New Roman" w:cs="Times New Roman" w:eastAsia="Times New Roman" w:hAnsi="Times New Roman"/>
          <w:sz w:val="18"/>
          <w:szCs w:val="18"/>
          <w:color w:val="auto"/>
        </w:rPr>
        <w:t>12,260,495</w:t>
      </w:r>
      <w:r>
        <w:rPr>
          <w:sz w:val="20"/>
          <w:szCs w:val="20"/>
          <w:color w:val="auto"/>
        </w:rPr>
        <w:tab/>
      </w:r>
      <w:r>
        <w:rPr>
          <w:rFonts w:ascii="Times New Roman" w:cs="Times New Roman" w:eastAsia="Times New Roman" w:hAnsi="Times New Roman"/>
          <w:sz w:val="18"/>
          <w:szCs w:val="18"/>
          <w:color w:val="auto"/>
        </w:rPr>
        <w:t>12,119,817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14605</wp:posOffset>
            </wp:positionV>
            <wp:extent cx="7132320" cy="14605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14" w:lineRule="exact"/>
        <w:rPr>
          <w:sz w:val="20"/>
          <w:szCs w:val="20"/>
          <w:color w:val="auto"/>
        </w:rPr>
      </w:pPr>
    </w:p>
    <w:p>
      <w:pPr>
        <w:jc w:val="both"/>
        <w:ind w:left="3880"/>
        <w:spacing w:after="0"/>
        <w:tabs>
          <w:tab w:leader="none" w:pos="6080" w:val="left"/>
        </w:tabs>
        <w:rPr>
          <w:sz w:val="20"/>
          <w:szCs w:val="20"/>
          <w:color w:val="auto"/>
        </w:rPr>
      </w:pPr>
      <w:r>
        <w:rPr>
          <w:rFonts w:ascii="Times New Roman" w:cs="Times New Roman" w:eastAsia="Times New Roman" w:hAnsi="Times New Roman"/>
          <w:sz w:val="18"/>
          <w:szCs w:val="18"/>
          <w:color w:val="auto"/>
        </w:rPr>
        <w:t>456,612</w:t>
      </w:r>
      <w:r>
        <w:rPr>
          <w:sz w:val="20"/>
          <w:szCs w:val="20"/>
          <w:color w:val="auto"/>
        </w:rPr>
        <w:tab/>
      </w:r>
      <w:r>
        <w:rPr>
          <w:rFonts w:ascii="Times New Roman" w:cs="Times New Roman" w:eastAsia="Times New Roman" w:hAnsi="Times New Roman"/>
          <w:sz w:val="18"/>
          <w:szCs w:val="18"/>
          <w:color w:val="auto"/>
        </w:rPr>
        <w:t>915,995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17145</wp:posOffset>
            </wp:positionV>
            <wp:extent cx="7132320"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both"/>
        <w:ind w:left="4000"/>
        <w:spacing w:after="0"/>
        <w:tabs>
          <w:tab w:leader="none" w:pos="6200" w:val="left"/>
        </w:tabs>
        <w:rPr>
          <w:sz w:val="20"/>
          <w:szCs w:val="20"/>
          <w:color w:val="auto"/>
        </w:rPr>
      </w:pPr>
      <w:r>
        <w:rPr>
          <w:rFonts w:ascii="Times New Roman" w:cs="Times New Roman" w:eastAsia="Times New Roman" w:hAnsi="Times New Roman"/>
          <w:sz w:val="18"/>
          <w:szCs w:val="18"/>
          <w:color w:val="auto"/>
        </w:rPr>
        <w:t>(4,641)</w:t>
      </w:r>
      <w:r>
        <w:rPr>
          <w:sz w:val="20"/>
          <w:szCs w:val="20"/>
          <w:color w:val="auto"/>
        </w:rPr>
        <w:tab/>
      </w:r>
      <w:r>
        <w:rPr>
          <w:rFonts w:ascii="Times New Roman" w:cs="Times New Roman" w:eastAsia="Times New Roman" w:hAnsi="Times New Roman"/>
          <w:sz w:val="18"/>
          <w:szCs w:val="18"/>
          <w:color w:val="auto"/>
        </w:rPr>
        <w:t>(7,366)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17145</wp:posOffset>
            </wp:positionV>
            <wp:extent cx="7132320" cy="13716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680"/>
        <w:spacing w:after="0"/>
        <w:tabs>
          <w:tab w:leader="none" w:pos="6620" w:val="left"/>
        </w:tabs>
        <w:rPr>
          <w:sz w:val="20"/>
          <w:szCs w:val="20"/>
          <w:color w:val="auto"/>
        </w:rPr>
      </w:pPr>
      <w:r>
        <w:rPr>
          <w:rFonts w:ascii="Times New Roman" w:cs="Times New Roman" w:eastAsia="Times New Roman" w:hAnsi="Times New Roman"/>
          <w:sz w:val="18"/>
          <w:szCs w:val="18"/>
          <w:color w:val="auto"/>
        </w:rPr>
        <w:t>(1,084,608)</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17145</wp:posOffset>
            </wp:positionV>
            <wp:extent cx="7132320" cy="13716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jc w:val="right"/>
        <w:ind w:right="40"/>
        <w:spacing w:after="0"/>
        <w:tabs>
          <w:tab w:leader="none" w:pos="820" w:val="left"/>
        </w:tabs>
        <w:rPr>
          <w:sz w:val="20"/>
          <w:szCs w:val="20"/>
          <w:color w:val="auto"/>
        </w:rPr>
      </w:pPr>
      <w:r>
        <w:rPr>
          <w:rFonts w:ascii="Times New Roman" w:cs="Times New Roman" w:eastAsia="Times New Roman" w:hAnsi="Times New Roman"/>
          <w:sz w:val="18"/>
          <w:szCs w:val="18"/>
          <w:color w:val="auto"/>
        </w:rPr>
        <w:t>(2,472,077)</w:t>
      </w:r>
      <w:r>
        <w:rPr>
          <w:sz w:val="20"/>
          <w:szCs w:val="20"/>
          <w:color w:val="auto"/>
        </w:rPr>
        <w:tab/>
      </w:r>
      <w:r>
        <w:rPr>
          <w:rFonts w:ascii="Times New Roman" w:cs="Times New Roman" w:eastAsia="Times New Roman" w:hAnsi="Times New Roman"/>
          <w:sz w:val="18"/>
          <w:szCs w:val="18"/>
          <w:color w:val="auto"/>
        </w:rPr>
        <w:t>(1,024,332)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26035</wp:posOffset>
            </wp:positionV>
            <wp:extent cx="7132320" cy="146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32" w:lineRule="exact"/>
        <w:rPr>
          <w:sz w:val="20"/>
          <w:szCs w:val="20"/>
          <w:color w:val="auto"/>
        </w:rPr>
      </w:pPr>
    </w:p>
    <w:p>
      <w:pPr>
        <w:jc w:val="both"/>
        <w:ind w:left="3680"/>
        <w:spacing w:after="0"/>
        <w:tabs>
          <w:tab w:leader="none" w:pos="6040" w:val="left"/>
        </w:tabs>
        <w:rPr>
          <w:sz w:val="20"/>
          <w:szCs w:val="20"/>
          <w:color w:val="auto"/>
        </w:rPr>
      </w:pPr>
      <w:r>
        <w:rPr>
          <w:rFonts w:ascii="Times New Roman" w:cs="Times New Roman" w:eastAsia="Times New Roman" w:hAnsi="Times New Roman"/>
          <w:sz w:val="18"/>
          <w:szCs w:val="18"/>
          <w:color w:val="auto"/>
        </w:rPr>
        <w:t>(3,104,714)</w:t>
      </w:r>
      <w:r>
        <w:rPr>
          <w:sz w:val="20"/>
          <w:szCs w:val="20"/>
          <w:color w:val="auto"/>
        </w:rPr>
        <w:tab/>
      </w:r>
      <w:r>
        <w:rPr>
          <w:rFonts w:ascii="Times New Roman" w:cs="Times New Roman" w:eastAsia="Times New Roman" w:hAnsi="Times New Roman"/>
          <w:sz w:val="18"/>
          <w:szCs w:val="18"/>
          <w:color w:val="auto"/>
        </w:rPr>
        <w:t>(115,703)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17145</wp:posOffset>
            </wp:positionV>
            <wp:extent cx="7132320" cy="1371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4000"/>
        <w:spacing w:after="0"/>
        <w:tabs>
          <w:tab w:leader="none" w:pos="6260" w:val="left"/>
        </w:tabs>
        <w:rPr>
          <w:sz w:val="20"/>
          <w:szCs w:val="20"/>
          <w:color w:val="auto"/>
        </w:rPr>
      </w:pPr>
      <w:r>
        <w:rPr>
          <w:rFonts w:ascii="Times New Roman" w:cs="Times New Roman" w:eastAsia="Times New Roman" w:hAnsi="Times New Roman"/>
          <w:sz w:val="18"/>
          <w:szCs w:val="18"/>
          <w:color w:val="auto"/>
        </w:rPr>
        <w:t>(6,754)</w:t>
      </w:r>
      <w:r>
        <w:rPr>
          <w:sz w:val="20"/>
          <w:szCs w:val="20"/>
          <w:color w:val="auto"/>
        </w:rPr>
        <w:tab/>
      </w:r>
      <w:r>
        <w:rPr>
          <w:rFonts w:ascii="Times New Roman" w:cs="Times New Roman" w:eastAsia="Times New Roman" w:hAnsi="Times New Roman"/>
          <w:sz w:val="18"/>
          <w:szCs w:val="18"/>
          <w:color w:val="auto"/>
        </w:rPr>
        <w:t>8,240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26035</wp:posOffset>
            </wp:positionV>
            <wp:extent cx="7132320" cy="1454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8" w:lineRule="exact"/>
        <w:rPr>
          <w:sz w:val="20"/>
          <w:szCs w:val="20"/>
          <w:color w:val="auto"/>
        </w:rPr>
      </w:pPr>
    </w:p>
    <w:p>
      <w:pPr>
        <w:jc w:val="both"/>
        <w:ind w:left="2540"/>
        <w:spacing w:after="0"/>
        <w:tabs>
          <w:tab w:leader="none" w:pos="3680" w:val="left"/>
          <w:tab w:leader="none" w:pos="4760" w:val="left"/>
          <w:tab w:leader="none" w:pos="602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(3,111,468)</w:t>
        <w:tab/>
        <w:t>$</w:t>
      </w:r>
      <w:r>
        <w:rPr>
          <w:sz w:val="20"/>
          <w:szCs w:val="20"/>
          <w:color w:val="auto"/>
        </w:rPr>
        <w:tab/>
      </w:r>
      <w:r>
        <w:rPr>
          <w:rFonts w:ascii="Times New Roman" w:cs="Times New Roman" w:eastAsia="Times New Roman" w:hAnsi="Times New Roman"/>
          <w:sz w:val="18"/>
          <w:szCs w:val="18"/>
          <w:b w:val="1"/>
          <w:bCs w:val="1"/>
          <w:color w:val="auto"/>
        </w:rPr>
        <w:t>(107,463)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1617345</wp:posOffset>
            </wp:positionH>
            <wp:positionV relativeFrom="paragraph">
              <wp:posOffset>28575</wp:posOffset>
            </wp:positionV>
            <wp:extent cx="263144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236" w:lineRule="exact"/>
        <w:rPr>
          <w:sz w:val="20"/>
          <w:szCs w:val="20"/>
          <w:color w:val="auto"/>
        </w:rPr>
      </w:pPr>
    </w:p>
    <w:p>
      <w:pPr>
        <w:jc w:val="center"/>
        <w:ind w:right="4440"/>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26035</wp:posOffset>
            </wp:positionV>
            <wp:extent cx="71323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720" w:space="720"/>
            <w:col w:w="6800"/>
          </w:cols>
          <w:pgMar w:left="320" w:top="229" w:right="339" w:bottom="1440" w:gutter="0" w:footer="0" w:header="0"/>
          <w:type w:val="continuous"/>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STATEMENTS OF STOCKHOLDERS’ DEFICIT</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left="570"/>
              <w:spacing w:after="0"/>
              <w:rPr>
                <w:sz w:val="20"/>
                <w:szCs w:val="20"/>
                <w:color w:val="auto"/>
              </w:rPr>
            </w:pPr>
            <w:r>
              <w:rPr>
                <w:rFonts w:ascii="Times New Roman" w:cs="Times New Roman" w:eastAsia="Times New Roman" w:hAnsi="Times New Roman"/>
                <w:sz w:val="18"/>
                <w:szCs w:val="18"/>
                <w:color w:val="auto"/>
                <w:w w:val="99"/>
              </w:rPr>
              <w:t>Convertible Preferred Stock</w:t>
            </w: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Additional</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Total</w:t>
            </w:r>
          </w:p>
        </w:tc>
        <w:tc>
          <w:tcPr>
            <w:tcW w:w="0" w:type="dxa"/>
            <w:vAlign w:val="bottom"/>
          </w:tcPr>
          <w:p>
            <w:pPr>
              <w:spacing w:after="0"/>
              <w:rPr>
                <w:sz w:val="1"/>
                <w:szCs w:val="1"/>
                <w:color w:val="auto"/>
              </w:rPr>
            </w:pPr>
          </w:p>
        </w:tc>
      </w:tr>
      <w:tr>
        <w:trPr>
          <w:trHeight w:val="210"/>
        </w:trPr>
        <w:tc>
          <w:tcPr>
            <w:tcW w:w="2160" w:type="dxa"/>
            <w:vAlign w:val="bottom"/>
          </w:tcPr>
          <w:p>
            <w:pPr>
              <w:spacing w:after="0"/>
              <w:rPr>
                <w:sz w:val="18"/>
                <w:szCs w:val="18"/>
                <w:color w:val="auto"/>
              </w:rPr>
            </w:pPr>
          </w:p>
        </w:tc>
        <w:tc>
          <w:tcPr>
            <w:tcW w:w="194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color w:val="auto"/>
              </w:rPr>
              <w:t>Series A</w:t>
            </w:r>
          </w:p>
        </w:tc>
        <w:tc>
          <w:tcPr>
            <w:tcW w:w="180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Series B</w:t>
            </w:r>
          </w:p>
        </w:tc>
        <w:tc>
          <w:tcPr>
            <w:tcW w:w="170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color w:val="auto"/>
              </w:rPr>
              <w:t>Common stock</w:t>
            </w:r>
          </w:p>
        </w:tc>
        <w:tc>
          <w:tcPr>
            <w:tcW w:w="2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Paid-in</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9"/>
              </w:rPr>
              <w:t>Accumulated</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Stockholders</w:t>
            </w:r>
          </w:p>
        </w:tc>
        <w:tc>
          <w:tcPr>
            <w:tcW w:w="0" w:type="dxa"/>
            <w:vAlign w:val="bottom"/>
          </w:tcPr>
          <w:p>
            <w:pPr>
              <w:spacing w:after="0"/>
              <w:rPr>
                <w:sz w:val="1"/>
                <w:szCs w:val="1"/>
                <w:color w:val="auto"/>
              </w:rPr>
            </w:pPr>
          </w:p>
        </w:tc>
      </w:tr>
      <w:tr>
        <w:trPr>
          <w:trHeight w:val="209"/>
        </w:trPr>
        <w:tc>
          <w:tcPr>
            <w:tcW w:w="2160" w:type="dxa"/>
            <w:vAlign w:val="bottom"/>
          </w:tcPr>
          <w:p>
            <w:pPr>
              <w:spacing w:after="0"/>
              <w:rPr>
                <w:sz w:val="18"/>
                <w:szCs w:val="18"/>
                <w:color w:val="auto"/>
              </w:rPr>
            </w:pPr>
          </w:p>
        </w:tc>
        <w:tc>
          <w:tcPr>
            <w:tcW w:w="9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8"/>
                <w:szCs w:val="18"/>
                <w:color w:val="auto"/>
              </w:rPr>
            </w:pPr>
          </w:p>
        </w:tc>
        <w:tc>
          <w:tcPr>
            <w:tcW w:w="78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200" w:type="dxa"/>
            <w:vAlign w:val="bottom"/>
          </w:tcPr>
          <w:p>
            <w:pPr>
              <w:spacing w:after="0"/>
              <w:rPr>
                <w:sz w:val="18"/>
                <w:szCs w:val="18"/>
                <w:color w:val="auto"/>
              </w:rPr>
            </w:pPr>
          </w:p>
        </w:tc>
        <w:tc>
          <w:tcPr>
            <w:tcW w:w="1000" w:type="dxa"/>
            <w:vAlign w:val="bottom"/>
            <w:tcBorders>
              <w:top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70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Capital</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Deficit</w:t>
            </w:r>
          </w:p>
        </w:tc>
        <w:tc>
          <w:tcPr>
            <w:tcW w:w="10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Deficit</w:t>
            </w:r>
          </w:p>
        </w:tc>
        <w:tc>
          <w:tcPr>
            <w:tcW w:w="0" w:type="dxa"/>
            <w:vAlign w:val="bottom"/>
          </w:tcPr>
          <w:p>
            <w:pPr>
              <w:spacing w:after="0"/>
              <w:rPr>
                <w:sz w:val="1"/>
                <w:szCs w:val="1"/>
                <w:color w:val="auto"/>
              </w:rPr>
            </w:pPr>
          </w:p>
        </w:tc>
      </w:tr>
      <w:tr>
        <w:trPr>
          <w:trHeight w:val="174"/>
        </w:trPr>
        <w:tc>
          <w:tcPr>
            <w:tcW w:w="21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2,753,489</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$ 751,930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943,813</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$ 536,426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29,653,140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2,966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38,803,926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 (54,363,957)</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5"/>
              </w:rPr>
              <w:t>$ (14,268,709)</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vMerge w:val="continue"/>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729,656</w:t>
            </w:r>
          </w:p>
        </w:tc>
        <w:tc>
          <w:tcPr>
            <w:tcW w:w="2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729,656</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(107,463)</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(107,463)</w:t>
            </w:r>
          </w:p>
        </w:tc>
        <w:tc>
          <w:tcPr>
            <w:tcW w:w="0" w:type="dxa"/>
            <w:vAlign w:val="bottom"/>
          </w:tcPr>
          <w:p>
            <w:pPr>
              <w:spacing w:after="0"/>
              <w:rPr>
                <w:sz w:val="1"/>
                <w:szCs w:val="1"/>
                <w:color w:val="auto"/>
              </w:rPr>
            </w:pPr>
          </w:p>
        </w:tc>
      </w:tr>
      <w:tr>
        <w:trPr>
          <w:trHeight w:val="174"/>
        </w:trPr>
        <w:tc>
          <w:tcPr>
            <w:tcW w:w="21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2,753,489</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$ 751,930</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943,813</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$ 536,426</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29,658,140</w:t>
            </w:r>
          </w:p>
        </w:tc>
        <w:tc>
          <w:tcPr>
            <w:tcW w:w="2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2,966</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39,536,082</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 (54,471,420)</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5"/>
              </w:rPr>
              <w:t>$ (13,644,016)</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vMerge w:val="continue"/>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792,403</w:t>
            </w:r>
          </w:p>
        </w:tc>
        <w:tc>
          <w:tcPr>
            <w:tcW w:w="220" w:type="dxa"/>
            <w:vAlign w:val="bottom"/>
            <w:vMerge w:val="continue"/>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792,403</w:t>
            </w:r>
          </w:p>
        </w:tc>
        <w:tc>
          <w:tcPr>
            <w:tcW w:w="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(3,111,468)</w:t>
            </w: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(3,111,468)</w:t>
            </w:r>
          </w:p>
        </w:tc>
        <w:tc>
          <w:tcPr>
            <w:tcW w:w="0" w:type="dxa"/>
            <w:vAlign w:val="bottom"/>
          </w:tcPr>
          <w:p>
            <w:pPr>
              <w:spacing w:after="0"/>
              <w:rPr>
                <w:sz w:val="1"/>
                <w:szCs w:val="1"/>
                <w:color w:val="auto"/>
              </w:rPr>
            </w:pPr>
          </w:p>
        </w:tc>
      </w:tr>
      <w:tr>
        <w:trPr>
          <w:trHeight w:val="174"/>
        </w:trPr>
        <w:tc>
          <w:tcPr>
            <w:tcW w:w="216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2,753,489</w:t>
            </w:r>
          </w:p>
        </w:tc>
        <w:tc>
          <w:tcPr>
            <w:tcW w:w="10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$ 751,930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943,813</w:t>
            </w:r>
          </w:p>
        </w:tc>
        <w:tc>
          <w:tcPr>
            <w:tcW w:w="1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$ 536,426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29,658,140</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2,966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w w:val="97"/>
              </w:rPr>
              <w:t>$</w:t>
            </w:r>
            <w:r>
              <w:rPr>
                <w:rFonts w:ascii="Times New Roman" w:cs="Times New Roman" w:eastAsia="Times New Roman" w:hAnsi="Times New Roman"/>
                <w:sz w:val="18"/>
                <w:szCs w:val="18"/>
                <w:b w:val="1"/>
                <w:bCs w:val="1"/>
                <w:color w:val="auto"/>
                <w:w w:val="97"/>
              </w:rPr>
              <w:t>40,328,485</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7"/>
              </w:rPr>
              <w:t>$ (57,582,888)</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5"/>
              </w:rPr>
              <w:t>$ (15,963,081)</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For the Years Ended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7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(3,111,468)</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(107,463)</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bad debts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34,040</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271,546</w:t>
            </w: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765,018</w:t>
            </w: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779,768</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 and issuance costs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60,696</w:t>
            </w:r>
          </w:p>
        </w:tc>
        <w:tc>
          <w:tcPr>
            <w:tcW w:w="42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66,946</w:t>
            </w: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792,403</w:t>
            </w: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729,656</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Vesting of deferred stock</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1,334,193</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85,662</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80,693</w:t>
            </w: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1,084,608</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(Gain) loss on disposal or sale of equipment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w:t>
            </w: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1,630,110</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(1,292,588)</w:t>
            </w:r>
          </w:p>
        </w:tc>
      </w:tr>
      <w:tr>
        <w:trPr>
          <w:trHeight w:val="216"/>
        </w:trPr>
        <w:tc>
          <w:tcPr>
            <w:tcW w:w="6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receivables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(39,777)</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(62,510)</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47,567</w:t>
            </w:r>
          </w:p>
        </w:tc>
      </w:tr>
      <w:tr>
        <w:trPr>
          <w:trHeight w:val="216"/>
        </w:trPr>
        <w:tc>
          <w:tcPr>
            <w:tcW w:w="6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11,842</w:t>
            </w:r>
          </w:p>
        </w:tc>
        <w:tc>
          <w:tcPr>
            <w:tcW w:w="420" w:type="dxa"/>
            <w:vAlign w:val="bottom"/>
          </w:tcPr>
          <w:p>
            <w:pPr>
              <w:spacing w:after="0"/>
              <w:rPr>
                <w:sz w:val="18"/>
                <w:szCs w:val="18"/>
                <w:color w:val="auto"/>
              </w:rPr>
            </w:pPr>
          </w:p>
        </w:tc>
        <w:tc>
          <w:tcPr>
            <w:tcW w:w="15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7,411</w:t>
            </w:r>
          </w:p>
        </w:tc>
      </w:tr>
      <w:tr>
        <w:trPr>
          <w:trHeight w:val="216"/>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interest on related party notes payable</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258,708</w:t>
            </w: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392,412</w:t>
            </w: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(86,805)</w:t>
            </w:r>
          </w:p>
        </w:tc>
        <w:tc>
          <w:tcPr>
            <w:tcW w:w="42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(79,092)</w:t>
            </w:r>
          </w:p>
        </w:tc>
      </w:tr>
      <w:tr>
        <w:trPr>
          <w:trHeight w:val="216"/>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(281,538)</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(188,423)</w:t>
            </w:r>
          </w:p>
        </w:tc>
      </w:tr>
      <w:tr>
        <w:trPr>
          <w:trHeight w:val="216"/>
        </w:trPr>
        <w:tc>
          <w:tcPr>
            <w:tcW w:w="67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(65,903)</w:t>
            </w:r>
          </w:p>
        </w:tc>
        <w:tc>
          <w:tcPr>
            <w:tcW w:w="42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(3,335,693)</w:t>
            </w:r>
          </w:p>
        </w:tc>
      </w:tr>
      <w:tr>
        <w:trPr>
          <w:trHeight w:val="230"/>
        </w:trPr>
        <w:tc>
          <w:tcPr>
            <w:tcW w:w="67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340,911</w:t>
            </w:r>
          </w:p>
        </w:tc>
        <w:tc>
          <w:tcPr>
            <w:tcW w:w="420" w:type="dxa"/>
            <w:vAlign w:val="bottom"/>
            <w:shd w:val="clear" w:color="auto" w:fill="CCEEFF"/>
          </w:tcPr>
          <w:p>
            <w:pPr>
              <w:spacing w:after="0"/>
              <w:rPr>
                <w:sz w:val="19"/>
                <w:szCs w:val="19"/>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676,393</w:t>
            </w:r>
          </w:p>
        </w:tc>
        <w:tc>
          <w:tcPr>
            <w:tcW w:w="80" w:type="dxa"/>
            <w:vAlign w:val="bottom"/>
            <w:shd w:val="clear" w:color="auto" w:fill="CCEEFF"/>
          </w:tcPr>
          <w:p>
            <w:pPr>
              <w:spacing w:after="0"/>
              <w:rPr>
                <w:sz w:val="19"/>
                <w:szCs w:val="19"/>
                <w:color w:val="auto"/>
              </w:rPr>
            </w:pPr>
          </w:p>
        </w:tc>
      </w:tr>
      <w:tr>
        <w:trPr>
          <w:trHeight w:val="209"/>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2,750,047</w:t>
            </w:r>
          </w:p>
        </w:tc>
        <w:tc>
          <w:tcPr>
            <w:tcW w:w="4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(1,946,151)</w:t>
            </w:r>
          </w:p>
        </w:tc>
      </w:tr>
      <w:tr>
        <w:trPr>
          <w:trHeight w:val="210"/>
        </w:trPr>
        <w:tc>
          <w:tcPr>
            <w:tcW w:w="6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internal use software development costs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(438,101)</w:t>
            </w:r>
          </w:p>
        </w:tc>
        <w:tc>
          <w:tcPr>
            <w:tcW w:w="42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(743,821)</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300</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750</w:t>
            </w:r>
          </w:p>
        </w:tc>
      </w:tr>
      <w:tr>
        <w:trPr>
          <w:trHeight w:val="23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(7,164)</w:t>
            </w:r>
          </w:p>
        </w:tc>
        <w:tc>
          <w:tcPr>
            <w:tcW w:w="420" w:type="dxa"/>
            <w:vAlign w:val="bottom"/>
          </w:tcPr>
          <w:p>
            <w:pPr>
              <w:spacing w:after="0"/>
              <w:rPr>
                <w:sz w:val="19"/>
                <w:szCs w:val="19"/>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(15,134)</w:t>
            </w:r>
          </w:p>
        </w:tc>
      </w:tr>
      <w:tr>
        <w:trPr>
          <w:trHeight w:val="209"/>
        </w:trPr>
        <w:tc>
          <w:tcPr>
            <w:tcW w:w="6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(444,965)</w:t>
            </w:r>
          </w:p>
        </w:tc>
        <w:tc>
          <w:tcPr>
            <w:tcW w:w="420" w:type="dxa"/>
            <w:vAlign w:val="bottom"/>
          </w:tcPr>
          <w:p>
            <w:pPr>
              <w:spacing w:after="0"/>
              <w:rPr>
                <w:sz w:val="19"/>
                <w:szCs w:val="19"/>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(758,205)</w:t>
            </w:r>
          </w:p>
        </w:tc>
      </w:tr>
      <w:tr>
        <w:trPr>
          <w:trHeight w:val="210"/>
        </w:trPr>
        <w:tc>
          <w:tcPr>
            <w:tcW w:w="6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Advances from line of credit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15,332,837</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16,731,262</w:t>
            </w: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(17,177,782)</w:t>
            </w:r>
          </w:p>
        </w:tc>
        <w:tc>
          <w:tcPr>
            <w:tcW w:w="42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(16,035,480)</w:t>
            </w: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short-term debt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(2,500,000)</w:t>
            </w: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notes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250,000</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on related party notes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(550,000)</w:t>
            </w: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30"/>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r>
      <w:tr>
        <w:trPr>
          <w:trHeight w:val="209"/>
        </w:trPr>
        <w:tc>
          <w:tcPr>
            <w:tcW w:w="6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(2,144,945)</w:t>
            </w:r>
          </w:p>
        </w:tc>
        <w:tc>
          <w:tcPr>
            <w:tcW w:w="420" w:type="dxa"/>
            <w:vAlign w:val="bottom"/>
          </w:tcPr>
          <w:p>
            <w:pPr>
              <w:spacing w:after="0"/>
              <w:rPr>
                <w:sz w:val="19"/>
                <w:szCs w:val="19"/>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(1,501,781)</w:t>
            </w:r>
          </w:p>
        </w:tc>
      </w:tr>
      <w:tr>
        <w:trPr>
          <w:trHeight w:val="210"/>
        </w:trPr>
        <w:tc>
          <w:tcPr>
            <w:tcW w:w="67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160,137</w:t>
            </w:r>
          </w:p>
        </w:tc>
        <w:tc>
          <w:tcPr>
            <w:tcW w:w="420" w:type="dxa"/>
            <w:vAlign w:val="bottom"/>
          </w:tcPr>
          <w:p>
            <w:pPr>
              <w:spacing w:after="0"/>
              <w:rPr>
                <w:sz w:val="18"/>
                <w:szCs w:val="18"/>
                <w:color w:val="auto"/>
              </w:rPr>
            </w:pPr>
          </w:p>
        </w:tc>
        <w:tc>
          <w:tcPr>
            <w:tcW w:w="15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(4,206,074)</w:t>
            </w:r>
          </w:p>
        </w:tc>
      </w:tr>
      <w:tr>
        <w:trPr>
          <w:trHeight w:val="216"/>
        </w:trPr>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1,318,599</w:t>
            </w: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3,024,673</w:t>
            </w:r>
          </w:p>
        </w:tc>
        <w:tc>
          <w:tcPr>
            <w:tcW w:w="80" w:type="dxa"/>
            <w:vAlign w:val="bottom"/>
            <w:shd w:val="clear" w:color="auto" w:fill="CCEEFF"/>
          </w:tcPr>
          <w:p>
            <w:pPr>
              <w:spacing w:after="0"/>
              <w:rPr>
                <w:sz w:val="18"/>
                <w:szCs w:val="18"/>
                <w:color w:val="auto"/>
              </w:rPr>
            </w:pPr>
          </w:p>
        </w:tc>
      </w:tr>
      <w:tr>
        <w:trPr>
          <w:trHeight w:val="229"/>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 beginning of period</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80" w:type="dxa"/>
            <w:vAlign w:val="bottom"/>
          </w:tcPr>
          <w:p>
            <w:pPr>
              <w:spacing w:after="0"/>
              <w:rPr>
                <w:sz w:val="19"/>
                <w:szCs w:val="19"/>
                <w:color w:val="auto"/>
              </w:rPr>
            </w:pPr>
          </w:p>
        </w:tc>
      </w:tr>
      <w:tr>
        <w:trPr>
          <w:trHeight w:val="210"/>
        </w:trPr>
        <w:tc>
          <w:tcPr>
            <w:tcW w:w="67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beginning of period</w:t>
            </w: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1,318,599</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5,524,673</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1,478,736</w:t>
            </w:r>
          </w:p>
        </w:tc>
        <w:tc>
          <w:tcPr>
            <w:tcW w:w="4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1,318,599</w:t>
            </w:r>
          </w:p>
        </w:tc>
        <w:tc>
          <w:tcPr>
            <w:tcW w:w="80" w:type="dxa"/>
            <w:vAlign w:val="bottom"/>
          </w:tcPr>
          <w:p>
            <w:pPr>
              <w:spacing w:after="0"/>
              <w:rPr>
                <w:sz w:val="18"/>
                <w:szCs w:val="18"/>
                <w:color w:val="auto"/>
              </w:rPr>
            </w:pPr>
          </w:p>
        </w:tc>
      </w:tr>
      <w:tr>
        <w:trPr>
          <w:trHeight w:val="229"/>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 end of period</w:t>
            </w: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end of period</w:t>
            </w:r>
          </w:p>
        </w:tc>
        <w:tc>
          <w:tcPr>
            <w:tcW w:w="260" w:type="dxa"/>
            <w:vAlign w:val="bottom"/>
          </w:tcPr>
          <w:p>
            <w:pPr>
              <w:spacing w:after="0"/>
              <w:rPr>
                <w:sz w:val="18"/>
                <w:szCs w:val="18"/>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1,478,736</w:t>
            </w:r>
          </w:p>
        </w:tc>
        <w:tc>
          <w:tcPr>
            <w:tcW w:w="340" w:type="dxa"/>
            <w:vAlign w:val="bottom"/>
          </w:tcPr>
          <w:p>
            <w:pPr>
              <w:spacing w:after="0"/>
              <w:rPr>
                <w:sz w:val="18"/>
                <w:szCs w:val="18"/>
                <w:color w:val="auto"/>
              </w:rPr>
            </w:pP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1,318,599</w:t>
            </w:r>
          </w:p>
        </w:tc>
        <w:tc>
          <w:tcPr>
            <w:tcW w:w="8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flows information:</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7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820" w:type="dxa"/>
            <w:vAlign w:val="bottom"/>
            <w:tcBorders>
              <w:right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954,447</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522,753</w:t>
            </w:r>
          </w:p>
        </w:tc>
        <w:tc>
          <w:tcPr>
            <w:tcW w:w="80" w:type="dxa"/>
            <w:vAlign w:val="bottom"/>
            <w:shd w:val="clear" w:color="auto" w:fill="CCEEFF"/>
          </w:tcPr>
          <w:p>
            <w:pPr>
              <w:spacing w:after="0"/>
              <w:rPr>
                <w:sz w:val="19"/>
                <w:szCs w:val="19"/>
                <w:color w:val="auto"/>
              </w:rPr>
            </w:pPr>
          </w:p>
        </w:tc>
      </w:tr>
      <w:tr>
        <w:trPr>
          <w:trHeight w:val="209"/>
        </w:trPr>
        <w:tc>
          <w:tcPr>
            <w:tcW w:w="67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paid (received) for income taxes</w:t>
            </w:r>
          </w:p>
        </w:tc>
        <w:tc>
          <w:tcPr>
            <w:tcW w:w="2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6,755</w:t>
            </w:r>
          </w:p>
        </w:tc>
        <w:tc>
          <w:tcPr>
            <w:tcW w:w="34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(8,240</w:t>
            </w:r>
          </w:p>
        </w:tc>
        <w:tc>
          <w:tcPr>
            <w:tcW w:w="8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10"/>
        </w:trPr>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Noncash financing activities:</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6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Vesting of deferred stock and related liability</w:t>
            </w:r>
          </w:p>
        </w:tc>
        <w:tc>
          <w:tcPr>
            <w:tcW w:w="26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1,334,193</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136"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Organization</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Nomea, Inc. (the “Company”) was incorporated in Delaware on May 9, 2007 and amended its Articles of Incorporation on September 27, 2010 at which time the Company changed its name to ConnectAndSell, Inc. The Company is the first sales acceleration solution that improves the efficiency and effectiveness of critical business functions like outbound prospecting, qualifying marketing leads and channeling market development. The Company delivers conversations on demand, using a combination of proprietary switching technology and human intelligence which navigates voice mail, IVR phone menu trees and gatekeepers to allow customers to better focus and optimize their selling efforts. The Company’s product is sold as a “SAAS” (Software as a Service) product, principally to customers in North America.</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Going Concern</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As shown in the accompanying financial statements, the Company has negative working capital and has suffered recurring operating losses and, as of December 31, 2025, had an accumulated deficit of $57,582,888 and a line of credit that matures in December 2026. These conditions raise substantial doubt about the Company’s ability to continue as a going concern for at least one year from the issuance date of these financial statements. Management’s plans in regard to this matter consist of taking steps to improve profitability and cash flows resulting from increased bookings, due to continuous efforts to increase new revenues and improve marketing strategies. Management also plans to continue to get an extension of the Company’s outstanding debt. Additionally, as discussed in Note 12, the Company is in process of negotiating a sale of the Company. The financial statements do not include any adjustments that might result from the outcome of this uncertainty.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accounting in accordance with accounting principles generally accepted in the United States of America (“GAAP”) for interim financial information.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Use of Estimates</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at the date of the financial statements and the reported amounts of revenues and expenses during the reporting period. The Company’s most significant estimates relate to the valuation of its common stock, options, warrants, allowance for credit losses, deferred tax assets and the related valuation allowance, capitalization and amortization of software development costs and its going concern evaluation.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from the date of purchase of three months or less to be cash equivalents. As of December 31, 2025 and 2024, cash and cash equivalents consist of cash deposited with banks. The recorded carrying amount of cash and cash equivalents approximates their fair value. The Company places its cash equivalents with high credit-quality financial institutions.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Accounts Receivable</w:t>
      </w:r>
    </w:p>
    <w:p>
      <w:pPr>
        <w:spacing w:after="0" w:line="225"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generally does not require collateral or other security in support of accounts receivable and does not charge interest on past due balances. To reduce credit risk, management performs ongoing credit evaluations of its customers’ financial condition, using relevant available information, from internal and external sources, relating to past events, current conditions, and reasonable and supportable forecasts. Historical credit loss experience provides the basis for the estimation of expected credit losses. Adjustments to historical loss information are made for differences in current credit risk rating, collection pattern of customers, as well as for changes in economic environmental conditions. The Company analyzes the need for reserves for potential credit losses and records allowances for credit losses when necessary. The Company writes off accounts against the allowance after all attempts at collection have been exhausted. Recoveries of accounts receivable previously written off are recorded when received. At December 31, 2025, 2024, the Company recorded an allowance for credit losses of $34,040 and $271,546, respectively.</w:t>
      </w:r>
    </w:p>
    <w:p>
      <w:pPr>
        <w:spacing w:after="0" w:line="188"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accounts receivable for the years ended December 31, 2025 and 2024:</w:t>
      </w:r>
    </w:p>
    <w:p>
      <w:pPr>
        <w:sectPr>
          <w:pgSz w:w="11900" w:h="16838" w:orient="portrait"/>
          <w:cols w:equalWidth="0" w:num="1">
            <w:col w:w="11240"/>
          </w:cols>
          <w:pgMar w:left="320" w:top="229" w:right="339" w:bottom="1440" w:gutter="0" w:footer="0" w:header="0"/>
        </w:sectPr>
      </w:pP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Beginning balance as of 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-116840</wp:posOffset>
            </wp:positionV>
            <wp:extent cx="5700395"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5715</wp:posOffset>
            </wp:positionV>
            <wp:extent cx="5700395" cy="1460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Write-offs charged against the allowance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Ending 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40005</wp:posOffset>
            </wp:positionV>
            <wp:extent cx="5700395" cy="1543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2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Beginning balance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19685</wp:posOffset>
            </wp:positionV>
            <wp:extent cx="5700395"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1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Write-offs charged against the allowance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Ending balance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-121920</wp:posOffset>
            </wp:positionV>
            <wp:extent cx="5700395" cy="16256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5700395" cy="162560"/>
                    </a:xfrm>
                    <a:prstGeom prst="rect">
                      <a:avLst/>
                    </a:prstGeom>
                    <a:noFill/>
                  </pic:spPr>
                </pic:pic>
              </a:graphicData>
            </a:graphic>
          </wp:anchor>
        </w:drawing>
      </w:r>
    </w:p>
    <w:p>
      <w:pPr>
        <w:spacing w:after="0" w:line="268" w:lineRule="exact"/>
        <w:rPr>
          <w:sz w:val="20"/>
          <w:szCs w:val="20"/>
          <w:color w:val="auto"/>
        </w:rPr>
      </w:pPr>
    </w:p>
    <w:p>
      <w:pPr>
        <w:jc w:val="right"/>
        <w:ind w:right="1791"/>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949" w:hanging="949"/>
        <w:spacing w:after="0"/>
        <w:tabs>
          <w:tab w:leader="none" w:pos="94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265,100</w:t>
      </w:r>
    </w:p>
    <w:p>
      <w:pPr>
        <w:spacing w:after="0" w:line="27" w:lineRule="exact"/>
        <w:rPr>
          <w:rFonts w:ascii="Times New Roman" w:cs="Times New Roman" w:eastAsia="Times New Roman" w:hAnsi="Times New Roman"/>
          <w:sz w:val="18"/>
          <w:szCs w:val="18"/>
          <w:color w:val="auto"/>
        </w:rPr>
      </w:pPr>
    </w:p>
    <w:p>
      <w:pPr>
        <w:ind w:left="94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271,546</w:t>
      </w:r>
    </w:p>
    <w:p>
      <w:pPr>
        <w:spacing w:after="0" w:line="9" w:lineRule="exact"/>
        <w:rPr>
          <w:sz w:val="20"/>
          <w:szCs w:val="20"/>
          <w:color w:val="auto"/>
        </w:rPr>
      </w:pPr>
    </w:p>
    <w:p>
      <w:pPr>
        <w:jc w:val="right"/>
        <w:ind w:right="1300"/>
        <w:spacing w:after="0"/>
        <w:rPr>
          <w:sz w:val="20"/>
          <w:szCs w:val="20"/>
          <w:color w:val="auto"/>
        </w:rPr>
      </w:pPr>
      <w:r>
        <w:rPr>
          <w:rFonts w:ascii="Times New Roman" w:cs="Times New Roman" w:eastAsia="Times New Roman" w:hAnsi="Times New Roman"/>
          <w:sz w:val="18"/>
          <w:szCs w:val="18"/>
          <w:color w:val="auto"/>
        </w:rPr>
        <w:t>(265,100)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6837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7" w:lineRule="exact"/>
        <w:rPr>
          <w:sz w:val="20"/>
          <w:szCs w:val="20"/>
          <w:color w:val="auto"/>
        </w:rPr>
      </w:pPr>
    </w:p>
    <w:p>
      <w:pPr>
        <w:ind w:left="949" w:hanging="949"/>
        <w:spacing w:after="0"/>
        <w:tabs>
          <w:tab w:leader="none" w:pos="949"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271,546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19685</wp:posOffset>
            </wp:positionV>
            <wp:extent cx="96837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50" w:lineRule="exact"/>
        <w:rPr>
          <w:sz w:val="20"/>
          <w:szCs w:val="20"/>
          <w:color w:val="auto"/>
        </w:rPr>
      </w:pPr>
    </w:p>
    <w:p>
      <w:pPr>
        <w:ind w:left="949" w:hanging="949"/>
        <w:spacing w:after="0"/>
        <w:tabs>
          <w:tab w:leader="none" w:pos="949"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271,546</w:t>
      </w:r>
    </w:p>
    <w:p>
      <w:pPr>
        <w:spacing w:after="0" w:line="27" w:lineRule="exact"/>
        <w:rPr>
          <w:rFonts w:ascii="Times New Roman" w:cs="Times New Roman" w:eastAsia="Times New Roman" w:hAnsi="Times New Roman"/>
          <w:sz w:val="18"/>
          <w:szCs w:val="18"/>
          <w:color w:val="auto"/>
        </w:rPr>
      </w:pPr>
    </w:p>
    <w:p>
      <w:pPr>
        <w:ind w:left="102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34,040</w:t>
      </w:r>
    </w:p>
    <w:p>
      <w:pPr>
        <w:spacing w:after="0" w:line="9" w:lineRule="exact"/>
        <w:rPr>
          <w:sz w:val="20"/>
          <w:szCs w:val="20"/>
          <w:color w:val="auto"/>
        </w:rPr>
      </w:pPr>
    </w:p>
    <w:p>
      <w:pPr>
        <w:jc w:val="right"/>
        <w:ind w:right="1300"/>
        <w:spacing w:after="0"/>
        <w:rPr>
          <w:sz w:val="20"/>
          <w:szCs w:val="20"/>
          <w:color w:val="auto"/>
        </w:rPr>
      </w:pPr>
      <w:r>
        <w:rPr>
          <w:rFonts w:ascii="Times New Roman" w:cs="Times New Roman" w:eastAsia="Times New Roman" w:hAnsi="Times New Roman"/>
          <w:sz w:val="18"/>
          <w:szCs w:val="18"/>
          <w:color w:val="auto"/>
        </w:rPr>
        <w:t>(271,546)</w:t>
      </w:r>
    </w:p>
    <w:p>
      <w:pPr>
        <w:spacing w:after="0" w:line="27" w:lineRule="exact"/>
        <w:rPr>
          <w:sz w:val="20"/>
          <w:szCs w:val="20"/>
          <w:color w:val="auto"/>
        </w:rPr>
      </w:pPr>
    </w:p>
    <w:p>
      <w:pPr>
        <w:ind w:left="1029" w:hanging="1029"/>
        <w:spacing w:after="0"/>
        <w:tabs>
          <w:tab w:leader="none" w:pos="1029"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34,040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36830</wp:posOffset>
            </wp:positionV>
            <wp:extent cx="96837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ectPr>
          <w:pgSz w:w="11900" w:h="16838" w:orient="portrait"/>
          <w:cols w:equalWidth="0" w:num="2">
            <w:col w:w="7631" w:space="720"/>
            <w:col w:w="2889"/>
          </w:cols>
          <w:pgMar w:left="320" w:top="229" w:right="339" w:bottom="1440" w:gutter="0" w:footer="0" w:header="0"/>
          <w:type w:val="continuous"/>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Concentrations of Credit Risk</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credit risk consist primarily of cash and cash equivalents and accounts receivable. Cash and cash equivalents are deposited with federally insured commercial banks in the United States. At times cash balances may exceed federal insurance limits. However, given the credit quality of these banks, the Company believes any credit risk to be low.</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two customers who accounted for approximately 26% and 11% of total accounts receivable and there was one customer who accounted for approximately 18% of total revenues.</w:t>
      </w:r>
    </w:p>
    <w:p>
      <w:pPr>
        <w:spacing w:after="0" w:line="162"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 had one customer who accounted for 34% of total accounts receivable and there were no customers who accounted for more than 10% of total revenues.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Depreciation and amortization are computed using the straight-line method over the estimated useful lives of the respective assets, generally one to five years. Leasehold improvements are amortized over the shorter of the estimated useful lives of the assets or the lease term. Expenditures for repairs and maintenance are charged to expense as incurred. Upon disposition, the cost and related accumulated depreciation are removed from the accounts and the resulting gain or loss is reflected in the statement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Long-lived Assets</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reviews long-lived assets for impairment whenever events or changes in circumstances indicate that the carrying amount of an asset may not be recoverable. No such impairments have been identified as of December 31, 2025 and 2024.</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p>
    <w:p>
      <w:pPr>
        <w:spacing w:after="0" w:line="225" w:lineRule="exact"/>
        <w:rPr>
          <w:sz w:val="20"/>
          <w:szCs w:val="20"/>
          <w:color w:val="auto"/>
        </w:rPr>
      </w:pPr>
    </w:p>
    <w:p>
      <w:pPr>
        <w:jc w:val="both"/>
        <w:ind w:left="660" w:right="20"/>
        <w:spacing w:after="0" w:line="261" w:lineRule="auto"/>
        <w:rPr>
          <w:sz w:val="20"/>
          <w:szCs w:val="20"/>
          <w:color w:val="auto"/>
        </w:rPr>
      </w:pPr>
      <w:r>
        <w:rPr>
          <w:rFonts w:ascii="Times New Roman" w:cs="Times New Roman" w:eastAsia="Times New Roman" w:hAnsi="Times New Roman"/>
          <w:sz w:val="18"/>
          <w:szCs w:val="18"/>
          <w:color w:val="auto"/>
        </w:rPr>
        <w:t>The Company recognizes revenue in accordance with ASC 606 (“ASC 606”), Revenue from Contracts with Customers, the core principle of which is that an entity should recognize revenue to depict the transfer of promised goods or services to customers in an amount that reflects the consideration to which the entity expects to be entitled to receive in exchange for those goods or services. To achieve this core principle, five basic criteria must be met before revenue can be recognized:</w:t>
      </w:r>
    </w:p>
    <w:p>
      <w:pPr>
        <w:spacing w:after="0" w:line="180" w:lineRule="exact"/>
        <w:rPr>
          <w:sz w:val="20"/>
          <w:szCs w:val="20"/>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offers its software under a cloud-based delivery model, where it provides access to its SAAS model where customers do not have the contractual right to take possession of the software. The Company sells “usage based” licenses, which is the usage of the product by the hour, by the connection or by the dial. Revenue on usage-based licenses is recognized in the period the usage has taken place. The Company also sells its services pursuant to license agreements, which includes named user licenses (“NULs”) which are single seat licenses with unlimited use, which range from two weeks to five years. Revenue on NULs is recognized ratably over the contract term.</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All of the Company’s revenue and accounts receivable are generated from contracts with customers. Revenue is recognized when control of the promised services is transferred to the Company’s customers at an amount that reflects the consideration the Company expects to be entitled to in exchange for those services. The majority of customer contracts have performance obligations that the Company satisfies over time and revenue is recognized by consistently applying a method of measuring progress toward satisfaction of that performance obligation.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in a contract to transfer a distinct good or service to the customer and is the unit of account under ASC 606. The transaction price is allocated to each distinct performance obligation and is recognized as revenue when, or as, the performance obligation is satisfied by transferring the promised good or service to the customer. The Company identifies and tracks the performance obligations at contract inception so that the Company can monitor and account for the performance obligations over the life of the contract.</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contracts typically contain a single performance obligation consisting of the SAAS in a multi-tenant environment where support and maintenance are included for customers. Contracts with multiple performance obligations may contain additional software products or professional services.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contracts with multiple performance obligations where the contracted price differs from the standalone selling price (“SSP”) for any distinct good or service, the Company may be required to allocate the transaction price to each performance obligation using its best estimate for the SSP.</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SAAS contracts are recognized over time, generally using an output method for dials or connects expended to measure usage. For named user licenses and sessions with unlimited dials, revenues are recognized ratably over the term of the contracted period. Professional services are recognized over the service term using an output method or the right to invoice practical expedient, when applicable.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Customer payment terms vary by arrangement although payments are typically due within 15 - 45 days of invoicing. The timing between the satisfaction of the performance obligations and the payment is not significant and the Company currently does not have any significant financing components or significant extended payment terms.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by “Product Type” as it best describes the product offering as it flows through revenue. For all such revenue types, the revenue recognition is over time. The disaggregated revenue for the years ended December 31:</w:t>
      </w:r>
    </w:p>
    <w:p>
      <w:pPr>
        <w:spacing w:after="0" w:line="387"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 Type</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r>
      <w:tr>
        <w:trPr>
          <w:trHeight w:val="209"/>
        </w:trPr>
        <w:tc>
          <w:tcPr>
            <w:tcW w:w="4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Smart Dials</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458,492</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1,940,884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NUL</w:t>
            </w: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13,923,942</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14,007,557</w:t>
            </w:r>
          </w:p>
        </w:tc>
      </w:tr>
      <w:tr>
        <w:trPr>
          <w:trHeight w:val="216"/>
        </w:trPr>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Connects</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119,209</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171,207</w:t>
            </w:r>
          </w:p>
        </w:tc>
      </w:tr>
      <w:tr>
        <w:trPr>
          <w:trHeight w:val="229"/>
        </w:trPr>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214,311</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89,981</w:t>
            </w:r>
          </w:p>
        </w:tc>
      </w:tr>
      <w:tr>
        <w:trPr>
          <w:trHeight w:val="223"/>
        </w:trPr>
        <w:tc>
          <w:tcPr>
            <w:tcW w:w="48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14,715,954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16,209,629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Practical Expedients and Exemptions</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There are several practical expedients and exemptions allowed under ASC 606 that impact timing of revenue recognition and the Company’s disclosures. Below is a list of practical expedients the Company applied in the adoption and application of ASC 606:</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Application Practical Expedients</w:t>
      </w:r>
    </w:p>
    <w:p>
      <w:pPr>
        <w:spacing w:after="0" w:line="225" w:lineRule="exact"/>
        <w:rPr>
          <w:sz w:val="20"/>
          <w:szCs w:val="20"/>
          <w:color w:val="auto"/>
        </w:rPr>
      </w:pPr>
    </w:p>
    <w:p>
      <w:pPr>
        <w:ind w:left="1620" w:hanging="316"/>
        <w:spacing w:after="0" w:line="282"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evaluate a contract for a significant financing component if payment is expected within one year or less from the transfer of the promised items to the customer.</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generally expenses sales commissions when incurred when the amortization period would have been one year or less. These costs are recorded within sales and marketing expense in the consolidated statements of operations.</w:t>
      </w:r>
    </w:p>
    <w:p>
      <w:pPr>
        <w:spacing w:after="0" w:line="161"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permitted to recognize revenue at the amount to which it has the right to invoice for services performed if the Company’s right to payment is for an amount that corresponds directly with the value provided to the customer.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Revenue from Contracts with Customers</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to customers and these timing differences result in accounts receivable or contract liabilities (deferred revenue) in the Company’s consolidated balance sheets. The Company records deferred revenue when the Company has received or has the right to receive consideration, but has not yet transferred goods or services to the customer.</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generally invoices customers in advance of the service period. Amounts that have been invoiced are recorded in accounts receivable and in deferred revenue, or in revenue depending on whether the revenue recognition criteria has been met. Paid and unpaid invoice amounts for non-cancellable services occurring in future periods are included in deferred revenue.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Opening balances (January 1, 2024) of contract assets and liabilities were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7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2,120,021</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7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6,768,159</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Contract Costs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Costs to Obtain Contracts</w:t>
      </w:r>
    </w:p>
    <w:p>
      <w:pPr>
        <w:spacing w:after="0" w:line="22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determined that the only incremental costs incurred to obtain contracts with customers within the scope of Topic 606 are sales commissions paid to its employees. It is the Company’s policy to record sales commissions as an asset and amortize to expense ratably over the determined period of benefit. The balance was not significant to the Company’s financial statements and therefore not recorded in the Company’s balance sheet as of December 31, 2025 and 2024.</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applies the practical expedient in Topic 606 and expenses costs as incurred for sales commissions when the amortization period would have been one year or less.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Costs to Fulfill Contracts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has concluded that the fulfillment costs associated with its contracts do not meet the capitalization criteria in Topic 340 and should not be capitalized and amortized.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GAAP establishes accounting for share-based awards exchanged for employee services and requires companies to expense the estimated fair value of these awards over the requisite employee service period. Under GAAP, share-based compensation cost is determined at the grant date using an option-pricing model. The value of the awards that is ultimately expected to vest is recognized as expense on a straight-line basis over the employee’s requisite service period. Options attributable to non-employees are amortized over the service period and the unvested portion of these options is re-measured at each vesting date.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Research and Development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Research and development costs are charged to operations as incurred.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Internal-use Software</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The Company develops internal-use software as required to support its operations. Costs incurred to develop internal-use software during the application development stage are capitalized and reported at cost, subject to an impairment test. Application development stage costs generally include costs associated with software configuration, coding, installation and testing. Costs of significant upgrades and enhancements that result in additional functionality are also capitalized whereas costs incurred for maintenance and minor upgrades and minor enhancements are expensed as incurred. Capitalized costs are amortized using the straight- line method over three years. The Company assesses the potential impairment of capitalized internal-use software whenever events or changes in circumstances indicate that the carrying value of the internal-use software may not be recoverable. No such impairments were identified during the years ended December 31, 2025 and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Advertising</w:t>
      </w:r>
    </w:p>
    <w:p>
      <w:pPr>
        <w:spacing w:after="0" w:line="225"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Company expenses the costs of advertising, including promotional expenses, as incurred. Advertising expense for the years ended December 31, 2025 and 2024 was $63,522 and $91,193, respectively and included in sales and marketing expenses in the statement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Under this method, deferred income tax assets and liabilities are recorded based on the estimated future tax effects of differences between the financial statement and income tax basis of assets and liabilities. In addition, deferred tax assets are recorded for the future benefit of utilizing net operating loss and tax credit carryovers. Deferred tax assets and liabilities are measured using the enacted tax rates applied to taxable income. The effect on deferred tax assets and liabilities of a change in tax rates is recognized in income in the period that includes the enactment date. A valuation allowance is provided against the Company’s deferred income tax assets when it is more likely than not that the asset will not be realized.</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considers all available evidence, including past operating results, estimates of future taxable income and the feasibility of tax planning strategies. In the event that the Company changes its determination as to the amount of deferred tax assets that are more likely than not to be realized, the Company will adjust its valuation allowance with a corresponding impact to the provision for income taxes in the period in which such determination is made.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Income Taxes</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follows authoritative guidance regarding uncertain tax positions. This guidance requires that realization of an uncertain income tax position must be more likely than not (i.e., greater than 50% likelihood of receiving a benefit) before it can be recognized in the financial statements. The guidance further prescribes the benefit to be realized assumes a review by tax authorities having all relevant information and applying current conventions. The interpretation also clarifies the financial statement classification of tax-related penalties and interest and sets forth disclosures regarding unrecognized tax positions. The Company recognizes potential accrued interest and penalties related to unrecognized tax positions as income tax expense.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provides for improvements to income tax disclosures primarily related to the rate reconciliation and income taxes paid information. This ASU became effective for the Company on January 1, 2025. The adoption of ASU 2023-09 did not have a material impact on the Company’s financial statements.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provides (1) a practical expedient that assumes that current conditions as of the balance sheet date do not change for the remaining life of the assets and (2) entities other than public business entities with an accounting policy election to consider collection activity after the balance sheet date when estimating expected credit losses. This ASU is effective for the Company beginning on January 1, 2026. The Company is currently evaluating the impact of this new guidance on its financial statements.</w:t>
      </w:r>
    </w:p>
    <w:p>
      <w:pPr>
        <w:spacing w:after="0" w:line="18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Other—Internal-Use Software (Subtopic 350-40), which updates guidance for capitalizing internal-use software costs. The new standard removes stage-based rules and requires capitalization only when management has authorized and funded the project and it is probable the software will be completed and used as intended. This ASU is effective for fiscal years beginning after December 15, 2027. The Company is currently evaluating the impact of this new guidance on its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FAIR VALUE MEASUREMENT</w:t>
      </w:r>
    </w:p>
    <w:p>
      <w:pPr>
        <w:spacing w:after="0" w:line="2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measures and discloses fair value measurements as required by GAAP. Fair value is an exit price, representing the amount that would be received to sell an asset or paid to transfer a liability in an orderly transaction between market participants. As such, fair value is a market-based measurement that is determined based on assumptions that market participants would use in pricing an asset or a liability. As a basis for considering such assumptions, GAAP uses a three-tier value hierarchy, which prioritizes the inputs used in the valuation methodologies in measuring fair value:</w:t>
      </w:r>
    </w:p>
    <w:p>
      <w:pPr>
        <w:spacing w:after="0" w:line="183" w:lineRule="exact"/>
        <w:rPr>
          <w:sz w:val="20"/>
          <w:szCs w:val="20"/>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Observable inputs that reflect quoted prices (unadjusted) for identical assets or liabilities in active markets.</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Includes other inputs that are directly or indirectly observable in the marketplace.</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w:t>
      </w:r>
    </w:p>
    <w:p>
      <w:pPr>
        <w:spacing w:after="0" w:line="20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76"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major categories of assets and liabilities measured at fair value at December 31, 2025 and 2024 are cash and cash equivalents, which are Level 1 and the deferred stock liability (see Note 6), which is Level 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SIGNIFICANT BALANCE SHEET COMPONENTS</w:t>
      </w:r>
    </w:p>
    <w:p>
      <w:pPr>
        <w:spacing w:after="0" w:line="2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December 31:</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15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1680" w:type="dxa"/>
            <w:vAlign w:val="bottom"/>
          </w:tcPr>
          <w:p>
            <w:pPr>
              <w:spacing w:after="0"/>
              <w:rPr>
                <w:sz w:val="20"/>
                <w:szCs w:val="20"/>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subscriptions</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40,221</w:t>
            </w: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Insurance</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20,646</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27,706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31,344</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17,316</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Data</w:t>
            </w: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75,107</w:t>
            </w: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19,099</w:t>
            </w:r>
          </w:p>
        </w:tc>
        <w:tc>
          <w:tcPr>
            <w:tcW w:w="1680" w:type="dxa"/>
            <w:vAlign w:val="bottom"/>
          </w:tcPr>
          <w:p>
            <w:pPr>
              <w:spacing w:after="0"/>
              <w:rPr>
                <w:sz w:val="18"/>
                <w:szCs w:val="18"/>
                <w:color w:val="auto"/>
              </w:rPr>
            </w:pPr>
          </w:p>
        </w:tc>
      </w:tr>
      <w:tr>
        <w:trPr>
          <w:trHeight w:val="230"/>
        </w:trPr>
        <w:tc>
          <w:tcPr>
            <w:tcW w:w="170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5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13,276</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9,477</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Prepaid and other current assets</w:t>
            </w:r>
          </w:p>
        </w:tc>
        <w:tc>
          <w:tcPr>
            <w:tcW w:w="15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176,329</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113,819</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19"/>
        </w:trPr>
        <w:tc>
          <w:tcPr>
            <w:tcW w:w="17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F-145</w:t>
            </w: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SIGNIFICANT BALANCE SHEET COMPONENTS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Property and Equipment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December 31:</w:t>
      </w:r>
    </w:p>
    <w:p>
      <w:pPr>
        <w:spacing w:after="0" w:line="200" w:lineRule="exact"/>
        <w:rPr>
          <w:sz w:val="20"/>
          <w:szCs w:val="20"/>
          <w:color w:val="auto"/>
        </w:rPr>
      </w:pP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238"/>
        </w:trPr>
        <w:tc>
          <w:tcPr>
            <w:tcW w:w="48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r>
      <w:tr>
        <w:trPr>
          <w:trHeight w:val="209"/>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Computers, equipment and leasehold improvements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111,506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105,755</w:t>
            </w:r>
          </w:p>
        </w:tc>
        <w:tc>
          <w:tcPr>
            <w:tcW w:w="8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(97,195)</w:t>
            </w: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(84,406)</w:t>
            </w:r>
          </w:p>
        </w:tc>
      </w:tr>
      <w:tr>
        <w:trPr>
          <w:trHeight w:val="243"/>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14,311</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21,349</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$14,045 and $23,401 for the years ended December 31, 2025 and 2024, respectively.</w:t>
      </w:r>
    </w:p>
    <w:p>
      <w:pPr>
        <w:spacing w:after="0" w:line="21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2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Internally Developed Software</w:t>
            </w:r>
          </w:p>
        </w:tc>
        <w:tc>
          <w:tcPr>
            <w:tcW w:w="3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5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Internally developed software consisted of the following as of December 31:</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1040" w:type="dxa"/>
            <w:vAlign w:val="bottom"/>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368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4"/>
                <w:szCs w:val="24"/>
                <w:color w:val="auto"/>
              </w:rPr>
            </w:pPr>
          </w:p>
        </w:tc>
      </w:tr>
      <w:tr>
        <w:trPr>
          <w:trHeight w:val="210"/>
        </w:trPr>
        <w:tc>
          <w:tcPr>
            <w:tcW w:w="104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internally developed software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8,458,296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8,020,195</w:t>
            </w:r>
          </w:p>
        </w:tc>
        <w:tc>
          <w:tcPr>
            <w:tcW w:w="80" w:type="dxa"/>
            <w:vAlign w:val="bottom"/>
            <w:shd w:val="clear" w:color="auto" w:fill="CCEEFF"/>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(7,489,113)</w:t>
            </w: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(6,738,140)</w:t>
            </w:r>
          </w:p>
        </w:tc>
      </w:tr>
      <w:tr>
        <w:trPr>
          <w:trHeight w:val="243"/>
        </w:trPr>
        <w:tc>
          <w:tcPr>
            <w:tcW w:w="1040" w:type="dxa"/>
            <w:vAlign w:val="bottom"/>
          </w:tcPr>
          <w:p>
            <w:pPr>
              <w:spacing w:after="0"/>
              <w:rPr>
                <w:sz w:val="21"/>
                <w:szCs w:val="21"/>
                <w:color w:val="auto"/>
              </w:rPr>
            </w:pPr>
          </w:p>
        </w:tc>
        <w:tc>
          <w:tcPr>
            <w:tcW w:w="4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Internally developed software,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969,183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1,282,055</w:t>
            </w:r>
          </w:p>
        </w:tc>
      </w:tr>
      <w:tr>
        <w:trPr>
          <w:trHeight w:val="20"/>
        </w:trPr>
        <w:tc>
          <w:tcPr>
            <w:tcW w:w="104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$750,973 and $756,367 for the years ended December 31, 2025 and 2024,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future amortization expense is as follows:</w:t>
      </w:r>
    </w:p>
    <w:p>
      <w:pPr>
        <w:spacing w:after="0" w:line="200" w:lineRule="exact"/>
        <w:rPr>
          <w:sz w:val="20"/>
          <w:szCs w:val="20"/>
          <w:color w:val="auto"/>
        </w:rPr>
      </w:pPr>
    </w:p>
    <w:p>
      <w:pPr>
        <w:spacing w:after="0" w:line="251"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552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581,829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269,147</w:t>
            </w:r>
          </w:p>
        </w:tc>
        <w:tc>
          <w:tcPr>
            <w:tcW w:w="60" w:type="dxa"/>
            <w:vAlign w:val="bottom"/>
          </w:tcPr>
          <w:p>
            <w:pPr>
              <w:spacing w:after="0"/>
              <w:rPr>
                <w:sz w:val="18"/>
                <w:szCs w:val="18"/>
                <w:color w:val="auto"/>
              </w:rPr>
            </w:pPr>
          </w:p>
        </w:tc>
      </w:tr>
      <w:tr>
        <w:trPr>
          <w:trHeight w:val="230"/>
        </w:trPr>
        <w:tc>
          <w:tcPr>
            <w:tcW w:w="5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91,207</w:t>
            </w:r>
          </w:p>
        </w:tc>
        <w:tc>
          <w:tcPr>
            <w:tcW w:w="60" w:type="dxa"/>
            <w:vAlign w:val="bottom"/>
            <w:shd w:val="clear" w:color="auto" w:fill="CCEEFF"/>
          </w:tcPr>
          <w:p>
            <w:pPr>
              <w:spacing w:after="0"/>
              <w:rPr>
                <w:sz w:val="19"/>
                <w:szCs w:val="19"/>
                <w:color w:val="auto"/>
              </w:rPr>
            </w:pPr>
          </w:p>
        </w:tc>
      </w:tr>
      <w:tr>
        <w:trPr>
          <w:trHeight w:val="223"/>
        </w:trPr>
        <w:tc>
          <w:tcPr>
            <w:tcW w:w="5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969,183</w:t>
            </w:r>
          </w:p>
        </w:tc>
        <w:tc>
          <w:tcPr>
            <w:tcW w:w="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Accrued Expenses and Other Current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December 31:</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Employee-related liabilities</w:t>
      </w:r>
    </w:p>
    <w:p>
      <w:pPr>
        <w:spacing w:after="0" w:line="3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Accrued cost of revenues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Professional and other fees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Other accrued liabilities</w:t>
      </w:r>
    </w:p>
    <w:p>
      <w:pPr>
        <w:spacing w:after="0" w:line="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Total accrued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91"/>
        </w:trPr>
        <w:tc>
          <w:tcPr>
            <w:tcW w:w="30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422,498</w:t>
            </w:r>
          </w:p>
        </w:tc>
        <w:tc>
          <w:tcPr>
            <w:tcW w:w="220" w:type="dxa"/>
            <w:vAlign w:val="bottom"/>
          </w:tcPr>
          <w:p>
            <w:pPr>
              <w:spacing w:after="0"/>
              <w:rPr>
                <w:sz w:val="16"/>
                <w:szCs w:val="16"/>
                <w:color w:val="auto"/>
              </w:rPr>
            </w:pPr>
          </w:p>
        </w:tc>
        <w:tc>
          <w:tcPr>
            <w:tcW w:w="280" w:type="dxa"/>
            <w:vAlign w:val="bottom"/>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491,884</w:t>
            </w:r>
          </w:p>
        </w:tc>
      </w:tr>
      <w:tr>
        <w:trPr>
          <w:trHeight w:val="216"/>
        </w:trPr>
        <w:tc>
          <w:tcPr>
            <w:tcW w:w="3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84,123</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119,680</w:t>
            </w:r>
          </w:p>
        </w:tc>
      </w:tr>
      <w:tr>
        <w:trPr>
          <w:trHeight w:val="230"/>
        </w:trPr>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31,373</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37,137</w:t>
            </w:r>
          </w:p>
        </w:tc>
      </w:tr>
      <w:tr>
        <w:trPr>
          <w:trHeight w:val="234"/>
        </w:trPr>
        <w:tc>
          <w:tcPr>
            <w:tcW w:w="3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352,418</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307,614</w:t>
            </w:r>
          </w:p>
        </w:tc>
      </w:tr>
      <w:tr>
        <w:trPr>
          <w:trHeight w:val="223"/>
        </w:trPr>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890,412</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956,315</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-745490</wp:posOffset>
            </wp:positionV>
            <wp:extent cx="4989195" cy="14605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4989195" cy="14605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-462280</wp:posOffset>
            </wp:positionV>
            <wp:extent cx="4989195" cy="13716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989195" cy="137160"/>
                    </a:xfrm>
                    <a:prstGeom prst="rect">
                      <a:avLst/>
                    </a:prstGeom>
                    <a:noFill/>
                  </pic:spPr>
                </pic:pic>
              </a:graphicData>
            </a:graphic>
          </wp:anchor>
        </w:drawing>
        <w:drawing>
          <wp:anchor simplePos="0" relativeHeight="251657728" behindDoc="1" locked="0" layoutInCell="0" allowOverlap="1">
            <wp:simplePos x="0" y="0"/>
            <wp:positionH relativeFrom="column">
              <wp:posOffset>-3088640</wp:posOffset>
            </wp:positionH>
            <wp:positionV relativeFrom="paragraph">
              <wp:posOffset>-179705</wp:posOffset>
            </wp:positionV>
            <wp:extent cx="4989195" cy="16319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4989195"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840" w:space="720"/>
            <w:col w:w="4680"/>
          </w:cols>
          <w:pgMar w:left="320" w:top="22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June 2021, the Company entered into a loan and security agreement with a commercial bank. The loan is secured by all of the Company’s property. Under the agreement, the Company received an advance of $3 million under the term loan which bears interest at 2% above the Prime Rate, defined as the greater of 4% per annum or the variable rate of interest that appears in the Wall Street Journal. The maturity date of the term loan was June 28, 2024. Proceeds from the term loan were used to exercise a buyout option in a Royalty Purchase Agreement and repay the then outstanding term loan of $1.5 million. The agreement also provided access to a $3 million revolving line of credit which bears the same interest rate as the term loan and had a maturity date of June 28, 2023. In May 2023, the loan and security agreement was amended to extend the maturity date of the revolving line of credit to June 28, 2025 and to amend a certain financial covenant. In December 2023, the term loan was repaid as discussed below.</w:t>
      </w:r>
    </w:p>
    <w:p>
      <w:pPr>
        <w:spacing w:after="0" w:line="19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October 2022, the loan agreement was amended to waive a default related to a certain financial covenant and will not continue to forbear on such covenant without the continuing security of a Third-Party Pledge Agreement. The Company entered into a Consideration and Repayment Agreement with one of the principals of the Company to provide additional cash security in the form of a pledged cash account at the bank. This principal entered into a Third-Party Pledge Agreement with the bank and deposited $2.3 million of personal funds, whereby the bank shall have first priority interest in the pledged account.</w:t>
      </w:r>
    </w:p>
    <w:p>
      <w:pPr>
        <w:spacing w:after="0" w:line="183"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Under the Consideration and Repayment Agreement, the Company shall make three payments to this principal as follows: a) $50,000 in November 2022, b) $80,000 in December 2022, and</w:t>
      </w:r>
    </w:p>
    <w:p>
      <w:pPr>
        <w:spacing w:after="0" w:line="162"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$100,000 in January 2023, which were recorded as interest expense. As the principal borrowed the funds used for the pledged account, the principal must make monthly interest payments to a brokerage firm on such borrowing, thus, the Company shall make such monthly interest payments for the principal. The Company recorded interest expense for these payments as incurred. During 2023, in connection with the amendment to the loan and security agreement discussed below, this agreement was terminated.</w:t>
      </w:r>
    </w:p>
    <w:p>
      <w:pPr>
        <w:spacing w:after="0" w:line="180"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Company also granted the principal 2,500,000 deferred stock units. If any payments to the principal as discussed above are delayed, the Company shall grant an additional 350,000 deferred stock units. If the bank draws on the pledged account to cover any payment default by the Company under the loan agreement, the Company shall grant an additional 2,850,000 deferred stock units. The Company shall issue the shares of common stock underlying the outstanding deferred stock units granted in the settlement of such deferred stock units on or after the earlier of (i) the principal’s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are not currently considered probable of occurring, no expense for the deferred stock units has been recorded in these financial statements.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2023, the loan and security agreement was amended as follows:</w:t>
      </w:r>
    </w:p>
    <w:p>
      <w:pPr>
        <w:spacing w:after="0" w:line="225" w:lineRule="exact"/>
        <w:rPr>
          <w:sz w:val="20"/>
          <w:szCs w:val="20"/>
          <w:color w:val="auto"/>
        </w:rPr>
      </w:pPr>
    </w:p>
    <w:p>
      <w:pPr>
        <w:jc w:val="both"/>
        <w:ind w:left="1300" w:right="20" w:hanging="320"/>
        <w:spacing w:after="0" w:line="26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revolving line of credit was amended to $2.5 million. Advances shall bear interest at a per annum rate equal to 2.0% above the Prime Rate. In December 2024, the revolving line of credit was amended to $3.5 million. As of December 31, 2025 and 2024, the interest rate was 8.75% and 9.50%, respectively and the balance on the line of credit was $207,648 and $2,052,593, respectively.</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Secured Line of up to $2.5 million was added. Cash Secured Advances shall bear interest at a rate equal to 0.25% above the Prime Rate. The Company has deposited $2.5 million into a restricted account (the “Pledged Cash”), which was recorded as restricted cash on the balance sheet. As of December 31, 2023, the Company took advances of $2.5 million. During the year ended December 31, 2024, the Company repaid the balance of $2.5 million.</w:t>
      </w:r>
    </w:p>
    <w:p>
      <w:pPr>
        <w:spacing w:after="0" w:line="206" w:lineRule="exact"/>
        <w:rPr>
          <w:rFonts w:ascii="Times New Roman" w:cs="Times New Roman" w:eastAsia="Times New Roman" w:hAnsi="Times New Roman"/>
          <w:sz w:val="18"/>
          <w:szCs w:val="18"/>
          <w:color w:val="auto"/>
        </w:rPr>
      </w:pPr>
    </w:p>
    <w:p>
      <w:pPr>
        <w:jc w:val="both"/>
        <w:ind w:left="1300" w:hanging="320"/>
        <w:spacing w:after="0" w:line="25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Securities Secured Line of up to $5 million was added. Securities Secured Advances shall bear interest at a rate equal to the Prime Rate. As of December 31, 2025 and 2024, the interest rate was 8.50% and 7.50%, respectively. During 2023, the Company took advances of $4,961,754. As of December 31, 2025 and 2024, the balance was $4,961,754 and $4,901,058, respectively, net of issuance costs. The debt issuance cost incurred were capitalized and are being amortized over the term of the debt. During the years ended December 31, 2025 and 2024, the Company recorded interest expense of $60,696 and $66,945, respectively related to the debt issuance costs amortization. At December 31, 2025 and 2024, there was $0 and $60,696, respectively, of unamortized debt issuance costs.</w:t>
      </w:r>
    </w:p>
    <w:p>
      <w:pPr>
        <w:spacing w:after="0" w:line="214"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previous outstanding term loan balance was repaid in full by the proceeds from the initial Securities Secured Advance. Upon repayment in full of the term loan, the Third-Party Pledge Agreement from October 2022 was terminated and the assets subject to such agreement was released to such Pledgor.</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for all of the credit facilities is December 27, 2025. In September 2025, the maturity date of the revolving line was extended to December 26, 2026. In January 2026, the maturity date of the Securities Secured Line was extended to March 27, 2026 and in April 2026, the balance was repaid in full (see further discussion in Note 12).</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of the credit increase, a full guarantee by one of the principals of the Company is required.</w:t>
      </w:r>
    </w:p>
    <w:p>
      <w:pPr>
        <w:spacing w:after="0" w:line="25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December 2023, the Company entered into a Guaranty Compensation Agreement with principals of the Company, providing a personal guarantee to the bank up to a maximum of $5 million. In the event of a Change of Control, the Company shall pay to the principals: a) $3 million if a Change of Control occurs within six months, b) $5 million if a change of control occurs more than six months but prior to 12 months, or c) $7.5 million if a Change of Control occurs more than 12 months. As a Change of Control is not currently considered probable of occurring, no liability has been recorded in these financial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RELATED PARTY NOTES PAYABLE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components of related party notes payable are: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700" w:type="dxa"/>
            <w:vAlign w:val="bottom"/>
          </w:tcPr>
          <w:p>
            <w:pPr>
              <w:spacing w:after="0"/>
              <w:rPr>
                <w:sz w:val="24"/>
                <w:szCs w:val="24"/>
                <w:color w:val="auto"/>
              </w:rPr>
            </w:pPr>
          </w:p>
        </w:tc>
        <w:tc>
          <w:tcPr>
            <w:tcW w:w="48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4"/>
                <w:szCs w:val="24"/>
                <w:color w:val="auto"/>
              </w:rPr>
            </w:pPr>
          </w:p>
        </w:tc>
      </w:tr>
      <w:tr>
        <w:trPr>
          <w:trHeight w:val="209"/>
        </w:trPr>
        <w:tc>
          <w:tcPr>
            <w:tcW w:w="170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Interest-bearing notes payable on demand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1,762,232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2,062,232</w:t>
            </w:r>
          </w:p>
        </w:tc>
        <w:tc>
          <w:tcPr>
            <w:tcW w:w="80" w:type="dxa"/>
            <w:vAlign w:val="bottom"/>
            <w:shd w:val="clear" w:color="auto" w:fill="CCEEFF"/>
          </w:tcPr>
          <w:p>
            <w:pPr>
              <w:spacing w:after="0"/>
              <w:rPr>
                <w:sz w:val="18"/>
                <w:szCs w:val="18"/>
                <w:color w:val="auto"/>
              </w:rPr>
            </w:pPr>
          </w:p>
        </w:tc>
      </w:tr>
      <w:tr>
        <w:trPr>
          <w:trHeight w:val="229"/>
        </w:trPr>
        <w:tc>
          <w:tcPr>
            <w:tcW w:w="170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3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2,294,814</w:t>
            </w: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951,498</w:t>
            </w:r>
          </w:p>
        </w:tc>
      </w:tr>
      <w:tr>
        <w:trPr>
          <w:trHeight w:val="223"/>
        </w:trPr>
        <w:tc>
          <w:tcPr>
            <w:tcW w:w="1700" w:type="dxa"/>
            <w:vAlign w:val="bottom"/>
          </w:tcPr>
          <w:p>
            <w:pPr>
              <w:spacing w:after="0"/>
              <w:rPr>
                <w:sz w:val="19"/>
                <w:szCs w:val="19"/>
                <w:color w:val="auto"/>
              </w:rPr>
            </w:pPr>
          </w:p>
        </w:tc>
        <w:tc>
          <w:tcPr>
            <w:tcW w:w="4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Related party notes payable</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4,057,046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3,013,730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December 2016, $520,000 non-interest bearing unsecured promissory notes with officers of the Company, $105,000 of reimbursable legal fees and additional advances of $1,212,000 were converted into two junior demand unsecured promissory notes totaling $1,837,000, bearing interest at 20% per annum and payable on-demand. In conjunction with this agreement, the Company issued warrants for 13,709,612 shares of common stock to the junior demand promissory note holders with an exercise price of $0.52 and a term of 10 years. The allocated fair value of the warrants of $1,473,267 was recorded as interest expense (See Note 8 for further details).</w:t>
      </w:r>
    </w:p>
    <w:p>
      <w:pPr>
        <w:spacing w:after="0" w:line="183"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In December 2017, additional advances of $385,000 were converted into a junior demand unsecured promissory note bearing interest at 20% per annum and payable on-demand.</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September 2020, the Company entered into forbearance agreements with the related party lenders whereby the Company asked the lenders to forbear from exercising certain rights and remedies under the Demand Notes. The agreement effectively amended the original Demand Notes by allowing the Company to pay the lenders interest beginning January 10, 2021 through December 10, 2021. As consideration, the Company paid forbearance fees to the lenders in the form of 9,800,000 deferred common shares, which will be issued immediately prior to the occurrence of a liquidity event. A liquidity event is not currently considered probable of occurring, thus no expense for the deferred common shares has been recorded in these financial statements.</w:t>
      </w:r>
    </w:p>
    <w:p>
      <w:pPr>
        <w:spacing w:after="0" w:line="187"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June 2021, the Company granted 12,175,000 deferred stock units to the lenders for the subordination of the related party notes to the loan and security agreement with the commercial bank discussed in Note 5. The Company shall issue the shares of common stock underlying the outstanding deferred stock units granted in the settlement of such deferred stock units on or after the earlier of (i) the lender’s separation from service or (ii) a change in control; provided, however, that in event of a change of control, in lieu of issuing shares, the Company deliver the consideration that would have been payable in the change of control transaction had such shares been issued immediately prior to the consummation of the change in control. As these events were not currently considered probable of occurring, no expense for the deferred stock units was recorded in the financial statements as of December 31, 2024.</w:t>
      </w:r>
    </w:p>
    <w:p>
      <w:pPr>
        <w:spacing w:after="0" w:line="18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In March 2024, the forbearance agreements were amended to provide that the interest on the loans covered by such forbearance agreements shall be calculated on a compound basis for the date the loans were first made and interest began accruing. The deferred stock agreements were also amended to provide that: (i) in the event of a Change of Control in which the consideration payable in such change of control transaction is anything other than cash or cash equivalents, the grantees shall have the option of receiving the cash equivalent of the value of the deferred stock at such time in lieu of accepting the stock; and (ii) the time for issuance of the shares shall be the earlier of (x) the election by the grantees, which may be made no sooner than one year from the date of the amendment of the deferred stock agreements and no later than five years after the grantee’s separation from service, or (y) a change of control of the Company. In March 2025, which is one year from the amendment date, the grantees had the right to make the election for the issuance of the shares, as such the fair value of these shares were recorded as interest expense for $1,334,193. The fair value of the shares was estimated using the purchase price from the contemplated transaction in Note 12. As the grantees have the option of receiving cash, it has been classified as a liability under ASC 480, </w:t>
      </w:r>
      <w:r>
        <w:rPr>
          <w:rFonts w:ascii="Times New Roman" w:cs="Times New Roman" w:eastAsia="Times New Roman" w:hAnsi="Times New Roman"/>
          <w:sz w:val="18"/>
          <w:szCs w:val="18"/>
          <w:i w:val="1"/>
          <w:iCs w:val="1"/>
          <w:color w:val="auto"/>
        </w:rPr>
        <w:t>Distinguishing Liabilities from Equity.</w:t>
      </w:r>
    </w:p>
    <w:p>
      <w:pPr>
        <w:spacing w:after="0" w:line="19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September 2025, the forbearance agreements were amended to add that interest shall be compounded daily from the date the loans were first made and interest began accruing. In September 2025, the Company also approved payment of interest at 20% annually, compounded daily, on an interest balance owed from 2017 for the use of one of the same lender’s personal credit cards used to fund certain business expenses. In accordance with ASC 470-50, Debt — Modifications and Extinguishments, the Company evaluated whether the amendment represented a substantial modification of the original debt. Based on this evaluation, the Company concluded that the amended terms resulted in a substantial change in the economic characteristics of the debt. As a result, the amendment was accounted for as a debt extinguishment. The extinguishment resulted in a loss of $1,084,608, which is included in other expense in the accompanying statement of operations for the year ended December 31, 2025.</w:t>
      </w:r>
    </w:p>
    <w:p>
      <w:pPr>
        <w:spacing w:after="0" w:line="1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paid $219,922 and $0, of accrued interest on the demand promissory notes and interest-bearing notes, respectively. Interest expense on these notes was $1,563,238 and $392,412 for the years ended December 31, 2025 and 2024,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At December 31, 2025 and 2024, the authorized capital stock of the Company consisted of 145,000,211 shares of capital stock comprising 140,000,000 shares of common stock and 5,000,211 of convertible preferred stock. All classes of the Company’s stock have $0.0001 par value.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p>
    <w:p>
      <w:pPr>
        <w:spacing w:after="0" w:line="225"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In January 2015, the Company awarded three officers of the Company the right to each purchase 2,200,000 shares of Common stock, at a price of $0.45 per share under Restricted Stock Purchase Agreements. In consideration for such shares, the Company accepted nonrecourse promissory notes in the principal amount of $990,000 from each officer. The notes shall accrue interest at 1.75%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has been paid in full. In July 2022, these notes were amended to extend the due date by one year. During 2022, One officer paid $15,000 in accrued interest to the Company. This payment was recognized as interest income in 2022. No payments were made in 2025 or 2024.</w:t>
      </w:r>
    </w:p>
    <w:p>
      <w:pPr>
        <w:spacing w:after="0" w:line="18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agreements, the vesting schedule requires that ¼th of the shares purchased shall vest on the 12-month anniversary of the vesting start date and then 1/48th of the shares shall vest each anniversary thereafter. During the term of the agreement, the Company has the right to repurchase the unvested shares at $0.45 per share. Shares were fully vested in 2019.</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December 2017, a similar Restricted Stock Purchase Agreement was issued to an officer to purchase 5,431,731 shares of Common Stock at an exercise price of $0.52. The shares shall vest using the same schedule as the aforementioned 2015 awards. During the term of the agreement, the Company has the right to repurchase the unvested shares at $0.52 per share. A nonrecourse note for $2,824,500 was accepted from the officer for consideration of such shares. The notes shall accrue interest at 2.11% per annum compounded annually. Principal plus accrued but unpaid interest shall become due and payable upon the earlier of (i) the date that is seven years following the date of the notes and (ii) each sale or other disposition by the note holders, other than a permitted transfer of any shares to a third party, until the balance of the notes have been paid in full.</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Upon any exercise by the Company of the Repurchase Option as defined in the Restricted Stock Purchase Agreement, the notes shall be deemed to have been repaid in an amount equal to the greater of (i) $0.0001 per share that is repurchased by the Company pursuant to the exercise of the Repurchase Right and (ii) that portion of the aggregate principal and accrued but unpaid interest of the notes as is equal to the portion that the shares being repurchased by the Company bears to the total number of shares originally purchased by the note holder pursuant to the Purchase Agreement.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Under the above Restricted Stock Agreements, total vested shares were 12,031,731 at December 31, 2025 and 2024. All shares were fully vested as of December 31, 2021. Because the notes are non-recourse, this transaction is treated as an issuance of a stock option for accounting purposes and neither the shares nor the non-recourse loans are shown as outstanding in the balance sheet.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2015 and 2016, an officer of the Company exercised fully vested options in exchange for two non-recourse loans:</w:t>
      </w:r>
    </w:p>
    <w:p>
      <w:pPr>
        <w:spacing w:after="0" w:line="225" w:lineRule="exact"/>
        <w:rPr>
          <w:sz w:val="20"/>
          <w:szCs w:val="20"/>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promissory note for $99,999, dated May 8, 2015. Interest shall accrue at the rate of 1.53% per annum, compounded annually.</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promissory note for $47,969 dated July 11, 2016. Interest shall accrue at the rate of 1.43% per annum, compounded annually.</w:t>
      </w:r>
    </w:p>
    <w:p>
      <w:pPr>
        <w:spacing w:after="0" w:line="2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both notes, the unpaid principal amount and any accrued, but unpaid, interest is due upon the earlier of (1) 7 years from the date of the note or</w:t>
      </w:r>
    </w:p>
    <w:p>
      <w:pPr>
        <w:spacing w:after="0" w:line="27" w:lineRule="exact"/>
        <w:rPr>
          <w:sz w:val="20"/>
          <w:szCs w:val="20"/>
          <w:color w:val="auto"/>
        </w:rPr>
      </w:pPr>
    </w:p>
    <w:p>
      <w:pPr>
        <w:jc w:val="both"/>
        <w:ind w:left="660" w:hanging="4"/>
        <w:spacing w:after="0" w:line="253" w:lineRule="auto"/>
        <w:tabs>
          <w:tab w:leader="none" w:pos="919"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the securities to a third party. For accounting purposes, this transaction was treated as an option modification (a modification of the term) resulting in a 1-time incremental stock compensation expense of $39,140 in 2016. Because the notes are non-recourse, this transaction is not treated as an option exercise for accounting purposes and neither the shares nor the non-recourse loans are shown as outstanding in the balance sheet. The May 8, 2015 promissory note was amended in 2022 to extend the due date by one year and to adjust the interest rate during that extended year to accrued at the rate of 1.74% per annum, and in 2023 to extend the due date by one additional year to March 15,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Stockholder Notes Receivable</w:t>
      </w:r>
      <w:r>
        <w:rPr>
          <w:rFonts w:ascii="Times New Roman" w:cs="Times New Roman" w:eastAsia="Times New Roman" w:hAnsi="Times New Roman"/>
          <w:sz w:val="18"/>
          <w:szCs w:val="18"/>
          <w:color w:val="auto"/>
        </w:rPr>
        <w:t xml:space="preserve"> (Continued)</w:t>
      </w:r>
    </w:p>
    <w:p>
      <w:pPr>
        <w:spacing w:after="0" w:line="22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2021, an officer of the Company exercised fully vested options in exchange for a limited recourse promissory note for $42,560, dated July 8, 2021. Interest shall accrue at the rate of 1.74% per annum, compounded annually. The unpaid principal amount and any accrued, but unpaid, interest is due upon the earlier of (1) 7 years from the date of the note or (2) the sale of the securities to a third party. Because the notes are non-recourse, this transaction is not treated as an option exercise for accounting purposes and neither the shares nor the non-recourse loans are shown as outstanding in the balance sheet.</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August 2025, all of the stockholder notes were amended to extend the maturity date to May 31, 2026. After the original 7-year maturity date of the notes, interest shall accrue monthly at the applicable short-term federal rate. As of December 31, 2025 and 2024, the short-term federal rate was 3.60% and 4.21%,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Convertible Preferred Stock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significant features of the Company’s convertible preferred stock are as follows: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Dividend provisions</w:t>
      </w:r>
    </w:p>
    <w:p>
      <w:pPr>
        <w:spacing w:after="0" w:line="22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holders of Series A and Series B preferred stock are entitled to receive non-cumulative dividends, out of any assets legally available thereof, when and if declared by the Board of Directors, at a rate of $0.018 and $0.037 per share, respectively, per annum, adjustable for certain events, such as stock splits, stock dividends, combinations, subdivisions and recapitalizations and the like. There have been no declared dividends to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Liquidation preference</w:t>
      </w:r>
    </w:p>
    <w:p>
      <w:pPr>
        <w:spacing w:after="0" w:line="227"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the holders of Series A and Series B shall be entitled to be paid, out of the available funds and assets, and prior and in preference to any payment or distribution of any such funds on any shares of common stock, an amount equal to the sum of the applicable original issue price for such series of Preferred Stock, plus declared but unpaid dividends on such share. Original issue price shall mean $0.295 and $0.63055 for Series A and Series B, respectively, plus all declared but unpaid dividends. If assets are not sufficient to permit such payment, payment will be made ratably among the holders of the convertible preferred stock in proportion to the full amounts to which they would otherwise be entitled.</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Following the payment of this liquidation amount, all of the remaining proceeds available for distribution to stockholders shall be distributed among the holders of preferred stock and common stock pro rata based on the number of shares of common stock held by each.</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EQUITY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Convertible Preferred Stock</w:t>
      </w:r>
      <w:r>
        <w:rPr>
          <w:rFonts w:ascii="Times New Roman" w:cs="Times New Roman" w:eastAsia="Times New Roman" w:hAnsi="Times New Roman"/>
          <w:sz w:val="18"/>
          <w:szCs w:val="18"/>
          <w:color w:val="auto"/>
        </w:rPr>
        <w:t xml:space="preserve"> (Continued)</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Each outstanding share of Series A and Series B is convertible, at the option of the holder, into fully paid and non-assessable shares of common stock as is determined by dividing the original issue price by the applicable original issue price for such series in effect on the date of conversion and shall be subject to adjustment in the event of the issuance of any additional stock without consideration or for a consideration per share less than the conversion price applicable to such series of preferred stock in effect immediately prior to the issuance of such additional stock, as well as stock splits, dividends and combinations.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original issuance price and current conversion price for Series A and Series B is $0.295 and $0.63055 per share.</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Each share of preferred stock automatically converts into the number of shares of common stock into which such shares are convertible at the then-effective conversion price, upon the consent of the holders of more than 50% of the then-outstanding shares of preferred stock, or upon the closing of a public offering of common stock with gross proceeds of at least $20,000,000.</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holders of each share of preferred stock are entitled to the number of votes equal to the number of shares of common stock into which such share is convertible. The holders of common stock are entitled to one vote per share of common stock held by the stockholder.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800" w:type="dxa"/>
            <w:vAlign w:val="bottom"/>
            <w:gridSpan w:val="2"/>
          </w:tcPr>
          <w:p>
            <w:pPr>
              <w:ind w:left="660"/>
              <w:spacing w:after="0"/>
              <w:rPr>
                <w:sz w:val="20"/>
                <w:szCs w:val="20"/>
                <w:color w:val="auto"/>
              </w:rPr>
            </w:pPr>
            <w:r>
              <w:rPr>
                <w:rFonts w:ascii="Times New Roman" w:cs="Times New Roman" w:eastAsia="Times New Roman" w:hAnsi="Times New Roman"/>
                <w:sz w:val="18"/>
                <w:szCs w:val="18"/>
                <w:i w:val="1"/>
                <w:iCs w:val="1"/>
                <w:color w:val="auto"/>
              </w:rPr>
              <w:t>Redemption rights</w:t>
            </w:r>
          </w:p>
        </w:tc>
        <w:tc>
          <w:tcPr>
            <w:tcW w:w="12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preferred stock is not redeemable at the option of the holder.</w:t>
            </w: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following are common shares reserved for future issuance as of December 31, 2025:</w:t>
            </w: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stock options-2007 plan</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15,442,988</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options-2017 plan</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37,053,355</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available for future issuance</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658,491</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Outstanding warrants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16,509,612</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2,753,489</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Series B Preferred Stock</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943,813</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2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12,963,720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stock</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24,475,000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110,800,468</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540" w:type="dxa"/>
            <w:vAlign w:val="bottom"/>
            <w:vMerge w:val="restart"/>
          </w:tcPr>
          <w:p>
            <w:pPr>
              <w:ind w:left="3140"/>
              <w:spacing w:after="0"/>
              <w:rPr>
                <w:sz w:val="20"/>
                <w:szCs w:val="20"/>
                <w:color w:val="auto"/>
              </w:rPr>
            </w:pPr>
            <w:r>
              <w:rPr>
                <w:rFonts w:ascii="Times New Roman" w:cs="Times New Roman" w:eastAsia="Times New Roman" w:hAnsi="Times New Roman"/>
                <w:sz w:val="18"/>
                <w:szCs w:val="18"/>
                <w:color w:val="auto"/>
              </w:rPr>
              <w:t>F-153</w:t>
            </w:r>
          </w:p>
        </w:tc>
        <w:tc>
          <w:tcPr>
            <w:tcW w:w="120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26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WARRANTS</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In 2016, the Company issued warrants to officers of the Company to purchase 2,000,000 shares of common stock, at a price of $0.52 per share and a term of 10 years, relating to an unconditional deficiency guaranty issued to the Lenders in conjunction with their 50/50 loan to the Company. The Company also issued warrants to purchase 13,709,612 shares of common stock in connection with the issuance of the junior demand promissory notes (see Note 6, Related Party Promissory Notes), at a price of $0.52 per share and a term of 10 years. These warrants were classified as equity instruments and were recorded at fair value at the date of issuance. The fair value of the warrants, determined using the Black-Scholes option-pricing model, was $2,557,645 at their issuance dates in 2016. These warrants expire December 2026.</w:t>
      </w:r>
    </w:p>
    <w:p>
      <w:pPr>
        <w:spacing w:after="0" w:line="187"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2018, the Company issued warrants to a consultant to purchase 800,000 shares of common stock at a price of $0.52 per share and a term of 10 years. These warrants were classified as equity instruments and were recorded at fair value at the date of issuance. The fair value of the warrants, determined using the Black-Scholes option-pricing model, was $378,410 at their issuance date in 2018 and was recorded as stock compensation expense. These warrants expire in August 2028.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229"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On December 22, 2017 the Company’s Board of Directors adopted and approved the 2017 Stock Option and Grant Plan (the “2017 Option Plan”). The 2017 Option Plan reserved 2,686,846 shares (rolled over from the Company’s 2007 Option Plan) of the Company’s common stock, par value $0.0001 per share (the “Common Stock”) for issuance in connection with the 2017 Option Plan and that such shares shall, when issued and paid for in accordance with the provisions of the 2017 Option Plan, constitute validly issued, fully paid and non-assessable shares of Common Stock. Under the 2007 Option Plan, 15,442,988 and 19,885,000 options were issued and remain outstanding as of December 31, 2025, 2024, respectively. No further shares are reserved for future issuance under the 2007 Plan.</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In November 2019, the Board of Directors and stockholders approved an increase in the number of shares authorized for issuance in the 2017 Stock Option and Grant Plan to 37,716,846.</w:t>
      </w:r>
    </w:p>
    <w:p>
      <w:pPr>
        <w:spacing w:after="0" w:line="16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2017 Option Plan provides for the grant of incentive and non-statutory stock options to employees, outside directors and consultants of the Company. Only employees shall be eligible for the grant of incentive stock options. The term of each Stock Option shall be fixed by the Board of Directors, but no Stock Option shall be exercisable more than 10 years after the date the Stock Option is granted. If an employee is a Ten Percent Owner on the grant date of an Incentive Stock Option granted to such employee, the term of such Incentive Stock Option shall be no more than five years from the date of grant. At the discretion of the Company’s Board of Directors, certain options may be exercisable immediately at the date of grant. All other options are exercisable only to the extent vested.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 (Continued)</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exercise price of both incentive and non-statutory stock options granted under the 2017 Option Plan must be at least equal to 100% of the fair value of the Company’s common stock at the date of grant, as determined by the Board of Directors. Incentive stock options granted to stockholders who own greater than 10% of the Company’s outstanding stock at the date of grant must be issued at no less than 110% of the estimated fair value of the common stock on the date of grant.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22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the Company recorded stock-based compensation expense of $792,403 and $729,656,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Stock option activity for the years ended December 31, 2025 and 2024 is as follows:</w:t>
      </w:r>
    </w:p>
    <w:p>
      <w:pPr>
        <w:spacing w:after="0" w:line="18"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7"/>
              </w:rPr>
              <w:t>Weighted-</w:t>
            </w:r>
          </w:p>
        </w:tc>
        <w:tc>
          <w:tcPr>
            <w:tcW w:w="80" w:type="dxa"/>
            <w:vAlign w:val="bottom"/>
          </w:tcPr>
          <w:p>
            <w:pPr>
              <w:spacing w:after="0"/>
              <w:rPr>
                <w:sz w:val="17"/>
                <w:szCs w:val="17"/>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9"/>
              </w:rPr>
              <w:t>average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exercise</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remaining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rPr>
              <w:t>price per</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contractual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20"/>
                <w:szCs w:val="20"/>
                <w:color w:val="auto"/>
              </w:rPr>
            </w:pPr>
          </w:p>
        </w:tc>
        <w:tc>
          <w:tcPr>
            <w:tcW w:w="1000" w:type="dxa"/>
            <w:vAlign w:val="bottom"/>
          </w:tcPr>
          <w:p>
            <w:pPr>
              <w:jc w:val="center"/>
              <w:ind w:left="251"/>
              <w:spacing w:after="0"/>
              <w:rPr>
                <w:sz w:val="20"/>
                <w:szCs w:val="20"/>
                <w:color w:val="auto"/>
              </w:rPr>
            </w:pPr>
            <w:r>
              <w:rPr>
                <w:rFonts w:ascii="Times New Roman" w:cs="Times New Roman" w:eastAsia="Times New Roman" w:hAnsi="Times New Roman"/>
                <w:sz w:val="18"/>
                <w:szCs w:val="18"/>
                <w:color w:val="auto"/>
                <w:w w:val="99"/>
              </w:rPr>
              <w:t>share</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life (in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58,710,197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1"/>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120" w:type="dxa"/>
            <w:vAlign w:val="bottom"/>
            <w:gridSpan w:val="2"/>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(185,214)</w:t>
            </w:r>
          </w:p>
        </w:tc>
        <w:tc>
          <w:tcPr>
            <w:tcW w:w="112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(336,641)</w:t>
            </w:r>
          </w:p>
        </w:tc>
        <w:tc>
          <w:tcPr>
            <w:tcW w:w="1120" w:type="dxa"/>
            <w:vAlign w:val="bottom"/>
            <w:gridSpan w:val="2"/>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58,258,842</w:t>
            </w:r>
          </w:p>
        </w:tc>
        <w:tc>
          <w:tcPr>
            <w:tcW w:w="16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gridSpan w:val="2"/>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60" w:type="dxa"/>
            <w:vAlign w:val="bottom"/>
          </w:tcPr>
          <w:p>
            <w:pPr>
              <w:spacing w:after="0"/>
              <w:rPr>
                <w:sz w:val="18"/>
                <w:szCs w:val="18"/>
                <w:color w:val="auto"/>
              </w:rPr>
            </w:pPr>
          </w:p>
        </w:tc>
        <w:tc>
          <w:tcPr>
            <w:tcW w:w="1120" w:type="dxa"/>
            <w:vAlign w:val="bottom"/>
            <w:gridSpan w:val="2"/>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(22,084)</w:t>
            </w:r>
          </w:p>
        </w:tc>
        <w:tc>
          <w:tcPr>
            <w:tcW w:w="1120" w:type="dxa"/>
            <w:vAlign w:val="bottom"/>
            <w:gridSpan w:val="2"/>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expired</w:t>
            </w: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(6,740,415)</w:t>
            </w:r>
          </w:p>
        </w:tc>
        <w:tc>
          <w:tcPr>
            <w:tcW w:w="112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52,496,343</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51,347,641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December 31, 2025</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50,158,623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3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weighted-average fair value of awards granted during the years ended December 31, 2025 and 2024 was $0.33 and $0.32, respectively. As of December 31, 2025 and 2024, there was $232,201 and $678,820, respectively, of unamortized stock-based compensation cost related to unvested stock options, which is expected to be recognized over a weighted-average period of 2.18 and 1.10 years, respectively.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 (Continued)</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fair value of options vested for the years ended December 31, 2025 and 2024 was $791,191 and $714,453, respectively. The intrinsic value of options exercised for the years ended December 31, 2025 and, 2024 was $0 and $150, respectively.</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fair value of employee and non-employee option grants issued in 2025 and 2024 was estimated using the Black-Scholes option pricing model with the following weighted-average assumptions for the years ended December 31:</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408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(1)</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(2)</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3.84%</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 (3)</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67.78%</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60.97%</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(in years) (4)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no history or expectation of paying cash dividends on its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is based on the U.S. Treasury yield for a term consistent with the expected life of the awards in effect at the time of grant.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estimated the expected volatility of its share price based on the share price volatility of similar publicly traded entities.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life represents the period of time that options granted are expected to be outstanding and was estimated using the simplified method which essentially equates to the weighted-average of the vesting term and contractual life of the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(expense) benefit consisted of the following for the years ended December 31:</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82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3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60" w:type="dxa"/>
            <w:vAlign w:val="bottom"/>
          </w:tcPr>
          <w:p>
            <w:pPr>
              <w:spacing w:after="0"/>
              <w:rPr>
                <w:sz w:val="19"/>
                <w:szCs w:val="19"/>
                <w:color w:val="auto"/>
              </w:rPr>
            </w:pPr>
          </w:p>
        </w:tc>
        <w:tc>
          <w:tcPr>
            <w:tcW w:w="2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13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28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60" w:type="dxa"/>
            <w:vAlign w:val="bottom"/>
            <w:vMerge w:val="restart"/>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260" w:type="dxa"/>
            <w:vAlign w:val="bottom"/>
            <w:vMerge w:val="continue"/>
          </w:tcPr>
          <w:p>
            <w:pPr>
              <w:spacing w:after="0"/>
              <w:rPr>
                <w:sz w:val="21"/>
                <w:szCs w:val="21"/>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(expense) benefit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(6,754)</w:t>
            </w:r>
          </w:p>
        </w:tc>
        <w:tc>
          <w:tcPr>
            <w:tcW w:w="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ind w:right="840"/>
              <w:spacing w:after="0"/>
              <w:rPr>
                <w:sz w:val="20"/>
                <w:szCs w:val="20"/>
                <w:color w:val="auto"/>
              </w:rPr>
            </w:pPr>
            <w:r>
              <w:rPr>
                <w:rFonts w:ascii="Times New Roman" w:cs="Times New Roman" w:eastAsia="Times New Roman" w:hAnsi="Times New Roman"/>
                <w:sz w:val="18"/>
                <w:szCs w:val="18"/>
                <w:color w:val="auto"/>
              </w:rPr>
              <w:t>F-156</w:t>
            </w: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 (Continued)</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tax effects of temporary differences and carryforwards that give rise to significant portions of the deferred tax assets (liabilities) are as follows for the years ended December 31:</w:t>
      </w:r>
    </w:p>
    <w:p>
      <w:pPr>
        <w:spacing w:after="0" w:line="171" w:lineRule="exact"/>
        <w:rPr>
          <w:sz w:val="20"/>
          <w:szCs w:val="20"/>
          <w:color w:val="auto"/>
        </w:rPr>
      </w:pPr>
    </w:p>
    <w:tbl>
      <w:tblPr>
        <w:tblLayout w:type="fixed"/>
        <w:tblInd w:w="22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34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operation loss carryforwards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6,289,000</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Accruals and reserves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Tax credits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8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11,419,000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valuation allowance</w:t>
            </w: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(11,179,000)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8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341,000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Fixed assets</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Intangibles (capitalized software)</w:t>
            </w: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(238,000)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(338,000)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(341,000</w:t>
            </w:r>
          </w:p>
        </w:tc>
        <w:tc>
          <w:tcPr>
            <w:tcW w:w="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reconciliation of the federal statutory tax rate to the effective rate of the Company’s provision for income taxes is as follows for the years ended December 31:</w:t>
      </w:r>
    </w:p>
    <w:p>
      <w:pPr>
        <w:spacing w:after="0" w:line="17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40" w:type="dxa"/>
            <w:vAlign w:val="bottom"/>
            <w:tcBorders>
              <w:bottom w:val="single" w:sz="8" w:color="CCEEFF"/>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Borders>
              <w:bottom w:val="single" w:sz="8" w:color="auto"/>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benefits</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-8.33%</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-0.44%</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Prior year - true-up</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0.03%</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-9.08%</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-3.62%</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378.40%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rate</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5"/>
              </w:rPr>
              <w:t>-0.44%</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 number of the Company’s tax returns remain subject to examination by taxing authorities. The Company’s tax years will remain open for examination by the federal and state authorities for three and four years, respectively, from the date of utilization of any net operating losses. These include U.S. federal returns for 2007 and later years and state tax returns for 2007 and later years. As of December 31, 2025, the Company has total recorded liabilities for uncertain tax positions totaling $79,000.</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 (Continued)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Realization of deferred tax assets is dependent upon future earnings, the timing and amount of which are uncertain. Accordingly, the net deferred tax assets have been fully offset by a valuation allowance. The net valuation allowance increased by approximately $336,000 from 2024 to 2025 and by approximately $19,000 from 2023 to 2024.</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net operating loss carryforwards for federal and state tax purposes of approximately $25,359,000 and $15,703,000, respectively. As of December 31, 2024, the Company had net operating loss carryforwards for federal and state tax purposes of approximately $26,223,000 and $16,301,000, respectively. The federal and state net operating loss carryforwards will expire at various dates beginning in 2027, unless previously utilized. Post-2018 federal NOLs can be carried forward indefinitely.</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research credit carryforwards for federal and state tax purposes of approximately $101,000 and $111,000, respectively. The federal research credit carryforwards will expire beginning in 2033. The state research credits carryforward indefinitely.</w:t>
      </w:r>
    </w:p>
    <w:p>
      <w:pPr>
        <w:spacing w:after="0" w:line="176"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Utilization of the net operating loss and tax credit carryforwards may be subject to a substantial annual limitation due to ownership change limitations that may have occurred or that could occur in the future, as required by the Internal Revenue Code (the “Code”), as well as similar state provisions. In general, an “ownership change” as defined by the Code results from a transaction or series of transactions over a three-year period resulting in an ownership change of more than 50 percentage points of the outstanding stock of a Company by certain stockholders or public groups. Since the Company’s formation, the Company has raised capital through the issuance of capital stock on several occasions which, combined with the purchasing stockholders’ subsequent disposition of those shares, may have resulted in such an ownership change, or could result in an ownership change in the future upon subsequent disposition. The annual limitation may result in the expiration of net operating loss and tax credit carryforwards before utilization.</w:t>
      </w:r>
    </w:p>
    <w:p>
      <w:pPr>
        <w:spacing w:after="0" w:line="192"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The Company has not completed a study to assess whether an ownership change has occurred or whether there have been multiple ownership changes since the Company’s formation due to the complexity and cost associated with such a study, and the fact that there may be additional such ownership changes in the future. If the Company has experienced an ownership change at any time since its formation, utilization of the net operating loss or tax credit carryforwards to offset future taxable income and taxes, respectively, would be subject to an annual limitation under the Code, which is determined by first multiplying the value of the Company’s stock at the time of the ownership change by the applicable long-term, tax-exempt rate, and then could be subject to additional adjustments, as required.</w:t>
      </w:r>
    </w:p>
    <w:p>
      <w:pPr>
        <w:spacing w:after="0" w:line="18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Any limitation may result in expiration of all or a portion of the net operating loss or tax credit carryforwards before utilization. The Company maintains a full valuation allowance for deferred tax assets due to its historical losses and uncertainties surrounding its ability to generate future taxable income to realize these assets. Due to the existence of the valuation allowances, future changes in the Company’s unrecognized tax benefits and recognizable deferred tax benefits under the completion of an ownership change analysis is not expected to impact its effective tax rate.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Operating Leases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leases office facilities under a non-cancelable operating lease with an expiration date of July 2026. In March 2023, the Company entered into a Lease Extension Agreement for its office facility to extend the term for a period of three years commencing in August 2023 and terminating in July 2026, with monthly payments ranging from $7,380 to $7,838.</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Rent expense related to the Company’s operating leases was $91,310 and $91,310 for the years ended December 31, 2025 and 2024, respectively.</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paid for rent was $92,453 and $89,709 for the years ended December 31, 2025 and 2024,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w w:val="99"/>
              </w:rPr>
              <w:t>Future minimum payments under non-cancelable leases are as follows as of December 31, 2025: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260" w:type="dxa"/>
            <w:vAlign w:val="bottom"/>
          </w:tcPr>
          <w:p>
            <w:pPr>
              <w:spacing w:after="0"/>
              <w:rPr>
                <w:sz w:val="24"/>
                <w:szCs w:val="24"/>
                <w:color w:val="auto"/>
              </w:rPr>
            </w:pPr>
          </w:p>
        </w:tc>
        <w:tc>
          <w:tcPr>
            <w:tcW w:w="5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For the Year Ending</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December 31,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260" w:type="dxa"/>
            <w:vAlign w:val="bottom"/>
            <w:vMerge w:val="continue"/>
          </w:tcPr>
          <w:p>
            <w:pPr>
              <w:spacing w:after="0"/>
              <w:rPr>
                <w:sz w:val="19"/>
                <w:szCs w:val="19"/>
                <w:color w:val="auto"/>
              </w:rPr>
            </w:pPr>
          </w:p>
        </w:tc>
        <w:tc>
          <w:tcPr>
            <w:tcW w:w="5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54,865</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5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5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Upon commencement of the Lease Extension Agreement in August 2023, the Company recorded a right-of-use asset and related lease liability of $251,070.</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Company’s lease contracts do not provide a readily determinable implicit rate. The Company used its estimated incremental borrowing rate of 6%, which was based on information available at the inception of the lease. The weighted average remaining term at December 31, 2025 was 0.58 years.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CONNECTANDSELL, INC.</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 (Continued)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March 2026, the Company received a letter from an officer asserting that, pursuant to an employment agreement dated September 2021, the officer is entitled to a payment of at least $2.0 million upon the closing of a contemplated asset purchase transaction (the “Contemplated Transaction”). The officer indicated that, absent written assurances of payment prior to closing, they intend to pursue legal remedies.</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In April 2026, the Company received a letter from a financial advisor asserting that, under a letter agreement dated August 2023 (the “Letter Agreement”), approximately $2.0 million is payable upon closing of the Contemplated Transaction. The financial advisor further asserts that, because the Contemplated Transaction does not provide for assumption of the Company’s obligations under the Letter Agreement by the prospective acquirer, the Company must arrange alternative means of settlement acceptable to the advisor. The financial advisor has indicated it intends to pursue available legal or equitable remedies if the matter is not resolved.</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these claims. At this time, the Company is unable to reasonably estimate the likelihood of loss or the amount or range of any potential loss, if any, related to these matters. Accordingly, no liability has been recorded in the accompanying financial statements as of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SUBSEQUENT EVENTS</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November 2025, the Company entered into a non-binding Letter of Intent (LOI) to be acquired. The LOI outlines preliminary terms and conditions for a potential acquisition; however, it is non-binding and subject to the negotiation and execution of definitive agreements, completion of due diligence, and customary closing conditions. There can be no assurance that the transaction will be completed on the terms contemplated or at all.</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April 2026, the Company entered into a Debt Assumption and Repayment Agreement with an officer of the Company. The officer assumed and paid off the loan balance and accrued interest totaling $4,970,489 in exchange for the Company’s agreement to pay the officer the full amount upon closing of the Contemplated Transaction.</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Subsequent events have been evaluated through May 18, 2026, which is the date of the financial statements were issued or available to be issued. Other than events already disclosed in these financial statements, no material subsequent events have occurred that would require recognition in the financial statements or disclosure in the notes.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0" w:name="page311"/>
    <w:bookmarkEnd w:id="3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2599690</wp:posOffset>
            </wp:positionH>
            <wp:positionV relativeFrom="page">
              <wp:posOffset>431800</wp:posOffset>
            </wp:positionV>
            <wp:extent cx="2357120" cy="65151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clrChange>
                        <a:clrFrom>
                          <a:srgbClr val="FFFFFF"/>
                        </a:clrFrom>
                        <a:clrTo>
                          <a:srgbClr val="FFFFFF">
                            <a:alpha val="0"/>
                          </a:srgbClr>
                        </a:clrTo>
                      </a:clrChange>
                      <a:extLst>
                        <a:ext uri="{28A0092B-C50C-407E-A947-70E740481C1C}"/>
                      </a:extLst>
                    </a:blip>
                    <a:srcRect/>
                    <a:stretch>
                      <a:fillRect/>
                    </a:stretch>
                  </pic:blipFill>
                  <pic:spPr bwMode="auto">
                    <a:xfrm>
                      <a:off x="0" y="0"/>
                      <a:ext cx="2357120" cy="651510"/>
                    </a:xfrm>
                    <a:prstGeom prst="rect">
                      <a:avLst/>
                    </a:prstGeom>
                    <a:noFill/>
                  </pic:spPr>
                </pic:pic>
              </a:graphicData>
            </a:graphic>
          </wp:anchor>
        </w:drawing>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$13,500,000 Firm Commitment Offering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4,963,235 Units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Each Consisting of One Share of Class A Common Stock or One Pre-Funded Warrant to Purchase One 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Two Warrants with each Warrant exercisable for one share of Class A Common Stock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125,000 Shares of Class A Common Stock Included in the Units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4,838,235 Pre-Funded Warrants Included in the 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9,926,470 Common Warrants Included in the Units</w:t>
      </w:r>
    </w:p>
    <w:p>
      <w:pPr>
        <w:spacing w:after="0" w:line="9" w:lineRule="exact"/>
        <w:rPr>
          <w:sz w:val="20"/>
          <w:szCs w:val="20"/>
          <w:color w:val="auto"/>
        </w:rPr>
      </w:pPr>
    </w:p>
    <w:p>
      <w:pPr>
        <w:jc w:val="center"/>
        <w:spacing w:after="0" w:line="253" w:lineRule="auto"/>
        <w:rPr>
          <w:sz w:val="20"/>
          <w:szCs w:val="20"/>
          <w:color w:val="auto"/>
        </w:rPr>
      </w:pPr>
      <w:r>
        <w:rPr>
          <w:rFonts w:ascii="Times New Roman" w:cs="Times New Roman" w:eastAsia="Times New Roman" w:hAnsi="Times New Roman"/>
          <w:sz w:val="18"/>
          <w:szCs w:val="18"/>
          <w:b w:val="1"/>
          <w:bCs w:val="1"/>
          <w:color w:val="auto"/>
        </w:rPr>
        <w:t>Up to 4,838,235 Shares of Class A Common Stock Underlying the Pre-Funded Warrants Up to 9,926,470 Shares of Class A Common Stock Underlying the Warrants $13,500,000 Firm Commitment Offering of 4,963,235 Units, Each Consisting of One Share of Class A Common Stock (or One Pre-Funded Warrant to Purchase One Share of Class A Common Stock in Lieu Thereof) and Two Warrants, Each Warrant Exercisable for One Share of Class A Common Stock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Aegis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3232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4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1)"/>
      <w:numFmt w:val="decimal"/>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1)"/>
      <w:numFmt w:val="lowerRoman"/>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
      <w:numFmt w:val="bullet"/>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
      <w:numFmt w:val="bullet"/>
      <w:start w:val="1"/>
    </w:lvl>
  </w:abstractNum>
  <w:abstractNum w:abstractNumId="14">
    <w:nsid w:val="6590700B"/>
    <w:multiLevelType w:val="hybridMultilevel"/>
    <w:lvl w:ilvl="0">
      <w:lvlJc w:val="left"/>
      <w:lvlText w:val="■"/>
      <w:numFmt w:val="bullet"/>
      <w:start w:val="1"/>
    </w:lvl>
  </w:abstractNum>
  <w:abstractNum w:abstractNumId="15">
    <w:nsid w:val="15014ACB"/>
    <w:multiLevelType w:val="hybridMultilevel"/>
    <w:lvl w:ilvl="0">
      <w:lvlJc w:val="left"/>
      <w:lvlText w:val="■"/>
      <w:numFmt w:val="bullet"/>
      <w:start w:val="1"/>
    </w:lvl>
  </w:abstractNum>
  <w:abstractNum w:abstractNumId="16">
    <w:nsid w:val="5F5E7FD0"/>
    <w:multiLevelType w:val="hybridMultilevel"/>
    <w:lvl w:ilvl="0">
      <w:lvlJc w:val="left"/>
      <w:lvlText w:val="■"/>
      <w:numFmt w:val="bullet"/>
      <w:start w:val="1"/>
    </w:lvl>
  </w:abstractNum>
  <w:abstractNum w:abstractNumId="17">
    <w:nsid w:val="98A3148"/>
    <w:multiLevelType w:val="hybridMultilevel"/>
    <w:lvl w:ilvl="0">
      <w:lvlJc w:val="left"/>
      <w:lvlText w:val="■"/>
      <w:numFmt w:val="bullet"/>
      <w:start w:val="1"/>
    </w:lvl>
  </w:abstractNum>
  <w:abstractNum w:abstractNumId="18">
    <w:nsid w:val="799D0247"/>
    <w:multiLevelType w:val="hybridMultilevel"/>
    <w:lvl w:ilvl="0">
      <w:lvlJc w:val="left"/>
      <w:lvlText w:val="(%1)"/>
      <w:numFmt w:val="lowerRoman"/>
      <w:start w:val="1"/>
    </w:lvl>
  </w:abstractNum>
  <w:abstractNum w:abstractNumId="19">
    <w:nsid w:val="6B94764"/>
    <w:multiLevelType w:val="hybridMultilevel"/>
    <w:lvl w:ilvl="0">
      <w:lvlJc w:val="left"/>
      <w:lvlText w:val="■"/>
      <w:numFmt w:val="bullet"/>
      <w:start w:val="1"/>
    </w:lvl>
  </w:abstractNum>
  <w:abstractNum w:abstractNumId="20">
    <w:nsid w:val="42C296BD"/>
    <w:multiLevelType w:val="hybridMultilevel"/>
    <w:lvl w:ilvl="0">
      <w:lvlJc w:val="left"/>
      <w:lvlText w:val="■"/>
      <w:numFmt w:val="bullet"/>
      <w:start w:val="1"/>
    </w:lvl>
  </w:abstractNum>
  <w:abstractNum w:abstractNumId="21">
    <w:nsid w:val="168E121F"/>
    <w:multiLevelType w:val="hybridMultilevel"/>
    <w:lvl w:ilvl="0">
      <w:lvlJc w:val="left"/>
      <w:lvlText w:val="■"/>
      <w:numFmt w:val="bullet"/>
      <w:start w:val="1"/>
    </w:lvl>
    <w:lvl w:ilvl="1">
      <w:lvlJc w:val="left"/>
      <w:lvlText w:val="(%2)"/>
      <w:numFmt w:val="lowerRoman"/>
      <w:start w:val="1"/>
    </w:lvl>
  </w:abstractNum>
  <w:abstractNum w:abstractNumId="22">
    <w:nsid w:val="1EBA5D23"/>
    <w:multiLevelType w:val="hybridMultilevel"/>
    <w:lvl w:ilvl="0">
      <w:lvlJc w:val="left"/>
      <w:lvlText w:val="(%1)"/>
      <w:numFmt w:val="lowerRoman"/>
      <w:start w:val="8"/>
    </w:lvl>
  </w:abstractNum>
  <w:abstractNum w:abstractNumId="23">
    <w:nsid w:val="661E3F1E"/>
    <w:multiLevelType w:val="hybridMultilevel"/>
    <w:lvl w:ilvl="0">
      <w:lvlJc w:val="left"/>
      <w:lvlText w:val="■"/>
      <w:numFmt w:val="bullet"/>
      <w:start w:val="1"/>
    </w:lvl>
  </w:abstractNum>
  <w:abstractNum w:abstractNumId="24">
    <w:nsid w:val="5DC79EA8"/>
    <w:multiLevelType w:val="hybridMultilevel"/>
    <w:lvl w:ilvl="0">
      <w:lvlJc w:val="left"/>
      <w:lvlText w:val="(%1)"/>
      <w:numFmt w:val="decimal"/>
      <w:start w:val="1"/>
    </w:lvl>
  </w:abstractNum>
  <w:abstractNum w:abstractNumId="25">
    <w:nsid w:val="540A471C"/>
    <w:multiLevelType w:val="hybridMultilevel"/>
    <w:lvl w:ilvl="0">
      <w:lvlJc w:val="left"/>
      <w:lvlText w:val="■"/>
      <w:numFmt w:val="bullet"/>
      <w:start w:val="1"/>
    </w:lvl>
  </w:abstractNum>
  <w:abstractNum w:abstractNumId="26">
    <w:nsid w:val="7BD3EE7B"/>
    <w:multiLevelType w:val="hybridMultilevel"/>
    <w:lvl w:ilvl="0">
      <w:lvlJc w:val="left"/>
      <w:lvlText w:val="■"/>
      <w:numFmt w:val="bullet"/>
      <w:start w:val="1"/>
    </w:lvl>
  </w:abstractNum>
  <w:abstractNum w:abstractNumId="27">
    <w:nsid w:val="51D9C564"/>
    <w:multiLevelType w:val="hybridMultilevel"/>
    <w:lvl w:ilvl="0">
      <w:lvlJc w:val="left"/>
      <w:lvlText w:val="■"/>
      <w:numFmt w:val="bullet"/>
      <w:start w:val="1"/>
    </w:lvl>
  </w:abstractNum>
  <w:abstractNum w:abstractNumId="28">
    <w:nsid w:val="613EFDC5"/>
    <w:multiLevelType w:val="hybridMultilevel"/>
    <w:lvl w:ilvl="0">
      <w:lvlJc w:val="left"/>
      <w:lvlText w:val="(%1)"/>
      <w:numFmt w:val="lowerRoman"/>
      <w:start w:val="1"/>
    </w:lvl>
  </w:abstractNum>
  <w:abstractNum w:abstractNumId="29">
    <w:nsid w:val="BF72B14"/>
    <w:multiLevelType w:val="hybridMultilevel"/>
    <w:lvl w:ilvl="0">
      <w:lvlJc w:val="left"/>
      <w:lvlText w:val="■"/>
      <w:numFmt w:val="bullet"/>
      <w:start w:val="1"/>
    </w:lvl>
  </w:abstractNum>
  <w:abstractNum w:abstractNumId="30">
    <w:nsid w:val="11447B73"/>
    <w:multiLevelType w:val="hybridMultilevel"/>
    <w:lvl w:ilvl="0">
      <w:lvlJc w:val="left"/>
      <w:lvlText w:val="■"/>
      <w:numFmt w:val="bullet"/>
      <w:start w:val="1"/>
    </w:lvl>
  </w:abstractNum>
  <w:abstractNum w:abstractNumId="31">
    <w:nsid w:val="42963E5A"/>
    <w:multiLevelType w:val="hybridMultilevel"/>
    <w:lvl w:ilvl="0">
      <w:lvlJc w:val="left"/>
      <w:lvlText w:val="■"/>
      <w:numFmt w:val="bullet"/>
      <w:start w:val="1"/>
    </w:lvl>
  </w:abstractNum>
  <w:abstractNum w:abstractNumId="32">
    <w:nsid w:val="A0382C5"/>
    <w:multiLevelType w:val="hybridMultilevel"/>
    <w:lvl w:ilvl="0">
      <w:lvlJc w:val="left"/>
      <w:lvlText w:val="■"/>
      <w:numFmt w:val="bullet"/>
      <w:start w:val="1"/>
    </w:lvl>
  </w:abstractNum>
  <w:abstractNum w:abstractNumId="33">
    <w:nsid w:val="8F2B15E"/>
    <w:multiLevelType w:val="hybridMultilevel"/>
    <w:lvl w:ilvl="0">
      <w:lvlJc w:val="left"/>
      <w:lvlText w:val="%1."/>
      <w:numFmt w:val="decimal"/>
      <w:start w:val="1"/>
    </w:lvl>
  </w:abstractNum>
  <w:abstractNum w:abstractNumId="34">
    <w:nsid w:val="1A32234B"/>
    <w:multiLevelType w:val="hybridMultilevel"/>
    <w:lvl w:ilvl="0">
      <w:lvlJc w:val="left"/>
      <w:lvlText w:val="%1."/>
      <w:numFmt w:val="decimal"/>
      <w:start w:val="1"/>
    </w:lvl>
  </w:abstractNum>
  <w:abstractNum w:abstractNumId="35">
    <w:nsid w:val="3B0FD379"/>
    <w:multiLevelType w:val="hybridMultilevel"/>
    <w:lvl w:ilvl="0">
      <w:lvlJc w:val="left"/>
      <w:lvlText w:val="■"/>
      <w:numFmt w:val="bullet"/>
      <w:start w:val="1"/>
    </w:lvl>
  </w:abstractNum>
  <w:abstractNum w:abstractNumId="36">
    <w:nsid w:val="68EB2F63"/>
    <w:multiLevelType w:val="hybridMultilevel"/>
    <w:lvl w:ilvl="0">
      <w:lvlJc w:val="left"/>
      <w:lvlText w:val="■"/>
      <w:numFmt w:val="bullet"/>
      <w:start w:val="1"/>
    </w:lvl>
  </w:abstractNum>
  <w:abstractNum w:abstractNumId="37">
    <w:nsid w:val="4962813B"/>
    <w:multiLevelType w:val="hybridMultilevel"/>
    <w:lvl w:ilvl="0">
      <w:lvlJc w:val="left"/>
      <w:lvlText w:val="■"/>
      <w:numFmt w:val="bullet"/>
      <w:start w:val="1"/>
    </w:lvl>
  </w:abstractNum>
  <w:abstractNum w:abstractNumId="38">
    <w:nsid w:val="60B6DF70"/>
    <w:multiLevelType w:val="hybridMultilevel"/>
    <w:lvl w:ilvl="0">
      <w:lvlJc w:val="left"/>
      <w:lvlText w:val="■"/>
      <w:numFmt w:val="bullet"/>
      <w:start w:val="1"/>
    </w:lvl>
  </w:abstractNum>
  <w:abstractNum w:abstractNumId="39">
    <w:nsid w:val="6A5EE64"/>
    <w:multiLevelType w:val="hybridMultilevel"/>
    <w:lvl w:ilvl="0">
      <w:lvlJc w:val="left"/>
      <w:lvlText w:val="■"/>
      <w:numFmt w:val="bullet"/>
      <w:start w:val="1"/>
    </w:lvl>
  </w:abstractNum>
  <w:abstractNum w:abstractNumId="40">
    <w:nsid w:val="14330624"/>
    <w:multiLevelType w:val="hybridMultilevel"/>
    <w:lvl w:ilvl="0">
      <w:lvlJc w:val="left"/>
      <w:lvlText w:val="■"/>
      <w:numFmt w:val="bullet"/>
      <w:start w:val="1"/>
    </w:lvl>
  </w:abstractNum>
  <w:abstractNum w:abstractNumId="41">
    <w:nsid w:val="7FFFCA11"/>
    <w:multiLevelType w:val="hybridMultilevel"/>
    <w:lvl w:ilvl="0">
      <w:lvlJc w:val="left"/>
      <w:lvlText w:val="(%1)"/>
      <w:numFmt w:val="decimal"/>
      <w:start w:val="1"/>
    </w:lvl>
  </w:abstractNum>
  <w:abstractNum w:abstractNumId="42">
    <w:nsid w:val="1A27709E"/>
    <w:multiLevelType w:val="hybridMultilevel"/>
    <w:lvl w:ilvl="0">
      <w:lvlJc w:val="left"/>
      <w:lvlText w:val="(%1)"/>
      <w:numFmt w:val="decimal"/>
      <w:start w:val="3"/>
    </w:lvl>
  </w:abstractNum>
  <w:abstractNum w:abstractNumId="43">
    <w:nsid w:val="71EA1109"/>
    <w:multiLevelType w:val="hybridMultilevel"/>
    <w:lvl w:ilvl="0">
      <w:lvlJc w:val="left"/>
      <w:lvlText w:val="(%1)"/>
      <w:numFmt w:val="decimal"/>
      <w:start w:val="1"/>
    </w:lvl>
  </w:abstractNum>
  <w:abstractNum w:abstractNumId="44">
    <w:nsid w:val="100F59DC"/>
    <w:multiLevelType w:val="hybridMultilevel"/>
    <w:lvl w:ilvl="0">
      <w:lvlJc w:val="left"/>
      <w:lvlText w:val="■"/>
      <w:numFmt w:val="bullet"/>
      <w:start w:val="1"/>
    </w:lvl>
  </w:abstractNum>
  <w:abstractNum w:abstractNumId="45">
    <w:nsid w:val="7FB7E0AA"/>
    <w:multiLevelType w:val="hybridMultilevel"/>
    <w:lvl w:ilvl="0">
      <w:lvlJc w:val="left"/>
      <w:lvlText w:val="■"/>
      <w:numFmt w:val="bullet"/>
      <w:start w:val="1"/>
    </w:lvl>
  </w:abstractNum>
  <w:abstractNum w:abstractNumId="46">
    <w:nsid w:val="6EB5BD4"/>
    <w:multiLevelType w:val="hybridMultilevel"/>
    <w:lvl w:ilvl="0">
      <w:lvlJc w:val="left"/>
      <w:lvlText w:val="■"/>
      <w:numFmt w:val="bullet"/>
      <w:start w:val="1"/>
    </w:lvl>
  </w:abstractNum>
  <w:abstractNum w:abstractNumId="47">
    <w:nsid w:val="6F6DD9AC"/>
    <w:multiLevelType w:val="hybridMultilevel"/>
    <w:lvl w:ilvl="0">
      <w:lvlJc w:val="left"/>
      <w:lvlText w:val="*"/>
      <w:numFmt w:val="bullet"/>
      <w:start w:val="1"/>
    </w:lvl>
  </w:abstractNum>
  <w:abstractNum w:abstractNumId="48">
    <w:nsid w:val="94211F2"/>
    <w:multiLevelType w:val="hybridMultilevel"/>
    <w:lvl w:ilvl="0">
      <w:lvlJc w:val="left"/>
      <w:lvlText w:val="(%1)"/>
      <w:numFmt w:val="decimal"/>
      <w:start w:val="1"/>
    </w:lvl>
  </w:abstractNum>
  <w:abstractNum w:abstractNumId="49">
    <w:nsid w:val="885E1B"/>
    <w:multiLevelType w:val="hybridMultilevel"/>
    <w:lvl w:ilvl="0">
      <w:lvlJc w:val="left"/>
      <w:lvlText w:val="■"/>
      <w:numFmt w:val="bullet"/>
      <w:start w:val="1"/>
    </w:lvl>
  </w:abstractNum>
  <w:abstractNum w:abstractNumId="50">
    <w:nsid w:val="76272110"/>
    <w:multiLevelType w:val="hybridMultilevel"/>
    <w:lvl w:ilvl="0">
      <w:lvlJc w:val="left"/>
      <w:lvlText w:val="(%1)"/>
      <w:numFmt w:val="decimal"/>
      <w:start w:val="1"/>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1)"/>
      <w:numFmt w:val="decimal"/>
      <w:start w:val="3"/>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
      <w:numFmt w:val="bullet"/>
      <w:start w:val="1"/>
    </w:lvl>
  </w:abstractNum>
  <w:abstractNum w:abstractNumId="55">
    <w:nsid w:val="74DE0EE3"/>
    <w:multiLevelType w:val="hybridMultilevel"/>
    <w:lvl w:ilvl="0">
      <w:lvlJc w:val="left"/>
      <w:lvlText w:val="■"/>
      <w:numFmt w:val="bullet"/>
      <w:start w:val="1"/>
    </w:lvl>
  </w:abstractNum>
  <w:abstractNum w:abstractNumId="56">
    <w:nsid w:val="68EBC550"/>
    <w:multiLevelType w:val="hybridMultilevel"/>
    <w:lvl w:ilvl="0">
      <w:lvlJc w:val="left"/>
      <w:lvlText w:val="■"/>
      <w:numFmt w:val="bullet"/>
      <w:start w:val="1"/>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
      <w:numFmt w:val="bullet"/>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1)"/>
      <w:numFmt w:val="decimal"/>
      <w:start w:val="5"/>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1)"/>
      <w:numFmt w:val="lowerRoman"/>
      <w:start w:val="1"/>
    </w:lvl>
  </w:abstractNum>
  <w:abstractNum w:abstractNumId="73">
    <w:nsid w:val="6AA78F7F"/>
    <w:multiLevelType w:val="hybridMultilevel"/>
    <w:lvl w:ilvl="0">
      <w:lvlJc w:val="left"/>
      <w:lvlText w:val="(%1)"/>
      <w:numFmt w:val="lowerRoman"/>
      <w:start w:val="2"/>
    </w:lvl>
  </w:abstractNum>
  <w:abstractNum w:abstractNumId="74">
    <w:nsid w:val="7672BD23"/>
    <w:multiLevelType w:val="hybridMultilevel"/>
    <w:lvl w:ilvl="0">
      <w:lvlJc w:val="left"/>
      <w:lvlText w:val="%1)"/>
      <w:numFmt w:val="upperLetter"/>
      <w:start w:val="2"/>
    </w:lvl>
  </w:abstractNum>
  <w:abstractNum w:abstractNumId="75">
    <w:nsid w:val="6FC75AF8"/>
    <w:multiLevelType w:val="hybridMultilevel"/>
    <w:lvl w:ilvl="0">
      <w:lvlJc w:val="left"/>
      <w:lvlText w:val="%1."/>
      <w:numFmt w:val="decimal"/>
      <w:start w:val="1"/>
    </w:lvl>
  </w:abstractNum>
  <w:abstractNum w:abstractNumId="76">
    <w:nsid w:val="6A5F7029"/>
    <w:multiLevelType w:val="hybridMultilevel"/>
    <w:lvl w:ilvl="0">
      <w:lvlJc w:val="left"/>
      <w:lvlText w:val="(%1)"/>
      <w:numFmt w:val="decimal"/>
      <w:start w:val="1"/>
    </w:lvl>
  </w:abstractNum>
  <w:abstractNum w:abstractNumId="77">
    <w:nsid w:val="7D5E18F8"/>
    <w:multiLevelType w:val="hybridMultilevel"/>
    <w:lvl w:ilvl="0">
      <w:lvlJc w:val="left"/>
      <w:lvlText w:val="(%1)"/>
      <w:numFmt w:val="lowerRoman"/>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1)"/>
      <w:numFmt w:val="lowerRoman"/>
      <w:start w:val="1"/>
    </w:lvl>
  </w:abstractNum>
  <w:abstractNum w:abstractNumId="81">
    <w:nsid w:val="555C55B5"/>
    <w:multiLevelType w:val="hybridMultilevel"/>
    <w:lvl w:ilvl="0">
      <w:lvlJc w:val="left"/>
      <w:lvlText w:val="1"/>
      <w:numFmt w:val="bullet"/>
      <w:start w:val="1"/>
    </w:lvl>
  </w:abstractNum>
  <w:abstractNum w:abstractNumId="82">
    <w:nsid w:val="3FA62ACA"/>
    <w:multiLevelType w:val="hybridMultilevel"/>
    <w:lvl w:ilvl="0">
      <w:lvlJc w:val="left"/>
      <w:lvlText w:val="1"/>
      <w:numFmt w:val="bullet"/>
      <w:start w:val="1"/>
    </w:lvl>
  </w:abstractNum>
  <w:abstractNum w:abstractNumId="83">
    <w:nsid w:val="14FCE74E"/>
    <w:multiLevelType w:val="hybridMultilevel"/>
    <w:lvl w:ilvl="0">
      <w:lvlJc w:val="left"/>
      <w:lvlText w:val="1"/>
      <w:numFmt w:val="bullet"/>
      <w:start w:val="1"/>
    </w:lvl>
  </w:abstractNum>
  <w:abstractNum w:abstractNumId="84">
    <w:nsid w:val="6A3DD3E8"/>
    <w:multiLevelType w:val="hybridMultilevel"/>
    <w:lvl w:ilvl="0">
      <w:lvlJc w:val="left"/>
      <w:lvlText w:val="1"/>
      <w:numFmt w:val="bullet"/>
      <w:start w:val="1"/>
    </w:lvl>
  </w:abstractNum>
  <w:abstractNum w:abstractNumId="85">
    <w:nsid w:val="71C91298"/>
    <w:multiLevelType w:val="hybridMultilevel"/>
    <w:lvl w:ilvl="0">
      <w:lvlJc w:val="left"/>
      <w:lvlText w:val="2"/>
      <w:numFmt w:val="bullet"/>
      <w:start w:val="1"/>
    </w:lvl>
  </w:abstractNum>
  <w:abstractNum w:abstractNumId="86">
    <w:nsid w:val="9DAF632"/>
    <w:multiLevelType w:val="hybridMultilevel"/>
    <w:lvl w:ilvl="0">
      <w:lvlJc w:val="left"/>
      <w:lvlText w:val="1"/>
      <w:numFmt w:val="bullet"/>
      <w:start w:val="1"/>
    </w:lvl>
  </w:abstractNum>
  <w:abstractNum w:abstractNumId="87">
    <w:nsid w:val="53299938"/>
    <w:multiLevelType w:val="hybridMultilevel"/>
    <w:lvl w:ilvl="0">
      <w:lvlJc w:val="left"/>
      <w:lvlText w:val="%1."/>
      <w:numFmt w:val="decimal"/>
      <w:start w:val="1"/>
    </w:lvl>
  </w:abstractNum>
  <w:abstractNum w:abstractNumId="88">
    <w:nsid w:val="1FBFE8E0"/>
    <w:multiLevelType w:val="hybridMultilevel"/>
    <w:lvl w:ilvl="0">
      <w:lvlJc w:val="left"/>
      <w:lvlText w:val="■"/>
      <w:numFmt w:val="bullet"/>
      <w:start w:val="1"/>
    </w:lvl>
  </w:abstractNum>
  <w:abstractNum w:abstractNumId="89">
    <w:nsid w:val="5092CA79"/>
    <w:multiLevelType w:val="hybridMultilevel"/>
    <w:lvl w:ilvl="0">
      <w:lvlJc w:val="left"/>
      <w:lvlText w:val="■"/>
      <w:numFmt w:val="bullet"/>
      <w:start w:val="1"/>
    </w:lvl>
  </w:abstractNum>
  <w:abstractNum w:abstractNumId="90">
    <w:nsid w:val="1D545C4D"/>
    <w:multiLevelType w:val="hybridMultilevel"/>
    <w:lvl w:ilvl="0">
      <w:lvlJc w:val="left"/>
      <w:lvlText w:val="%1."/>
      <w:numFmt w:val="decimal"/>
      <w:start w:val="2"/>
    </w:lvl>
  </w:abstractNum>
  <w:abstractNum w:abstractNumId="91">
    <w:nsid w:val="59ADEA3D"/>
    <w:multiLevelType w:val="hybridMultilevel"/>
    <w:lvl w:ilvl="0">
      <w:lvlJc w:val="left"/>
      <w:lvlText w:val="■"/>
      <w:numFmt w:val="bullet"/>
      <w:start w:val="1"/>
    </w:lvl>
  </w:abstractNum>
  <w:abstractNum w:abstractNumId="92">
    <w:nsid w:val="288F1A34"/>
    <w:multiLevelType w:val="hybridMultilevel"/>
    <w:lvl w:ilvl="0">
      <w:lvlJc w:val="left"/>
      <w:lvlText w:val="%1)"/>
      <w:numFmt w:val="upperLetter"/>
      <w:start w:val="2"/>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
      <w:numFmt w:val="bullet"/>
      <w:start w:val="1"/>
    </w:lvl>
  </w:abstractNum>
  <w:abstractNum w:abstractNumId="95">
    <w:nsid w:val="97E1B4E"/>
    <w:multiLevelType w:val="hybridMultilevel"/>
    <w:lvl w:ilvl="0">
      <w:lvlJc w:val="left"/>
      <w:lvlText w:val="%1."/>
      <w:numFmt w:val="decimal"/>
      <w:start w:val="1"/>
    </w:lvl>
  </w:abstractNum>
  <w:abstractNum w:abstractNumId="96">
    <w:nsid w:val="51088277"/>
    <w:multiLevelType w:val="hybridMultilevel"/>
    <w:lvl w:ilvl="0">
      <w:lvlJc w:val="left"/>
      <w:lvlText w:val="$"/>
      <w:numFmt w:val="bullet"/>
      <w:start w:val="1"/>
    </w:lvl>
  </w:abstractNum>
  <w:abstractNum w:abstractNumId="97">
    <w:nsid w:val="1CA0C5FA"/>
    <w:multiLevelType w:val="hybridMultilevel"/>
    <w:lvl w:ilvl="0">
      <w:lvlJc w:val="left"/>
      <w:lvlText w:val="$"/>
      <w:numFmt w:val="bullet"/>
      <w:start w:val="1"/>
    </w:lvl>
  </w:abstractNum>
  <w:abstractNum w:abstractNumId="98">
    <w:nsid w:val="53584BCB"/>
    <w:multiLevelType w:val="hybridMultilevel"/>
    <w:lvl w:ilvl="0">
      <w:lvlJc w:val="left"/>
      <w:lvlText w:val="(%1)"/>
      <w:numFmt w:val="lowerRoman"/>
      <w:start w:val="1"/>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1)"/>
      <w:numFmt w:val="lowerRoman"/>
      <w:start w:val="1"/>
    </w:lvl>
  </w:abstractNum>
  <w:abstractNum w:abstractNumId="101">
    <w:nsid w:val="23D86AAC"/>
    <w:multiLevelType w:val="hybridMultilevel"/>
    <w:lvl w:ilvl="0">
      <w:lvlJc w:val="left"/>
      <w:lvlText w:val="$"/>
      <w:numFmt w:val="bullet"/>
      <w:start w:val="1"/>
    </w:lvl>
  </w:abstractNum>
  <w:abstractNum w:abstractNumId="102">
    <w:nsid w:val="45E6D486"/>
    <w:multiLevelType w:val="hybridMultilevel"/>
    <w:lvl w:ilvl="0">
      <w:lvlJc w:val="left"/>
      <w:lvlText w:val="$"/>
      <w:numFmt w:val="bullet"/>
      <w:start w:val="1"/>
    </w:lvl>
  </w:abstractNum>
  <w:abstractNum w:abstractNumId="103">
    <w:nsid w:val="5C10FE21"/>
    <w:multiLevelType w:val="hybridMultilevel"/>
    <w:lvl w:ilvl="0">
      <w:lvlJc w:val="left"/>
      <w:lvlText w:val="$"/>
      <w:numFmt w:val="bullet"/>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
      <w:numFmt w:val="bullet"/>
      <w:start w:val="1"/>
    </w:lvl>
  </w:abstractNum>
  <w:abstractNum w:abstractNumId="106">
    <w:nsid w:val="4BD8591A"/>
    <w:multiLevelType w:val="hybridMultilevel"/>
    <w:lvl w:ilvl="0">
      <w:lvlJc w:val="left"/>
      <w:lvlText w:val="○"/>
      <w:numFmt w:val="bullet"/>
      <w:start w:val="1"/>
    </w:lvl>
  </w:abstractNum>
  <w:abstractNum w:abstractNumId="107">
    <w:nsid w:val="78DF6A55"/>
    <w:multiLevelType w:val="hybridMultilevel"/>
    <w:lvl w:ilvl="0">
      <w:lvlJc w:val="left"/>
      <w:lvlText w:val="●"/>
      <w:numFmt w:val="bullet"/>
      <w:start w:val="1"/>
    </w:lvl>
  </w:abstractNum>
  <w:abstractNum w:abstractNumId="108">
    <w:nsid w:val="39B7AAA2"/>
    <w:multiLevelType w:val="hybridMultilevel"/>
    <w:lvl w:ilvl="0">
      <w:lvlJc w:val="left"/>
      <w:lvlText w:val="●"/>
      <w:numFmt w:val="bullet"/>
      <w:start w:val="1"/>
    </w:lvl>
  </w:abstractNum>
  <w:abstractNum w:abstractNumId="109">
    <w:nsid w:val="2B0D8DBE"/>
    <w:multiLevelType w:val="hybridMultilevel"/>
    <w:lvl w:ilvl="0">
      <w:lvlJc w:val="left"/>
      <w:lvlText w:val="●"/>
      <w:numFmt w:val="bullet"/>
      <w:start w:val="1"/>
    </w:lvl>
  </w:abstractNum>
  <w:abstractNum w:abstractNumId="110">
    <w:nsid w:val="6C80EC70"/>
    <w:multiLevelType w:val="hybridMultilevel"/>
    <w:lvl w:ilvl="0">
      <w:lvlJc w:val="left"/>
      <w:lvlText w:val="(%1)"/>
      <w:numFmt w:val="decimal"/>
      <w:start w:val="2"/>
    </w:lvl>
  </w:abstractNum>
  <w:abstractNum w:abstractNumId="111">
    <w:nsid w:val="379E21B5"/>
    <w:multiLevelType w:val="hybridMultilevel"/>
    <w:lvl w:ilvl="0">
      <w:lvlJc w:val="left"/>
      <w:lvlText w:val="●"/>
      <w:numFmt w:val="bullet"/>
      <w:start w:val="1"/>
    </w:lvl>
  </w:abstractNum>
  <w:abstractNum w:abstractNumId="112">
    <w:nsid w:val="69E373"/>
    <w:multiLevelType w:val="hybridMultilevel"/>
    <w:lvl w:ilvl="0">
      <w:lvlJc w:val="left"/>
      <w:lvlText w:val="$"/>
      <w:numFmt w:val="bullet"/>
      <w:start w:val="1"/>
    </w:lvl>
  </w:abstractNum>
  <w:abstractNum w:abstractNumId="113">
    <w:nsid w:val="2C27173B"/>
    <w:multiLevelType w:val="hybridMultilevel"/>
    <w:lvl w:ilvl="0">
      <w:lvlJc w:val="left"/>
      <w:lvlText w:val="$"/>
      <w:numFmt w:val="bullet"/>
      <w:start w:val="1"/>
    </w:lvl>
  </w:abstractNum>
  <w:abstractNum w:abstractNumId="114">
    <w:nsid w:val="4C9B0904"/>
    <w:multiLevelType w:val="hybridMultilevel"/>
    <w:lvl w:ilvl="0">
      <w:lvlJc w:val="left"/>
      <w:lvlText w:val="$"/>
      <w:numFmt w:val="bullet"/>
      <w:start w:val="1"/>
    </w:lvl>
  </w:abstractNum>
  <w:abstractNum w:abstractNumId="115">
    <w:nsid w:val="6AA7B75C"/>
    <w:multiLevelType w:val="hybridMultilevel"/>
    <w:lvl w:ilvl="0">
      <w:lvlJc w:val="left"/>
      <w:lvlText w:val="$"/>
      <w:numFmt w:val="bullet"/>
      <w:start w:val="1"/>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1)"/>
      <w:numFmt w:val="decimal"/>
      <w:start w:val="2"/>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jpe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jpeg"/><Relationship Id="rId442" Type="http://schemas.openxmlformats.org/officeDocument/2006/relationships/image" Target="media/image4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2026-11-06T05:28:12Z</dcterms:created>
  <dcterms:modified xsi:type="dcterms:W3CDTF">2026-11-06T05:28:12Z</dcterms:modified>
</cp:coreProperties>
</file>