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8-K/A</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 Securities Exchange Act of 1934</w:t>
      </w:r>
    </w:p>
    <w:p>
      <w:pPr>
        <w:spacing w:after="0" w:line="1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20"/>
          <w:szCs w:val="20"/>
          <w:b w:val="1"/>
          <w:bCs w:val="1"/>
          <w:color w:val="auto"/>
        </w:rPr>
        <w:t>September 25, 2024</w:t>
      </w:r>
    </w:p>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Banzai International, Inc.</w:t>
      </w:r>
    </w:p>
    <w:p>
      <w:pPr>
        <w:spacing w:after="0" w:line="3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231" w:right="339" w:bottom="1440" w:gutter="0" w:footer="0" w:header="0"/>
        </w:sectPr>
      </w:pPr>
    </w:p>
    <w:p>
      <w:pPr>
        <w:spacing w:after="0" w:line="200" w:lineRule="exact"/>
        <w:rPr>
          <w:sz w:val="24"/>
          <w:szCs w:val="24"/>
          <w:color w:val="auto"/>
        </w:rPr>
      </w:pPr>
    </w:p>
    <w:p>
      <w:pPr>
        <w:spacing w:after="0" w:line="237"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7"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001-39826</w:t>
      </w:r>
    </w:p>
    <w:p>
      <w:pPr>
        <w:spacing w:after="0" w:line="3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7"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85-3118980</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800" w:space="720"/>
            <w:col w:w="2080"/>
          </w:cols>
          <w:pgMar w:left="320" w:top="1231" w:right="3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435 Eriksen Ave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Suite 250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Bainbridge Island, Washington 98110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(206) 414-1777</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1231"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20" w:hanging="453"/>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920" w:hanging="453"/>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920" w:hanging="453"/>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920" w:hanging="453"/>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w:t>
            </w:r>
          </w:p>
        </w:tc>
        <w:tc>
          <w:tcPr>
            <w:tcW w:w="140" w:type="dxa"/>
            <w:vAlign w:val="bottom"/>
          </w:tcPr>
          <w:p>
            <w:pPr>
              <w:spacing w:after="0"/>
              <w:rPr>
                <w:sz w:val="18"/>
                <w:szCs w:val="18"/>
                <w:color w:val="auto"/>
              </w:rPr>
            </w:pPr>
          </w:p>
        </w:tc>
        <w:tc>
          <w:tcPr>
            <w:tcW w:w="4460" w:type="dxa"/>
            <w:vAlign w:val="bottom"/>
          </w:tcPr>
          <w:p>
            <w:pPr>
              <w:spacing w:after="0"/>
              <w:rPr>
                <w:sz w:val="18"/>
                <w:szCs w:val="18"/>
                <w:color w:val="auto"/>
              </w:rPr>
            </w:pPr>
          </w:p>
        </w:tc>
      </w:tr>
      <w:tr>
        <w:trPr>
          <w:trHeight w:val="238"/>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4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40" w:type="dxa"/>
            <w:vAlign w:val="bottom"/>
          </w:tcPr>
          <w:p>
            <w:pPr>
              <w:spacing w:after="0"/>
              <w:rPr>
                <w:sz w:val="20"/>
                <w:szCs w:val="20"/>
                <w:color w:val="auto"/>
              </w:rPr>
            </w:pP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140" w:type="dxa"/>
            <w:vAlign w:val="bottom"/>
          </w:tcPr>
          <w:p>
            <w:pPr>
              <w:spacing w:after="0"/>
              <w:rPr>
                <w:sz w:val="16"/>
                <w:szCs w:val="16"/>
                <w:color w:val="auto"/>
              </w:rPr>
            </w:pPr>
          </w:p>
        </w:tc>
        <w:tc>
          <w:tcPr>
            <w:tcW w:w="2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BNZI</w:t>
            </w:r>
          </w:p>
        </w:tc>
        <w:tc>
          <w:tcPr>
            <w:tcW w:w="140" w:type="dxa"/>
            <w:vAlign w:val="bottom"/>
          </w:tcPr>
          <w:p>
            <w:pPr>
              <w:spacing w:after="0"/>
              <w:rPr>
                <w:sz w:val="16"/>
                <w:szCs w:val="16"/>
                <w:color w:val="auto"/>
              </w:rPr>
            </w:pPr>
          </w:p>
        </w:tc>
        <w:tc>
          <w:tcPr>
            <w:tcW w:w="44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16"/>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Redeemable Warrants, each whole warrant exercisable for</w:t>
            </w:r>
          </w:p>
        </w:tc>
        <w:tc>
          <w:tcPr>
            <w:tcW w:w="14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BNZIW</w:t>
            </w:r>
          </w:p>
        </w:tc>
        <w:tc>
          <w:tcPr>
            <w:tcW w:w="140" w:type="dxa"/>
            <w:vAlign w:val="bottom"/>
          </w:tcPr>
          <w:p>
            <w:pPr>
              <w:spacing w:after="0"/>
              <w:rPr>
                <w:sz w:val="18"/>
                <w:szCs w:val="18"/>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16"/>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one share of Class A common stock at an exercise price of</w:t>
            </w: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60" w:type="dxa"/>
            <w:vAlign w:val="bottom"/>
          </w:tcPr>
          <w:p>
            <w:pPr>
              <w:spacing w:after="0"/>
              <w:rPr>
                <w:sz w:val="18"/>
                <w:szCs w:val="18"/>
                <w:color w:val="auto"/>
              </w:rPr>
            </w:pPr>
          </w:p>
        </w:tc>
      </w:tr>
      <w:tr>
        <w:trPr>
          <w:trHeight w:val="234"/>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$115,000.00</w:t>
            </w:r>
          </w:p>
        </w:tc>
        <w:tc>
          <w:tcPr>
            <w:tcW w:w="1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60" w:type="dxa"/>
            <w:vAlign w:val="bottom"/>
          </w:tcPr>
          <w:p>
            <w:pPr>
              <w:spacing w:after="0"/>
              <w:rPr>
                <w:sz w:val="20"/>
                <w:szCs w:val="20"/>
                <w:color w:val="auto"/>
              </w:rPr>
            </w:pPr>
          </w:p>
        </w:tc>
      </w:tr>
    </w:tbl>
    <w:p>
      <w:pPr>
        <w:spacing w:after="0" w:line="19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8260"/>
        <w:spacing w:after="0" w:line="207" w:lineRule="exact"/>
        <w:tabs>
          <w:tab w:leader="none" w:pos="106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w:t>
      </w:r>
    </w:p>
    <w:p>
      <w:pPr>
        <w:spacing w:after="0" w:line="22" w:lineRule="exact"/>
        <w:rPr>
          <w:sz w:val="24"/>
          <w:szCs w:val="24"/>
          <w:color w:val="auto"/>
        </w:rPr>
      </w:pPr>
    </w:p>
    <w:p>
      <w:pPr>
        <w:spacing w:after="0" w:line="207" w:lineRule="exact"/>
        <w:tabs>
          <w:tab w:leader="none" w:pos="7640" w:val="left"/>
        </w:tabs>
        <w:rPr>
          <w:sz w:val="20"/>
          <w:szCs w:val="20"/>
          <w:color w:val="auto"/>
        </w:rPr>
      </w:pPr>
      <w:r>
        <w:rPr>
          <w:rFonts w:ascii="Times New Roman" w:cs="Times New Roman" w:eastAsia="Times New Roman" w:hAnsi="Times New Roman"/>
          <w:sz w:val="18"/>
          <w:szCs w:val="18"/>
          <w:color w:val="auto"/>
        </w:rPr>
        <w:t>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1" w:right="339" w:bottom="1440" w:gutter="0" w:footer="0" w:header="0"/>
          <w:type w:val="continuous"/>
        </w:sectPr>
      </w:pPr>
    </w:p>
    <w:bookmarkStart w:id="1" w:name="page2"/>
    <w:bookmarkEnd w:id="1"/>
    <w:p>
      <w:pPr>
        <w:jc w:val="center"/>
        <w:ind w:right="40"/>
        <w:spacing w:after="0" w:line="282" w:lineRule="auto"/>
        <w:rPr>
          <w:sz w:val="20"/>
          <w:szCs w:val="20"/>
          <w:color w:val="auto"/>
        </w:rPr>
      </w:pPr>
      <w:r>
        <w:rPr>
          <w:rFonts w:ascii="Times New Roman" w:cs="Times New Roman" w:eastAsia="Times New Roman" w:hAnsi="Times New Roman"/>
          <w:sz w:val="18"/>
          <w:szCs w:val="18"/>
          <w:color w:val="auto"/>
        </w:rPr>
        <w:t>Explanatory Note: We are filing this amendment to the original Form 8-K filed on September 25, 2024, to disclose certain amendments that have been made to the agreements disclosed therein.</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Banzai International, Inc. (the “Company”) previously reported that on February 19, 2021, the Company, along with Joe Davy and Demio, Inc. (the “Guarantors”), entered into a loan agreement with CP BF Lending, LLC ("CP BF" and the "Loan Agreement", respectively) and issued a convertible promissory note (the “First Senior Convertible Note”) in an aggregate principal amount of $1,500,000 to CP BF. As further disclosed in previously filed Current Reports on Form 8-K, the parties entered into several amendments and side letters regarding the Loan Agreement and First Senior Convertible Note. The Company also previously disclosed that in September 2024, pursuant to a securities purchase agreement with CP BF, (the “CP BF SPA”),CP BF agreed to convert $2,000,000 in debt into $2,200,000 in equity, consisting of 26,085 shares of Class A Common Stock, Warrants to purchase up to 56,555 shares of Class A Common Stock and Pre-Funded Warrants to purchase up to 30,470 shares of Class A Common Stock (collectively, the “CP BF Registrable Securities”).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giving effect to the purchase and sale pursuant to the CP BF SPA, the Company's remaining obligation to CP BF was $8,758,775 CP BF agreed to convert such debt into a consolidated convertible note with a principal amount of $10,758,774.75 (the “Note”), via the Second Amendment to Loan Agreement, dated September 23, 2024 (the “Amended Loan Agreement”).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14, 2025, the Company and CP BF executed a letter agreement dated October 10, 2025 (as amended on October 15, 2025, the "Letter Agreement"), amending certain terms of the Loan Agreement and Note. Pursuant to the Letter Agreement: (i) the Conversion Price was reduced to 95% of the Class A Common Stock price on the trading day (each a "Trading Day") immediately preceding delivery of any Conversion Notice, subject to a floor price of $2.50 (the "Floor Price"); (ii) CP BF agreed to use commercially reasonable efforts to partially convert the Balance of the Note into Class A Common Stock at the new conversion price, subject to a daily volume limitation of 5% of aggregate daily trading volume, which the Company may waive or increase; and (iii) following the Company's payment of at least $2,000,000 of the Note’s then existing balance and until the earlier of (a) 60 days following the date of the Letter Agreement and (b) the Company's receipt of $10,000,000 in gross proceeds from securities sales (such period, the "Suspension Period"), the Company's obligation to prepay a portion of securities offering proceeds to CP BF under the Loan Agreement is suspended.</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8, 2026, the Company effected a one-for-twenty (1-for-20) reverse stock split of its outstanding Class A Common Stock and Class B Common Stock (the "Reverse Stock Split"). Pursuant to Section 2.3(a)(i) of the Note, the Conversion Price was proportionately adjusted to reflect the Reverse Stock Split effective at the close of business on May 8, 2026. As of May 14, 2026, there was an aggregate of $5,361,910 outstanding under the Note.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15, 2026, the Company, the Guarantors and CP BF entered into a letter agreement (the "Floor Price Amendment"), further amending the Loan Agreement and the Note. Pursuant to the Floor Price Amendment, the Floor Price applicable to the Conversion Price under the Note was reduced from $50.00 (as adjusted for the Reverse Stock Split) to $4.50 (on a post-Reverse Stock Split basis). For the avoidance of doubt, the Conversion Price remains equal to 95% of the price of the Class A Common Stock on the Trading Day immediately preceding delivery of any Conversion Notice, subject to the Floor Price as amended by the Floor Price Amendment.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explicitly amended by the Floor Price Amendment, all terms and conditions of the Loan Agreement (including the Letter Agreement) and the other Loan Documents remain in full force and effect. The Company's failure to comply with the Floor Price Amendment constitutes an Event of Default under the Loan Agreement.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descriptions of terms and conditions of the Loan Agreement, Note, Letter Agreement and Floor Price Amendment do not purport to be complete and are qualified in their entirety by the full text of the form of such documents, which are attached hereto as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40" w:type="dxa"/>
            <w:vAlign w:val="bottom"/>
            <w:gridSpan w:val="18"/>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9540" w:type="dxa"/>
            <w:vAlign w:val="bottom"/>
            <w:tcBorders>
              <w:top w:val="single" w:sz="8" w:color="auto"/>
              <w:bottom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12">
              <w:r>
                <w:rPr>
                  <w:rFonts w:ascii="Times New Roman" w:cs="Times New Roman" w:eastAsia="Times New Roman" w:hAnsi="Times New Roman"/>
                  <w:sz w:val="18"/>
                  <w:szCs w:val="18"/>
                  <w:color w:val="0000FF"/>
                  <w:w w:val="99"/>
                </w:rPr>
                <w:t>Amended and Restated Convertible Promissory Note, by and among Banzai and CP BF Lending, LLC (incorporated by reference to</w:t>
              </w:r>
            </w:hyperlink>
          </w:p>
        </w:tc>
        <w:tc>
          <w:tcPr>
            <w:tcW w:w="200" w:type="dxa"/>
            <w:vAlign w:val="bottom"/>
            <w:tcBorders>
              <w:top w:val="single" w:sz="8" w:color="auto"/>
            </w:tcBorders>
            <w:gridSpan w:val="4"/>
          </w:tcPr>
          <w:p>
            <w:pPr>
              <w:spacing w:after="0"/>
              <w:rPr>
                <w:sz w:val="14"/>
                <w:szCs w:val="14"/>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6"/>
          </w:tcPr>
          <w:p>
            <w:pPr>
              <w:spacing w:after="0" w:line="196" w:lineRule="exact"/>
              <w:rPr>
                <w:rFonts w:ascii="Times New Roman" w:cs="Times New Roman" w:eastAsia="Times New Roman" w:hAnsi="Times New Roman"/>
                <w:sz w:val="18"/>
                <w:szCs w:val="18"/>
                <w:color w:val="0000FF"/>
              </w:rPr>
            </w:pPr>
            <w:hyperlink r:id="rId12">
              <w:r>
                <w:rPr>
                  <w:rFonts w:ascii="Times New Roman" w:cs="Times New Roman" w:eastAsia="Times New Roman" w:hAnsi="Times New Roman"/>
                  <w:sz w:val="18"/>
                  <w:szCs w:val="18"/>
                  <w:color w:val="0000FF"/>
                </w:rPr>
                <w:t>Exhibit 4.7 to the Registration Statement on Form S-4 filed by 7GC on August 30, 2023).</w:t>
              </w:r>
            </w:hyperlink>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6"/>
          </w:tcPr>
          <w:p>
            <w:pPr>
              <w:spacing w:after="0" w:line="196" w:lineRule="exact"/>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Second Amendment to Loan Agreement by and among the Company, Demio Holding Inc., Banzai Operating Co. LLC and CP BF</w:t>
              </w:r>
            </w:hyperlink>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5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6"/>
          </w:tcPr>
          <w:p>
            <w:pPr>
              <w:spacing w:after="0" w:line="196" w:lineRule="exact"/>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Lending, LLC, as Lender dated as of September 23, 2024 (incorporated by reference to the Current Report on Form 8-K filed on</w:t>
              </w:r>
            </w:hyperlink>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5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6"/>
          </w:tcPr>
          <w:p>
            <w:pPr>
              <w:spacing w:after="0" w:line="196" w:lineRule="exact"/>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September 25, 2024).</w:t>
              </w:r>
            </w:hyperlink>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6"/>
          </w:tcPr>
          <w:p>
            <w:pPr>
              <w:spacing w:after="0" w:line="196" w:lineRule="exact"/>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color w:val="0000FF"/>
                </w:rPr>
                <w:t>Loan Agreement, dated February 19, 2021, by and among the Company, Joseph P. Davy as an Individual Guarantor, Demio, Inc., as</w:t>
              </w:r>
            </w:hyperlink>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5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6"/>
          </w:tcPr>
          <w:p>
            <w:pPr>
              <w:spacing w:after="0" w:line="196" w:lineRule="exact"/>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color w:val="0000FF"/>
                </w:rPr>
                <w:t>an Individual Guarantor and CP BF Lending, LLC, as Lender (incorporated by reference to the Current Report on Form 8-K filed on</w:t>
              </w:r>
            </w:hyperlink>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5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6"/>
          </w:tcPr>
          <w:p>
            <w:pPr>
              <w:spacing w:after="0" w:line="196" w:lineRule="exact"/>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color w:val="0000FF"/>
                </w:rPr>
                <w:t>September 25, 2024).</w:t>
              </w:r>
            </w:hyperlink>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6"/>
          </w:tcPr>
          <w:p>
            <w:pPr>
              <w:spacing w:after="0" w:line="196" w:lineRule="exact"/>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Forbearance Agreement, dated August 24, 2023, by and among the Company, the guarantors party to the Loan Agreement (as defined</w:t>
              </w:r>
            </w:hyperlink>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5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6"/>
          </w:tcPr>
          <w:p>
            <w:pPr>
              <w:spacing w:after="0" w:line="196" w:lineRule="exact"/>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therein), and CP BF Lending, LLC (incorporated by reference to Exhibit 10.18 to the Registration Statement on Form S-4 filed by</w:t>
              </w:r>
            </w:hyperlink>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5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6"/>
          </w:tcPr>
          <w:p>
            <w:pPr>
              <w:spacing w:after="0" w:line="196" w:lineRule="exact"/>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7GC on August 30, 2023).</w:t>
              </w:r>
            </w:hyperlink>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00" w:type="dxa"/>
            <w:vAlign w:val="bottom"/>
            <w:tcBorders>
              <w:right w:val="single" w:sz="8" w:color="0000EE"/>
            </w:tcBorders>
            <w:gridSpan w:val="2"/>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6"/>
          </w:tcPr>
          <w:p>
            <w:pPr>
              <w:spacing w:after="0" w:line="196" w:lineRule="exact"/>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Side Letter to the Loan Agreement with CP BF Lending, LLC dated September 5, 2024 (incorporated by reference to the Current</w:t>
              </w:r>
            </w:hyperlink>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50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5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6"/>
          </w:tcPr>
          <w:p>
            <w:pPr>
              <w:spacing w:after="0" w:line="196" w:lineRule="exact"/>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Report on Form 8-K filed on September 25, 2024)</w:t>
              </w:r>
            </w:hyperlink>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50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6"/>
          </w:tcPr>
          <w:p>
            <w:pPr>
              <w:spacing w:after="0" w:line="196" w:lineRule="exact"/>
              <w:rPr>
                <w:rFonts w:ascii="Times New Roman" w:cs="Times New Roman" w:eastAsia="Times New Roman" w:hAnsi="Times New Roman"/>
                <w:sz w:val="18"/>
                <w:szCs w:val="18"/>
                <w:color w:val="0000FF"/>
                <w:w w:val="99"/>
              </w:rPr>
            </w:pPr>
            <w:hyperlink r:id="rId17">
              <w:r>
                <w:rPr>
                  <w:rFonts w:ascii="Times New Roman" w:cs="Times New Roman" w:eastAsia="Times New Roman" w:hAnsi="Times New Roman"/>
                  <w:sz w:val="18"/>
                  <w:szCs w:val="18"/>
                  <w:color w:val="0000FF"/>
                  <w:w w:val="99"/>
                </w:rPr>
                <w:t>Side Letter to the Loan Agreement with CP BF Lending, LLC dated October 10, 2025 (incorporated by reference to the Current Report</w:t>
              </w:r>
            </w:hyperlink>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500" w:type="dxa"/>
            <w:vAlign w:val="bottom"/>
            <w:tcBorders>
              <w:right w:val="single" w:sz="8" w:color="0000FF"/>
            </w:tcBorders>
            <w:gridSpan w:val="3"/>
            <w:shd w:val="clear" w:color="auto" w:fill="0000FF"/>
          </w:tcPr>
          <w:p>
            <w:pPr>
              <w:spacing w:after="0" w:line="20" w:lineRule="exact"/>
              <w:rPr>
                <w:sz w:val="1"/>
                <w:szCs w:val="1"/>
                <w:color w:val="auto"/>
              </w:rPr>
            </w:pPr>
          </w:p>
        </w:tc>
        <w:tc>
          <w:tcPr>
            <w:tcW w:w="426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40" w:type="dxa"/>
            <w:vAlign w:val="bottom"/>
            <w:gridSpan w:val="7"/>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6"/>
          </w:tcPr>
          <w:p>
            <w:pPr>
              <w:spacing w:after="0" w:line="196" w:lineRule="exact"/>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on Form 8-K filed on October 17, 2025)</w:t>
              </w:r>
            </w:hyperlink>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500" w:type="dxa"/>
            <w:vAlign w:val="bottom"/>
            <w:tcBorders>
              <w:right w:val="single" w:sz="8" w:color="0000EE"/>
            </w:tcBorders>
            <w:gridSpan w:val="3"/>
            <w:shd w:val="clear" w:color="auto" w:fill="0000FF"/>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6"/>
          </w:tcPr>
          <w:p>
            <w:pPr>
              <w:spacing w:after="0" w:line="196" w:lineRule="exact"/>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Amendment to Side Letter dated October 15, 2025 (incorporated by reference to the Current Report on Form 8-K filed on October 17,</w:t>
              </w:r>
            </w:hyperlink>
          </w:p>
        </w:tc>
      </w:tr>
      <w:tr>
        <w:trPr>
          <w:trHeight w:val="20"/>
        </w:trPr>
        <w:tc>
          <w:tcPr>
            <w:tcW w:w="10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00" w:type="dxa"/>
            <w:vAlign w:val="bottom"/>
            <w:gridSpan w:val="3"/>
          </w:tcPr>
          <w:p>
            <w:pPr>
              <w:ind w:left="480"/>
              <w:spacing w:after="0" w:line="196" w:lineRule="exact"/>
              <w:rPr>
                <w:rFonts w:ascii="Times New Roman" w:cs="Times New Roman" w:eastAsia="Times New Roman" w:hAnsi="Times New Roman"/>
                <w:sz w:val="18"/>
                <w:szCs w:val="18"/>
                <w:color w:val="0000FF"/>
                <w:w w:val="95"/>
              </w:rPr>
            </w:pPr>
            <w:hyperlink r:id="rId18">
              <w:r>
                <w:rPr>
                  <w:rFonts w:ascii="Times New Roman" w:cs="Times New Roman" w:eastAsia="Times New Roman" w:hAnsi="Times New Roman"/>
                  <w:sz w:val="18"/>
                  <w:szCs w:val="18"/>
                  <w:color w:val="0000FF"/>
                  <w:w w:val="95"/>
                </w:rPr>
                <w:t>2025)</w:t>
              </w:r>
            </w:hyperlink>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76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Side Letter to the Loan Agreement with CP BF Lending, LLC dated May 15, 2026 (Filed herewith)</w:t>
            </w: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7160" w:type="dxa"/>
            <w:vAlign w:val="bottom"/>
            <w:tcBorders>
              <w:right w:val="single" w:sz="8" w:color="0000EE"/>
            </w:tcBorders>
            <w:gridSpan w:val="7"/>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6"/>
          </w:tcPr>
          <w:p>
            <w:pPr>
              <w:spacing w:after="0" w:line="196" w:lineRule="exact"/>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Press Release (incorporated by reference to the Current Report on Form 8-K filed on October 17, 2025)</w:t>
              </w:r>
            </w:hyperlink>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7440" w:type="dxa"/>
            <w:vAlign w:val="bottom"/>
            <w:gridSpan w:val="8"/>
            <w:shd w:val="clear" w:color="auto" w:fill="0000ED"/>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r>
      <w:tr>
        <w:trPr>
          <w:trHeight w:val="23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7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15, 2026</w:t>
      </w:r>
    </w:p>
    <w:p>
      <w:pPr>
        <w:spacing w:after="0" w:line="16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BANZAI INTERNATIONAL, INC</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Joseph Davy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Joseph Davy</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9"/>
          <w:szCs w:val="19"/>
          <w:b w:val="1"/>
          <w:bCs w:val="1"/>
          <w:color w:val="auto"/>
        </w:rPr>
        <w:t>Exhibit 10.7</w:t>
      </w:r>
    </w:p>
    <w:p>
      <w:pPr>
        <w:spacing w:after="0" w:line="10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Banzai International, Inc.</w:t>
      </w:r>
    </w:p>
    <w:p>
      <w:pPr>
        <w:spacing w:after="0" w:line="2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color w:val="auto"/>
        </w:rPr>
        <w:t>435 Ericksen Ave., Suite 250</w:t>
      </w:r>
    </w:p>
    <w:p>
      <w:pPr>
        <w:ind w:left="4060"/>
        <w:spacing w:after="0"/>
        <w:rPr>
          <w:sz w:val="20"/>
          <w:szCs w:val="20"/>
          <w:color w:val="auto"/>
        </w:rPr>
      </w:pPr>
      <w:r>
        <w:rPr>
          <w:rFonts w:ascii="Times New Roman" w:cs="Times New Roman" w:eastAsia="Times New Roman" w:hAnsi="Times New Roman"/>
          <w:sz w:val="20"/>
          <w:szCs w:val="20"/>
          <w:color w:val="auto"/>
        </w:rPr>
        <w:t>Bainbridge Island, WA 98110</w:t>
      </w:r>
    </w:p>
    <w:p>
      <w:pPr>
        <w:ind w:left="9300"/>
        <w:spacing w:after="0"/>
        <w:rPr>
          <w:sz w:val="20"/>
          <w:szCs w:val="20"/>
          <w:color w:val="auto"/>
        </w:rPr>
      </w:pPr>
      <w:r>
        <w:rPr>
          <w:rFonts w:ascii="Times New Roman" w:cs="Times New Roman" w:eastAsia="Times New Roman" w:hAnsi="Times New Roman"/>
          <w:sz w:val="20"/>
          <w:szCs w:val="20"/>
          <w:color w:val="auto"/>
        </w:rPr>
        <w:t>May 15, 2026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CP BF Lending, LLC 1910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Fairview Ave.</w:t>
      </w:r>
    </w:p>
    <w:p>
      <w:pPr>
        <w:spacing w:after="0"/>
        <w:rPr>
          <w:sz w:val="20"/>
          <w:szCs w:val="20"/>
          <w:color w:val="auto"/>
        </w:rPr>
      </w:pPr>
      <w:r>
        <w:rPr>
          <w:rFonts w:ascii="Times New Roman" w:cs="Times New Roman" w:eastAsia="Times New Roman" w:hAnsi="Times New Roman"/>
          <w:sz w:val="20"/>
          <w:szCs w:val="20"/>
          <w:color w:val="auto"/>
        </w:rPr>
        <w:t>Suite 200, Seattle WA 98105</w:t>
      </w:r>
    </w:p>
    <w:p>
      <w:pPr>
        <w:spacing w:after="0"/>
        <w:rPr>
          <w:sz w:val="20"/>
          <w:szCs w:val="20"/>
          <w:color w:val="auto"/>
        </w:rPr>
      </w:pPr>
      <w:r>
        <w:rPr>
          <w:rFonts w:ascii="Times New Roman" w:cs="Times New Roman" w:eastAsia="Times New Roman" w:hAnsi="Times New Roman"/>
          <w:sz w:val="20"/>
          <w:szCs w:val="20"/>
          <w:color w:val="auto"/>
        </w:rPr>
        <w:t>Attention: Alexander Washburn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Mr. Washburn,</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This letter agreement (the “</w:t>
      </w:r>
      <w:r>
        <w:rPr>
          <w:rFonts w:ascii="Times New Roman" w:cs="Times New Roman" w:eastAsia="Times New Roman" w:hAnsi="Times New Roman"/>
          <w:sz w:val="20"/>
          <w:szCs w:val="20"/>
          <w:b w:val="1"/>
          <w:bCs w:val="1"/>
          <w:color w:val="auto"/>
        </w:rPr>
        <w:t>Letter Agreement</w:t>
      </w:r>
      <w:r>
        <w:rPr>
          <w:rFonts w:ascii="Times New Roman" w:cs="Times New Roman" w:eastAsia="Times New Roman" w:hAnsi="Times New Roman"/>
          <w:sz w:val="20"/>
          <w:szCs w:val="20"/>
          <w:color w:val="auto"/>
        </w:rPr>
        <w:t>”) is to document an understanding between CP BF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Lending, LLC, a Delaware limited liability company (“</w:t>
      </w:r>
      <w:r>
        <w:rPr>
          <w:rFonts w:ascii="Times New Roman" w:cs="Times New Roman" w:eastAsia="Times New Roman" w:hAnsi="Times New Roman"/>
          <w:sz w:val="20"/>
          <w:szCs w:val="20"/>
          <w:b w:val="1"/>
          <w:bCs w:val="1"/>
          <w:color w:val="auto"/>
        </w:rPr>
        <w:t>Lender</w:t>
      </w:r>
      <w:r>
        <w:rPr>
          <w:rFonts w:ascii="Times New Roman" w:cs="Times New Roman" w:eastAsia="Times New Roman" w:hAnsi="Times New Roman"/>
          <w:sz w:val="20"/>
          <w:szCs w:val="20"/>
          <w:color w:val="auto"/>
        </w:rPr>
        <w:t>”), and Banzai International, Inc., a Delaware corporation</w:t>
      </w:r>
    </w:p>
    <w:p>
      <w:pPr>
        <w:ind w:right="500"/>
        <w:spacing w:after="0" w:line="2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with regard to its proposed amendment of that certain Loan Agreement, dated as of February 19, 2021 (as amended or otherwise modified from time to time prior to the date hereof, including by that certain letter agreement dated October 10, 2025, among Borrower, Lender and the Guarantors (as defined below) (the "</w:t>
      </w:r>
      <w:r>
        <w:rPr>
          <w:rFonts w:ascii="Times New Roman" w:cs="Times New Roman" w:eastAsia="Times New Roman" w:hAnsi="Times New Roman"/>
          <w:sz w:val="20"/>
          <w:szCs w:val="20"/>
          <w:b w:val="1"/>
          <w:bCs w:val="1"/>
          <w:color w:val="auto"/>
        </w:rPr>
        <w:t>Prior Letter Agreement</w:t>
      </w:r>
      <w:r>
        <w:rPr>
          <w:rFonts w:ascii="Times New Roman" w:cs="Times New Roman" w:eastAsia="Times New Roman" w:hAnsi="Times New Roman"/>
          <w:sz w:val="20"/>
          <w:szCs w:val="20"/>
          <w:color w:val="auto"/>
        </w:rPr>
        <w:t>" and the "</w:t>
      </w:r>
      <w:r>
        <w:rPr>
          <w:rFonts w:ascii="Times New Roman" w:cs="Times New Roman" w:eastAsia="Times New Roman" w:hAnsi="Times New Roman"/>
          <w:sz w:val="20"/>
          <w:szCs w:val="20"/>
          <w:b w:val="1"/>
          <w:bCs w:val="1"/>
          <w:color w:val="auto"/>
        </w:rPr>
        <w:t>Loan Agreement</w:t>
      </w:r>
      <w:r>
        <w:rPr>
          <w:rFonts w:ascii="Times New Roman" w:cs="Times New Roman" w:eastAsia="Times New Roman" w:hAnsi="Times New Roman"/>
          <w:sz w:val="20"/>
          <w:szCs w:val="20"/>
          <w:color w:val="auto"/>
        </w:rPr>
        <w:t>”, respectively) among Lender, Borrower, Demio</w:t>
      </w:r>
    </w:p>
    <w:p>
      <w:pPr>
        <w:spacing w:after="0" w:line="2" w:lineRule="exact"/>
        <w:rPr>
          <w:sz w:val="20"/>
          <w:szCs w:val="20"/>
          <w:color w:val="auto"/>
        </w:rPr>
      </w:pPr>
    </w:p>
    <w:p>
      <w:pPr>
        <w:ind w:right="960"/>
        <w:spacing w:after="0" w:line="242" w:lineRule="auto"/>
        <w:rPr>
          <w:sz w:val="20"/>
          <w:szCs w:val="20"/>
          <w:color w:val="auto"/>
        </w:rPr>
      </w:pPr>
      <w:r>
        <w:rPr>
          <w:rFonts w:ascii="Times New Roman" w:cs="Times New Roman" w:eastAsia="Times New Roman" w:hAnsi="Times New Roman"/>
          <w:sz w:val="20"/>
          <w:szCs w:val="20"/>
          <w:color w:val="auto"/>
        </w:rPr>
        <w:t>Holdings, Inc., and Banzai Operating Co LLC (together with Demio Holdings, Inc., the “</w:t>
      </w:r>
      <w:r>
        <w:rPr>
          <w:rFonts w:ascii="Times New Roman" w:cs="Times New Roman" w:eastAsia="Times New Roman" w:hAnsi="Times New Roman"/>
          <w:sz w:val="20"/>
          <w:szCs w:val="20"/>
          <w:b w:val="1"/>
          <w:bCs w:val="1"/>
          <w:color w:val="auto"/>
        </w:rPr>
        <w:t>Guarantors</w:t>
      </w:r>
      <w:r>
        <w:rPr>
          <w:rFonts w:ascii="Times New Roman" w:cs="Times New Roman" w:eastAsia="Times New Roman" w:hAnsi="Times New Roman"/>
          <w:sz w:val="20"/>
          <w:szCs w:val="20"/>
          <w:color w:val="auto"/>
        </w:rPr>
        <w:t>”), and the 2024 CP BF Convertible Note (as defined below). Capitalized terms not defined herein shall have the meaning given them in the Loan Agreement.</w:t>
      </w:r>
    </w:p>
    <w:p>
      <w:pPr>
        <w:spacing w:after="0" w:line="187" w:lineRule="exact"/>
        <w:rPr>
          <w:sz w:val="20"/>
          <w:szCs w:val="20"/>
          <w:color w:val="auto"/>
        </w:rPr>
      </w:pPr>
    </w:p>
    <w:p>
      <w:pPr>
        <w:ind w:right="560" w:firstLine="749"/>
        <w:spacing w:after="0" w:line="244" w:lineRule="auto"/>
        <w:rPr>
          <w:sz w:val="20"/>
          <w:szCs w:val="20"/>
          <w:color w:val="auto"/>
        </w:rPr>
      </w:pPr>
      <w:r>
        <w:rPr>
          <w:rFonts w:ascii="Times New Roman" w:cs="Times New Roman" w:eastAsia="Times New Roman" w:hAnsi="Times New Roman"/>
          <w:sz w:val="20"/>
          <w:szCs w:val="20"/>
          <w:color w:val="auto"/>
        </w:rPr>
        <w:t>On September 23, 2024, Borrower, Guarantors, and Lender entered into that certain Second Amendment to Loan Agreement whereby Borrower and Lender agreed to consolidate previously outstanding debt into a single convertible note (the “</w:t>
      </w:r>
      <w:r>
        <w:rPr>
          <w:rFonts w:ascii="Times New Roman" w:cs="Times New Roman" w:eastAsia="Times New Roman" w:hAnsi="Times New Roman"/>
          <w:sz w:val="20"/>
          <w:szCs w:val="20"/>
          <w:b w:val="1"/>
          <w:bCs w:val="1"/>
          <w:color w:val="auto"/>
        </w:rPr>
        <w:t>2024 CP BF Convertible Note</w:t>
      </w:r>
      <w:r>
        <w:rPr>
          <w:rFonts w:ascii="Times New Roman" w:cs="Times New Roman" w:eastAsia="Times New Roman" w:hAnsi="Times New Roman"/>
          <w:sz w:val="20"/>
          <w:szCs w:val="20"/>
          <w:color w:val="auto"/>
        </w:rPr>
        <w:t>”). On October 10, 2025, Borrower, Guarantors, and Lender entered into the Prior Letter Agreement, which, among other things, amended the Conversion Price (as defined in the 2024 CP BF Convertible Note), established a floor price of $2.50, provided for the registration of shares of Class A Common Stock issuable upon conversion, and set forth certain waivers and other agreements among the parties. As of the date hereof, there is an aggregate of $5,361,910 outstanding under the 2024 CP BF Convertible Note.</w:t>
      </w:r>
    </w:p>
    <w:p>
      <w:pPr>
        <w:spacing w:after="0" w:line="186" w:lineRule="exact"/>
        <w:rPr>
          <w:sz w:val="20"/>
          <w:szCs w:val="20"/>
          <w:color w:val="auto"/>
        </w:rPr>
      </w:pPr>
    </w:p>
    <w:p>
      <w:pPr>
        <w:ind w:right="520" w:firstLine="749"/>
        <w:spacing w:after="0" w:line="249" w:lineRule="auto"/>
        <w:rPr>
          <w:sz w:val="20"/>
          <w:szCs w:val="20"/>
          <w:color w:val="auto"/>
        </w:rPr>
      </w:pPr>
      <w:r>
        <w:rPr>
          <w:rFonts w:ascii="Times New Roman" w:cs="Times New Roman" w:eastAsia="Times New Roman" w:hAnsi="Times New Roman"/>
          <w:sz w:val="20"/>
          <w:szCs w:val="20"/>
          <w:color w:val="auto"/>
        </w:rPr>
        <w:t>On May 8, 2026, Borrower effected a one-for-twenty (1-for-20) reverse stock split of its outstanding Class A Common Stock and Class B Common Stock (the "</w:t>
      </w:r>
      <w:r>
        <w:rPr>
          <w:rFonts w:ascii="Times New Roman" w:cs="Times New Roman" w:eastAsia="Times New Roman" w:hAnsi="Times New Roman"/>
          <w:sz w:val="20"/>
          <w:szCs w:val="20"/>
          <w:b w:val="1"/>
          <w:bCs w:val="1"/>
          <w:color w:val="auto"/>
        </w:rPr>
        <w:t>Reverse Stock Split</w:t>
      </w:r>
      <w:r>
        <w:rPr>
          <w:rFonts w:ascii="Times New Roman" w:cs="Times New Roman" w:eastAsia="Times New Roman" w:hAnsi="Times New Roman"/>
          <w:sz w:val="20"/>
          <w:szCs w:val="20"/>
          <w:color w:val="auto"/>
        </w:rPr>
        <w:t>"). Pursuant to Section 2.3(a)(i) of the 2024 CP BF Convertible Note, the Conversion Price was proportionately increased to reflect the Reverse Stock Split effective at the close of business on May 8, 2026.</w:t>
      </w:r>
    </w:p>
    <w:p>
      <w:pPr>
        <w:spacing w:after="0" w:line="180" w:lineRule="exact"/>
        <w:rPr>
          <w:sz w:val="20"/>
          <w:szCs w:val="20"/>
          <w:color w:val="auto"/>
        </w:rPr>
      </w:pPr>
    </w:p>
    <w:p>
      <w:pPr>
        <w:jc w:val="both"/>
        <w:ind w:right="720" w:firstLine="749"/>
        <w:spacing w:after="0" w:line="254" w:lineRule="auto"/>
        <w:rPr>
          <w:sz w:val="20"/>
          <w:szCs w:val="20"/>
          <w:color w:val="auto"/>
        </w:rPr>
      </w:pPr>
      <w:r>
        <w:rPr>
          <w:rFonts w:ascii="Times New Roman" w:cs="Times New Roman" w:eastAsia="Times New Roman" w:hAnsi="Times New Roman"/>
          <w:sz w:val="20"/>
          <w:szCs w:val="20"/>
          <w:color w:val="auto"/>
        </w:rPr>
        <w:t>Borrower, Guarantors, and Lender each desire to further amend the Floor Price (as defined in the Prior Letter Agreement) applicable to the 2024 CP BF Convertible Note on the terms and conditions set forth in this Letter Agreement, and agree as follows: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Floor Price Amendment</w:t>
      </w:r>
    </w:p>
    <w:p>
      <w:pPr>
        <w:spacing w:after="0" w:line="220" w:lineRule="exact"/>
        <w:rPr>
          <w:sz w:val="20"/>
          <w:szCs w:val="20"/>
          <w:color w:val="auto"/>
        </w:rPr>
      </w:pPr>
    </w:p>
    <w:p>
      <w:pPr>
        <w:ind w:right="440" w:firstLine="749"/>
        <w:spacing w:after="0" w:line="246" w:lineRule="auto"/>
        <w:rPr>
          <w:sz w:val="20"/>
          <w:szCs w:val="20"/>
          <w:color w:val="auto"/>
        </w:rPr>
      </w:pPr>
      <w:r>
        <w:rPr>
          <w:rFonts w:ascii="Times New Roman" w:cs="Times New Roman" w:eastAsia="Times New Roman" w:hAnsi="Times New Roman"/>
          <w:sz w:val="20"/>
          <w:szCs w:val="20"/>
          <w:color w:val="auto"/>
        </w:rPr>
        <w:t>The 2024 CP BF Convertible Note (and related Loan Documents) are hereby amended to reduce the floor price applicable to the Conversion Price (as defined in the 2024 CP BF Convertible Note) from $50.00 (as adjusted for the Reverse Stock Split) to $4.50 (on a post-Reverse Stock Split basis) (the "</w:t>
      </w:r>
      <w:r>
        <w:rPr>
          <w:rFonts w:ascii="Times New Roman" w:cs="Times New Roman" w:eastAsia="Times New Roman" w:hAnsi="Times New Roman"/>
          <w:sz w:val="20"/>
          <w:szCs w:val="20"/>
          <w:b w:val="1"/>
          <w:bCs w:val="1"/>
          <w:color w:val="auto"/>
        </w:rPr>
        <w:t>Floor Price</w:t>
      </w:r>
      <w:r>
        <w:rPr>
          <w:rFonts w:ascii="Times New Roman" w:cs="Times New Roman" w:eastAsia="Times New Roman" w:hAnsi="Times New Roman"/>
          <w:sz w:val="20"/>
          <w:szCs w:val="20"/>
          <w:color w:val="auto"/>
        </w:rPr>
        <w:t>"). For the avoidance of doubt, the Conversion Price shall remain equal to 95% of the price of the Class A Common Stock on the Trading Day immediately preceding delivery of any Conversion Notice, subject to the Floor Price as amended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624840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75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10.7</w:t>
      </w:r>
    </w:p>
    <w:p>
      <w:pPr>
        <w:spacing w:after="0" w:line="31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u w:val="single" w:color="auto"/>
          <w:color w:val="auto"/>
        </w:rPr>
        <w:t>General Provisions</w:t>
      </w:r>
    </w:p>
    <w:p>
      <w:pPr>
        <w:spacing w:after="0" w:line="162" w:lineRule="exact"/>
        <w:rPr>
          <w:sz w:val="20"/>
          <w:szCs w:val="20"/>
          <w:color w:val="auto"/>
        </w:rPr>
      </w:pPr>
    </w:p>
    <w:p>
      <w:pPr>
        <w:jc w:val="both"/>
        <w:ind w:left="300" w:right="460" w:firstLine="734"/>
        <w:spacing w:after="0" w:line="246" w:lineRule="auto"/>
        <w:rPr>
          <w:sz w:val="20"/>
          <w:szCs w:val="20"/>
          <w:color w:val="auto"/>
        </w:rPr>
      </w:pPr>
      <w:r>
        <w:rPr>
          <w:rFonts w:ascii="Times New Roman" w:cs="Times New Roman" w:eastAsia="Times New Roman" w:hAnsi="Times New Roman"/>
          <w:sz w:val="20"/>
          <w:szCs w:val="20"/>
          <w:color w:val="auto"/>
        </w:rPr>
        <w:t>Except as explicitly amended by this Letter Agreement, all of the terms and conditions of the Loan Agreement (including the Prior Letter Agreement) and the other Loan Documents shall remain in full force and effect. Each Credit Party hereby reaffirms its obligations, as applicable, under the Loan Agreement, the Prior Letter Agreement and each other Loan Document to which such Credit Party is a party, and agrees that all obligations, indebtedness and liabilities of such Credit Party thereunder remain valid and binding without any present right of offset, claim, defense or recoupment of any kind.</w:t>
      </w:r>
    </w:p>
    <w:p>
      <w:pPr>
        <w:spacing w:after="0" w:line="158" w:lineRule="exact"/>
        <w:rPr>
          <w:sz w:val="20"/>
          <w:szCs w:val="20"/>
          <w:color w:val="auto"/>
        </w:rPr>
      </w:pPr>
    </w:p>
    <w:p>
      <w:pPr>
        <w:ind w:left="300" w:right="560" w:firstLine="738"/>
        <w:spacing w:after="0" w:line="249" w:lineRule="auto"/>
        <w:rPr>
          <w:sz w:val="20"/>
          <w:szCs w:val="20"/>
          <w:color w:val="auto"/>
        </w:rPr>
      </w:pPr>
      <w:r>
        <w:rPr>
          <w:rFonts w:ascii="Times New Roman" w:cs="Times New Roman" w:eastAsia="Times New Roman" w:hAnsi="Times New Roman"/>
          <w:sz w:val="20"/>
          <w:szCs w:val="20"/>
          <w:color w:val="auto"/>
        </w:rPr>
        <w:t>Borrower’s failure to comply with this Letter Agreement shall constitute an Event of Default under the Loan Agreement. This Letter Agreement constitutes the entire agreement of the parties hereto with respect to the subject matter hereof. This Letter Agreement may be executed in multiple counterparts (including by electronic means) all of which taken together shall constitute one executed original. This Letter Agreement shall be governed by the laws of the state of New York.</w:t>
      </w:r>
    </w:p>
    <w:p>
      <w:pPr>
        <w:spacing w:after="0" w:line="161" w:lineRule="exact"/>
        <w:rPr>
          <w:sz w:val="20"/>
          <w:szCs w:val="20"/>
          <w:color w:val="auto"/>
        </w:rPr>
      </w:pPr>
    </w:p>
    <w:p>
      <w:pPr>
        <w:ind w:left="300" w:right="480" w:firstLine="738"/>
        <w:spacing w:after="0" w:line="246" w:lineRule="auto"/>
        <w:rPr>
          <w:sz w:val="20"/>
          <w:szCs w:val="20"/>
          <w:color w:val="auto"/>
        </w:rPr>
      </w:pPr>
      <w:r>
        <w:rPr>
          <w:rFonts w:ascii="Times New Roman" w:cs="Times New Roman" w:eastAsia="Times New Roman" w:hAnsi="Times New Roman"/>
          <w:sz w:val="20"/>
          <w:szCs w:val="20"/>
          <w:color w:val="auto"/>
        </w:rPr>
        <w:t xml:space="preserve">Borrower hereby represents and warrants to Lender that, as of the date hereof, </w:t>
      </w:r>
      <w:r>
        <w:rPr>
          <w:rFonts w:ascii="Times New Roman" w:cs="Times New Roman" w:eastAsia="Times New Roman" w:hAnsi="Times New Roman"/>
          <w:sz w:val="21"/>
          <w:szCs w:val="21"/>
          <w:color w:val="auto"/>
        </w:rPr>
        <w:t>except for the agreements set forth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this Letter Agreement, </w:t>
      </w:r>
      <w:r>
        <w:rPr>
          <w:rFonts w:ascii="Times New Roman" w:cs="Times New Roman" w:eastAsia="Times New Roman" w:hAnsi="Times New Roman"/>
          <w:sz w:val="19"/>
          <w:szCs w:val="19"/>
          <w:color w:val="auto"/>
        </w:rPr>
        <w:t>neither Borrower nor any of its officers, directors, employees, agents or other representatives acting on its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behalf has provided Lender or any of its affiliates with any material non-public information (within the meaning of Regulation FD promulgated under the Securities Exchange Act of 1934, as amended, or otherwise) regarding Borrower or any of its subsidiaries that has not been publicly disclosed prior to the date hereof. Borrower acknowledges and agrees that</w:t>
      </w:r>
      <w:r>
        <w:rPr>
          <w:rFonts w:ascii="Times New Roman" w:cs="Times New Roman" w:eastAsia="Times New Roman" w:hAnsi="Times New Roman"/>
          <w:sz w:val="21"/>
          <w:szCs w:val="21"/>
          <w:color w:val="auto"/>
        </w:rPr>
        <w:t>, except for the agreements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 xml:space="preserve">set forth in this Letter Agreement, </w:t>
      </w:r>
      <w:r>
        <w:rPr>
          <w:rFonts w:ascii="Times New Roman" w:cs="Times New Roman" w:eastAsia="Times New Roman" w:hAnsi="Times New Roman"/>
          <w:sz w:val="19"/>
          <w:szCs w:val="19"/>
          <w:color w:val="auto"/>
        </w:rPr>
        <w:t>Lender is not and will not be in possession of any material non-public information received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from or on behalf of Borrower as a result of the transactions contemplated </w:t>
      </w:r>
      <w:r>
        <w:rPr>
          <w:rFonts w:ascii="Times New Roman" w:cs="Times New Roman" w:eastAsia="Times New Roman" w:hAnsi="Times New Roman"/>
          <w:sz w:val="21"/>
          <w:szCs w:val="21"/>
          <w:color w:val="auto"/>
        </w:rPr>
        <w:t>hereby. Borrower shall file a Current Report 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 xml:space="preserve">Form 8-K with the Securities and Exchange Commission disclosing </w:t>
      </w:r>
      <w:r>
        <w:rPr>
          <w:rFonts w:ascii="Times New Roman" w:cs="Times New Roman" w:eastAsia="Times New Roman" w:hAnsi="Times New Roman"/>
          <w:sz w:val="19"/>
          <w:szCs w:val="19"/>
          <w:color w:val="auto"/>
        </w:rPr>
        <w:t>this Letter Agreement</w:t>
      </w:r>
      <w:r>
        <w:rPr>
          <w:rFonts w:ascii="Times New Roman" w:cs="Times New Roman" w:eastAsia="Times New Roman" w:hAnsi="Times New Roman"/>
          <w:sz w:val="21"/>
          <w:szCs w:val="21"/>
          <w:color w:val="auto"/>
        </w:rPr>
        <w:t xml:space="preserve"> and the transactions contemplated hereby after the market closes on the date hereof</w:t>
      </w:r>
      <w:r>
        <w:rPr>
          <w:rFonts w:ascii="Times New Roman" w:cs="Times New Roman" w:eastAsia="Times New Roman" w:hAnsi="Times New Roman"/>
          <w:sz w:val="19"/>
          <w:szCs w:val="19"/>
          <w:color w:val="auto"/>
        </w:rPr>
        <w:t>.</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By placing its signature below, each of Lender and Credit Party acknowledges its consent to this Letter Agreement.</w:t>
      </w:r>
    </w:p>
    <w:p>
      <w:pPr>
        <w:spacing w:after="0" w:line="200" w:lineRule="exact"/>
        <w:rPr>
          <w:sz w:val="20"/>
          <w:szCs w:val="20"/>
          <w:color w:val="auto"/>
        </w:rPr>
      </w:pPr>
    </w:p>
    <w:p>
      <w:pPr>
        <w:spacing w:after="0" w:line="23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Banzai International, Inc.</w:t>
      </w:r>
    </w:p>
    <w:p>
      <w:pPr>
        <w:spacing w:after="0" w:line="22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0"/>
          <w:szCs w:val="20"/>
          <w:color w:val="auto"/>
        </w:rPr>
        <w:t>By: _</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________________</w:t>
      </w:r>
    </w:p>
    <w:p>
      <w:pPr>
        <w:spacing w:after="0" w:line="22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0"/>
          <w:szCs w:val="20"/>
          <w:color w:val="auto"/>
        </w:rPr>
        <w:t>Name: Joe Davy</w:t>
      </w:r>
    </w:p>
    <w:p>
      <w:pPr>
        <w:spacing w:after="0" w:line="2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0"/>
          <w:szCs w:val="20"/>
          <w:color w:val="auto"/>
        </w:rPr>
        <w:t>Title: Chief Executive Officer</w:t>
      </w:r>
    </w:p>
    <w:p>
      <w:pPr>
        <w:ind w:left="300"/>
        <w:spacing w:after="0"/>
        <w:rPr>
          <w:sz w:val="20"/>
          <w:szCs w:val="20"/>
          <w:color w:val="auto"/>
        </w:rPr>
      </w:pPr>
      <w:r>
        <w:rPr>
          <w:rFonts w:ascii="Times New Roman" w:cs="Times New Roman" w:eastAsia="Times New Roman" w:hAnsi="Times New Roman"/>
          <w:sz w:val="20"/>
          <w:szCs w:val="20"/>
          <w:color w:val="auto"/>
        </w:rPr>
        <w:t>Acknowledged and Agreed,</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CP BF Lending, LLC</w:t>
      </w:r>
    </w:p>
    <w:p>
      <w:pPr>
        <w:spacing w:after="0" w:line="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By: CP Business Finance GP, LLC, its manager By:</w:t>
      </w:r>
    </w:p>
    <w:p>
      <w:pPr>
        <w:ind w:left="1060"/>
        <w:spacing w:after="0"/>
        <w:rPr>
          <w:sz w:val="20"/>
          <w:szCs w:val="20"/>
          <w:color w:val="auto"/>
        </w:rPr>
      </w:pPr>
      <w:r>
        <w:rPr>
          <w:rFonts w:ascii="Times New Roman" w:cs="Times New Roman" w:eastAsia="Times New Roman" w:hAnsi="Times New Roman"/>
          <w:sz w:val="20"/>
          <w:szCs w:val="20"/>
          <w:color w:val="auto"/>
        </w:rPr>
        <w:t>Columbia Pacific Advisors, LLC, its manager</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/s/__________________</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Name: Alex Washburn</w:t>
      </w:r>
    </w:p>
    <w:p>
      <w:pPr>
        <w:ind w:left="300"/>
        <w:spacing w:after="0"/>
        <w:rPr>
          <w:sz w:val="20"/>
          <w:szCs w:val="20"/>
          <w:color w:val="auto"/>
        </w:rPr>
      </w:pPr>
      <w:r>
        <w:rPr>
          <w:rFonts w:ascii="Times New Roman" w:cs="Times New Roman" w:eastAsia="Times New Roman" w:hAnsi="Times New Roman"/>
          <w:sz w:val="20"/>
          <w:szCs w:val="20"/>
          <w:color w:val="auto"/>
        </w:rPr>
        <w:t>Title: Managing Partner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658495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61"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12" Type="http://schemas.openxmlformats.org/officeDocument/2006/relationships/hyperlink" Target="https://www.sec.gov/Archives/edgar/data/1826011/000119312523225201/d441541dex47.htm" TargetMode="External"/><Relationship Id="rId13" Type="http://schemas.openxmlformats.org/officeDocument/2006/relationships/hyperlink" Target="https://www.sec.gov/Archives/edgar/data/1826011/000149315224038146/ex10-19.htm" TargetMode="External"/><Relationship Id="rId14" Type="http://schemas.openxmlformats.org/officeDocument/2006/relationships/hyperlink" Target="https://www.sec.gov/Archives/edgar/data/1826011/000149315224038146/ex10-4.htm" TargetMode="External"/><Relationship Id="rId15" Type="http://schemas.openxmlformats.org/officeDocument/2006/relationships/hyperlink" Target="https://www.sec.gov/Archives/edgar/data/1826011/000119312523225201/d441541dex1018.htm" TargetMode="External"/><Relationship Id="rId16" Type="http://schemas.openxmlformats.org/officeDocument/2006/relationships/hyperlink" Target="https://www.sec.gov/Archives/edgar/data/1826011/000149315224038146/ex10-6.htm" TargetMode="External"/><Relationship Id="rId17" Type="http://schemas.openxmlformats.org/officeDocument/2006/relationships/hyperlink" Target="https://www.sec.gov/Archives/edgar/data/1826011/000149315225018364/ex10-5.htm" TargetMode="External"/><Relationship Id="rId18" Type="http://schemas.openxmlformats.org/officeDocument/2006/relationships/hyperlink" Target="https://www.sec.gov/Archives/edgar/data/1826011/000149315225018364/ex10-6.htm" TargetMode="External"/><Relationship Id="rId19" Type="http://schemas.openxmlformats.org/officeDocument/2006/relationships/hyperlink" Target="https://www.sec.gov/Archives/edgar/data/1826011/000149315225018364/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2026-05-18T05:10:26Z</dcterms:created>
  <dcterms:modified xsi:type="dcterms:W3CDTF">2026-05-18T05:10:26Z</dcterms:modified>
</cp:coreProperties>
</file>