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2q2026_10-q_sticker_2974.htm"/>
      <w:bookmarkStart w:id="1" w:name="ks2q2026_10q_sticker_2974"/>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br/>
        <w:t>Registration No. 333-297492</w:t>
      </w:r>
    </w:p>
    <w:p>
      <w:pPr>
        <w:pStyle w:val="TextBody"/>
        <w:bidi w:val="0"/>
        <w:jc w:val="both"/>
        <w:rPr>
          <w:rFonts w:ascii="Times New Roman" w:hAnsi="Times New Roman"/>
          <w:b/>
          <w:color w:val="000000"/>
          <w:sz w:val="20"/>
        </w:rPr>
      </w:pPr>
      <w:r>
        <w:rPr>
          <w:rFonts w:ascii="Times New Roman" w:hAnsi="Times New Roman"/>
          <w:b/>
          <w:color w:val="000000"/>
          <w:sz w:val="20"/>
        </w:rPr>
        <w:t>Prospectus Supplement No. 1</w:t>
      </w:r>
    </w:p>
    <w:p>
      <w:pPr>
        <w:pStyle w:val="TextBody"/>
        <w:bidi w:val="0"/>
        <w:jc w:val="both"/>
        <w:rPr>
          <w:rFonts w:ascii="Times New Roman" w:hAnsi="Times New Roman"/>
          <w:b/>
          <w:color w:val="000000"/>
          <w:sz w:val="20"/>
        </w:rPr>
      </w:pPr>
      <w:r>
        <w:rPr>
          <w:rFonts w:ascii="Times New Roman" w:hAnsi="Times New Roman"/>
          <w:b/>
          <w:color w:val="000000"/>
          <w:sz w:val="20"/>
        </w:rPr>
        <w:t>(To Prospectus dated July 28, 2026)</w:t>
      </w:r>
    </w:p>
    <w:p>
      <w:pPr>
        <w:pStyle w:val="TextBody"/>
        <w:bidi w:val="0"/>
        <w:jc w:val="center"/>
        <w:rPr/>
      </w:pPr>
      <w:r>
        <w:rPr/>
        <w:t> </w:t>
      </w:r>
    </w:p>
    <w:p>
      <w:pPr>
        <w:pStyle w:val="TextBody"/>
        <w:bidi w:val="0"/>
        <w:jc w:val="center"/>
        <w:rPr>
          <w:rFonts w:ascii="Times New Roman" w:hAnsi="Times New Roman"/>
          <w:b/>
          <w:color w:val="212529"/>
          <w:sz w:val="20"/>
        </w:rPr>
      </w:pPr>
      <w:r>
        <w:rPr>
          <w:rFonts w:ascii="Times New Roman" w:hAnsi="Times New Roman"/>
          <w:b/>
          <w:color w:val="212529"/>
          <w:sz w:val="20"/>
        </w:rPr>
        <w:t>Up to 15,000,000 Shares of Class A Common Stock</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updates, amends and supplements the prospectus dated July 28, 2026 (the “Prospectus”), which forms a part of our Registration Statement on Form S-1 (Registration No. 333-297492). Capitalized terms used in this prospectus supplement and not otherwise defined herein have the meanings specified in the Prospectus.</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being filed to update, amend and supplement the information contained in the Prospectus with the information from our Quarterly Report on Form 10-Q for the quarter ended June 30, 2026, which was filed with the Securities and Exchange Commission (the “SEC”) on August 14, 2026 (the “Q2 10-Q”). Accordingly, we have attached the Q2 10-Q to this prospectus supplement.</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jc w:val="both"/>
        <w:rPr>
          <w:rFonts w:ascii="Times New Roman" w:hAnsi="Times New Roman"/>
          <w:b/>
          <w:color w:val="000000"/>
          <w:sz w:val="20"/>
        </w:rPr>
      </w:pPr>
      <w:r>
        <w:rPr>
          <w:rFonts w:ascii="Times New Roman" w:hAnsi="Times New Roman"/>
          <w:b/>
          <w:color w:val="000000"/>
          <w:sz w:val="20"/>
        </w:rPr>
        <w:t>We are a “smaller reporting company” for purposes of federal securities laws and are subject to reduced public company reporting requirements. Investing in our securities involves risks. See the section entitled “Risk Factors” beginning on page 9 of the Prospectus to read about factors you should consider before buying our securities.</w:t>
      </w:r>
    </w:p>
    <w:p>
      <w:pPr>
        <w:pStyle w:val="TextBody"/>
        <w:bidi w:val="0"/>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August 14, 2026.</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9811" w:type="dxa"/>
        <w:jc w:val="left"/>
        <w:tblInd w:w="0" w:type="dxa"/>
        <w:tblLayout w:type="fixed"/>
        <w:tblCellMar>
          <w:top w:w="28" w:type="dxa"/>
          <w:left w:w="28" w:type="dxa"/>
          <w:bottom w:w="28" w:type="dxa"/>
          <w:right w:w="28" w:type="dxa"/>
        </w:tblCellMar>
      </w:tblPr>
      <w:tblGrid>
        <w:gridCol w:w="9811"/>
      </w:tblGrid>
      <w:tr>
        <w:trPr/>
        <w:tc>
          <w:tcPr>
            <w:tcW w:w="9811" w:type="dxa"/>
            <w:tcBorders/>
            <w:vAlign w:val="center"/>
          </w:tcPr>
          <w:p>
            <w:pPr>
              <w:pStyle w:val="TableContents"/>
              <w:bidi w:val="0"/>
              <w:spacing w:before="0" w:after="283"/>
              <w:jc w:val="left"/>
              <w:rPr>
                <w:sz w:val="4"/>
                <w:szCs w:val="4"/>
              </w:rPr>
            </w:pPr>
            <w:r>
              <w:rPr>
                <w:sz w:val="4"/>
                <w:szCs w:val="4"/>
              </w:rPr>
            </w:r>
          </w:p>
        </w:tc>
      </w:tr>
      <w:tr>
        <w:trPr/>
        <w:tc>
          <w:tcPr>
            <w:tcW w:w="981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quarterly period ended June 30, 2026</w:t>
      </w:r>
    </w:p>
    <w:p>
      <w:pPr>
        <w:pStyle w:val="TextBody"/>
        <w:bidi w:val="0"/>
        <w:spacing w:before="60" w:after="283"/>
        <w:jc w:val="center"/>
        <w:rPr>
          <w:rFonts w:ascii="Times New Roman" w:hAnsi="Times New Roman"/>
          <w:sz w:val="20"/>
        </w:rPr>
      </w:pPr>
      <w:r>
        <w:rPr>
          <w:rFonts w:ascii="Times New Roman" w:hAnsi="Times New Roman"/>
          <w:color w:val="000000"/>
          <w:sz w:val="16"/>
        </w:rPr>
        <w:t>or</w:t>
      </w:r>
      <w:r>
        <w:rPr>
          <w:rFonts w:ascii="Times New Roman" w:hAnsi="Times New Roman"/>
          <w:color w:val="000000"/>
          <w:sz w:val="20"/>
        </w:rPr>
        <w:t xml:space="preserve"> </w:t>
      </w:r>
    </w:p>
    <w:tbl>
      <w:tblPr>
        <w:tblW w:w="9766" w:type="dxa"/>
        <w:jc w:val="left"/>
        <w:tblInd w:w="0" w:type="dxa"/>
        <w:tblLayout w:type="fixed"/>
        <w:tblCellMar>
          <w:top w:w="28" w:type="dxa"/>
          <w:left w:w="28" w:type="dxa"/>
          <w:bottom w:w="28" w:type="dxa"/>
          <w:right w:w="28" w:type="dxa"/>
        </w:tblCellMar>
      </w:tblPr>
      <w:tblGrid>
        <w:gridCol w:w="9766"/>
      </w:tblGrid>
      <w:tr>
        <w:trPr/>
        <w:tc>
          <w:tcPr>
            <w:tcW w:w="9766" w:type="dxa"/>
            <w:tcBorders/>
            <w:vAlign w:val="center"/>
          </w:tcPr>
          <w:p>
            <w:pPr>
              <w:pStyle w:val="TableContents"/>
              <w:bidi w:val="0"/>
              <w:spacing w:before="0" w:after="283"/>
              <w:jc w:val="left"/>
              <w:rPr>
                <w:sz w:val="4"/>
                <w:szCs w:val="4"/>
              </w:rPr>
            </w:pPr>
            <w:r>
              <w:rPr>
                <w:sz w:val="4"/>
                <w:szCs w:val="4"/>
              </w:rPr>
            </w:r>
          </w:p>
        </w:tc>
      </w:tr>
      <w:tr>
        <w:trPr/>
        <w:tc>
          <w:tcPr>
            <w:tcW w:w="9766" w:type="dxa"/>
            <w:tcBorders/>
            <w:tcMar>
              <w:top w:w="0" w:type="dxa"/>
              <w:left w:w="0" w:type="dxa"/>
              <w:bottom w:w="0" w:type="dxa"/>
              <w:right w:w="0" w:type="dxa"/>
            </w:tcMar>
            <w:vAlign w:val="center"/>
          </w:tcPr>
          <w:p>
            <w:pPr>
              <w:pStyle w:val="TableContents"/>
              <w:bidi w:val="0"/>
              <w:spacing w:before="60" w:after="283"/>
              <w:jc w:val="center"/>
              <w:rPr/>
            </w:pPr>
            <w:r>
              <w:rPr>
                <w:color w:val="000000"/>
              </w:rPr>
              <w:t>☐  </w:t>
            </w: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transition period from _________ to _________</w:t>
      </w:r>
    </w:p>
    <w:p>
      <w:pPr>
        <w:pStyle w:val="TextBody"/>
        <w:bidi w:val="0"/>
        <w:spacing w:before="60" w:after="283"/>
        <w:jc w:val="center"/>
        <w:rPr>
          <w:rFonts w:ascii="Times New Roman" w:hAnsi="Times New Roman"/>
          <w:sz w:val="20"/>
        </w:rPr>
      </w:pPr>
      <w:r>
        <w:rPr>
          <w:rFonts w:ascii="Times New Roman" w:hAnsi="Times New Roman"/>
          <w:color w:val="000000"/>
          <w:sz w:val="16"/>
        </w:rPr>
        <w:t xml:space="preserve">Commission File Number: </w:t>
      </w:r>
      <w:r>
        <w:rPr>
          <w:rFonts w:ascii="Times New Roman" w:hAnsi="Times New Roman"/>
          <w:b/>
          <w:color w:val="000000"/>
          <w:sz w:val="18"/>
        </w:rPr>
        <w:t>001-39826</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Banzai International,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jc w:val="center"/>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85-3118980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3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16"/>
              </w:rPr>
            </w:pPr>
            <w:r>
              <w:rPr>
                <w:rFonts w:ascii="Times New Roman" w:hAnsi="Times New Roman"/>
                <w:b/>
                <w:color w:val="000000"/>
                <w:sz w:val="16"/>
              </w:rPr>
              <w:t>435 Ericksen Ave, Suite 250</w:t>
            </w:r>
            <w:r>
              <w:rPr>
                <w:rFonts w:ascii="Times New Roman" w:hAnsi="Times New Roman"/>
                <w:color w:val="000000"/>
                <w:sz w:val="16"/>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Bainbridge Island, Washington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98110</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(206) 414-1777</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2"/>
        <w:gridCol w:w="146"/>
        <w:gridCol w:w="691"/>
        <w:gridCol w:w="146"/>
        <w:gridCol w:w="2430"/>
      </w:tblGrid>
      <w:tr>
        <w:trPr/>
        <w:tc>
          <w:tcPr>
            <w:tcW w:w="6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r>
      <w:tr>
        <w:trPr/>
        <w:tc>
          <w:tcPr>
            <w:tcW w:w="679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3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67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The Nasdaq Capital Market</w:t>
            </w:r>
          </w:p>
        </w:tc>
      </w:tr>
      <w:tr>
        <w:trPr/>
        <w:tc>
          <w:tcPr>
            <w:tcW w:w="67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Warrants, each whole warrant exercisable for one share of Class A common stock at an exercise price of $115,000.00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PARAW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The Nasdaq Capital Market</w:t>
            </w:r>
          </w:p>
        </w:tc>
      </w:tr>
    </w:tbl>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outstanding of each of the registrant's classes of common stock, $0.0001 par value per share, as of August 13, 2026:</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Class A Common Stock - 3,517,105 shares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Class B Common Stock - 33,856 shares</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8876"/>
        <w:gridCol w:w="512"/>
      </w:tblGrid>
      <w:tr>
        <w:trPr/>
        <w:tc>
          <w:tcPr>
            <w:tcW w:w="817" w:type="dxa"/>
            <w:tcBorders/>
            <w:vAlign w:val="center"/>
          </w:tcPr>
          <w:p>
            <w:pPr>
              <w:pStyle w:val="TableContents"/>
              <w:bidi w:val="0"/>
              <w:spacing w:before="0" w:after="283"/>
              <w:jc w:val="left"/>
              <w:rPr>
                <w:sz w:val="4"/>
                <w:szCs w:val="4"/>
              </w:rPr>
            </w:pPr>
            <w:r>
              <w:rPr>
                <w:sz w:val="4"/>
                <w:szCs w:val="4"/>
              </w:rPr>
            </w:r>
          </w:p>
        </w:tc>
        <w:tc>
          <w:tcPr>
            <w:tcW w:w="887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June 30, 2026 (Unaudited)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Unaudited Condensed Consolidated Statements of Operations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_qtd">
              <w:r>
                <w:rPr>
                  <w:rStyle w:val="InternetLink"/>
                  <w:rFonts w:ascii="Times New Roman" w:hAnsi="Times New Roman"/>
                  <w:color w:val="0000FF"/>
                  <w:sz w:val="20"/>
                  <w:u w:val="single"/>
                </w:rPr>
                <w:t>Unaudited Condensed Consolidated Statements of Changes in Stockholders' Equity (Deficit) for the three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_ytd">
              <w:r>
                <w:rPr>
                  <w:rStyle w:val="InternetLink"/>
                  <w:rFonts w:ascii="Times New Roman" w:hAnsi="Times New Roman"/>
                  <w:color w:val="0000FF"/>
                  <w:sz w:val="20"/>
                  <w:u w:val="single"/>
                </w:rPr>
                <w:t>Unaudited Condensed Consolidated Statements of Changes in Stockholders' Equity (Deficit)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Unaudited 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other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isk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isteredsal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0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0"/>
        <w:gridCol w:w="146"/>
        <w:gridCol w:w="206"/>
        <w:gridCol w:w="791"/>
        <w:gridCol w:w="166"/>
        <w:gridCol w:w="146"/>
        <w:gridCol w:w="228"/>
        <w:gridCol w:w="877"/>
        <w:gridCol w:w="615"/>
      </w:tblGrid>
      <w:tr>
        <w:trPr/>
        <w:tc>
          <w:tcPr>
            <w:tcW w:w="7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 of allowance for credit losses of $6 and $41,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Private placement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$0.0001 par value, 275,000,000 (250,000,000 Class A and 25,000,000 Class B) shares authorized and 2,690,579 (2,656,723 Class A and 33,856 Class B) and 527,317 (515,761 Class A and 11,556 Class B) shares issued and outstanding at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$0.0001 par value, 75,000,000 shares authorized, 1 and 1 shares issued and outstanding at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108,912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tatement_of_operations"/>
      <w:bookmarkEnd w:id="4"/>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67"/>
        <w:gridCol w:w="146"/>
        <w:gridCol w:w="303"/>
        <w:gridCol w:w="884"/>
        <w:gridCol w:w="256"/>
        <w:gridCol w:w="225"/>
        <w:gridCol w:w="303"/>
        <w:gridCol w:w="884"/>
        <w:gridCol w:w="166"/>
        <w:gridCol w:w="146"/>
        <w:gridCol w:w="261"/>
        <w:gridCol w:w="884"/>
        <w:gridCol w:w="221"/>
        <w:gridCol w:w="195"/>
        <w:gridCol w:w="261"/>
        <w:gridCol w:w="884"/>
        <w:gridCol w:w="219"/>
      </w:tblGrid>
      <w:tr>
        <w:trPr/>
        <w:tc>
          <w:tcPr>
            <w:tcW w:w="3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14,164</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(10,166</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(9,747</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3,349</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(13,515</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(11,729</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(13,382</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(11,572</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(146.48</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tatement_of_deficit_qtd"/>
      <w:bookmarkEnd w:id="5"/>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center"/>
        <w:rPr/>
      </w:pPr>
      <w:r>
        <w:rPr/>
        <w:t> </w:t>
      </w:r>
    </w:p>
    <w:tbl>
      <w:tblPr>
        <w:tblW w:w="12473"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826"/>
        <w:gridCol w:w="146"/>
        <w:gridCol w:w="146"/>
        <w:gridCol w:w="249"/>
        <w:gridCol w:w="442"/>
        <w:gridCol w:w="146"/>
        <w:gridCol w:w="146"/>
        <w:gridCol w:w="196"/>
        <w:gridCol w:w="691"/>
        <w:gridCol w:w="166"/>
        <w:gridCol w:w="146"/>
        <w:gridCol w:w="439"/>
        <w:gridCol w:w="777"/>
        <w:gridCol w:w="166"/>
        <w:gridCol w:w="146"/>
        <w:gridCol w:w="217"/>
        <w:gridCol w:w="834"/>
        <w:gridCol w:w="166"/>
        <w:gridCol w:w="146"/>
        <w:gridCol w:w="254"/>
        <w:gridCol w:w="78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867,355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117,346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Adjustment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Yorkville under the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CP BF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1800 Diagonal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3i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Agile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for CEO Award and bonus (see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Modification of CEO Award from equity to liability (see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2,690,579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126,445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(114,154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12,230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282"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91"/>
        <w:gridCol w:w="146"/>
        <w:gridCol w:w="146"/>
        <w:gridCol w:w="249"/>
        <w:gridCol w:w="442"/>
        <w:gridCol w:w="146"/>
        <w:gridCol w:w="146"/>
        <w:gridCol w:w="214"/>
        <w:gridCol w:w="657"/>
        <w:gridCol w:w="146"/>
        <w:gridCol w:w="146"/>
        <w:gridCol w:w="439"/>
        <w:gridCol w:w="777"/>
        <w:gridCol w:w="146"/>
        <w:gridCol w:w="146"/>
        <w:gridCol w:w="240"/>
        <w:gridCol w:w="811"/>
        <w:gridCol w:w="166"/>
        <w:gridCol w:w="146"/>
        <w:gridCol w:w="264"/>
        <w:gridCol w:w="77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73,434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84,868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Hudson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upon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123,930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92,875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_of_deficit_ytd"/>
      <w:bookmarkEnd w:id="6"/>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473"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826"/>
        <w:gridCol w:w="146"/>
        <w:gridCol w:w="146"/>
        <w:gridCol w:w="249"/>
        <w:gridCol w:w="442"/>
        <w:gridCol w:w="146"/>
        <w:gridCol w:w="146"/>
        <w:gridCol w:w="196"/>
        <w:gridCol w:w="691"/>
        <w:gridCol w:w="166"/>
        <w:gridCol w:w="146"/>
        <w:gridCol w:w="439"/>
        <w:gridCol w:w="777"/>
        <w:gridCol w:w="166"/>
        <w:gridCol w:w="146"/>
        <w:gridCol w:w="217"/>
        <w:gridCol w:w="834"/>
        <w:gridCol w:w="166"/>
        <w:gridCol w:w="146"/>
        <w:gridCol w:w="236"/>
        <w:gridCol w:w="800"/>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527,317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108,912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(100,772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Adjustment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Yorkville under the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under the ATM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CP BF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1800 Diagonal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3i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to Agile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Shares issued for CEO Award and bonus (see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Modification of CEO Award from equity to liability (see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2,690,579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126,445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(114,154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12,230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282"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91"/>
        <w:gridCol w:w="146"/>
        <w:gridCol w:w="146"/>
        <w:gridCol w:w="249"/>
        <w:gridCol w:w="442"/>
        <w:gridCol w:w="146"/>
        <w:gridCol w:w="146"/>
        <w:gridCol w:w="214"/>
        <w:gridCol w:w="657"/>
        <w:gridCol w:w="146"/>
        <w:gridCol w:w="146"/>
        <w:gridCol w:w="439"/>
        <w:gridCol w:w="777"/>
        <w:gridCol w:w="146"/>
        <w:gridCol w:w="146"/>
        <w:gridCol w:w="240"/>
        <w:gridCol w:w="811"/>
        <w:gridCol w:w="166"/>
        <w:gridCol w:w="146"/>
        <w:gridCol w:w="236"/>
        <w:gridCol w:w="800"/>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(78,280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Hudson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Verista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upon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Vidello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123,930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92,875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pPr>
      <w:r>
        <w:rPr/>
        <w:t> </w:t>
      </w:r>
    </w:p>
    <w:tbl>
      <w:tblPr>
        <w:tblW w:w="8116" w:type="dxa"/>
        <w:jc w:val="left"/>
        <w:tblInd w:w="0" w:type="dxa"/>
        <w:tblLayout w:type="fixed"/>
        <w:tblCellMar>
          <w:top w:w="28" w:type="dxa"/>
          <w:left w:w="28" w:type="dxa"/>
          <w:bottom w:w="28" w:type="dxa"/>
          <w:right w:w="28" w:type="dxa"/>
        </w:tblCellMar>
      </w:tblPr>
      <w:tblGrid>
        <w:gridCol w:w="5456"/>
        <w:gridCol w:w="146"/>
        <w:gridCol w:w="220"/>
        <w:gridCol w:w="678"/>
        <w:gridCol w:w="184"/>
        <w:gridCol w:w="178"/>
        <w:gridCol w:w="220"/>
        <w:gridCol w:w="678"/>
        <w:gridCol w:w="356"/>
      </w:tblGrid>
      <w:tr>
        <w:trPr/>
        <w:tc>
          <w:tcPr>
            <w:tcW w:w="5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Provision for credit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shares issued for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Discount at issuance on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debt discount and issuance costs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extinguishment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(9,366</w:t>
            </w:r>
          </w:p>
        </w:tc>
        <w:tc>
          <w:tcPr>
            <w:tcW w:w="1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(9,023</w:t>
            </w:r>
          </w:p>
        </w:tc>
        <w:tc>
          <w:tcPr>
            <w:tcW w:w="3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paid for acquisition of Vidello,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GEM commitment fee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term notes,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Partial repayment of 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convertible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shares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shares issued to Verista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pre-funded warrants under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2,254</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left"/>
        <w:rPr/>
      </w:pPr>
      <w:r>
        <w:rPr/>
        <w:t> </w:t>
      </w:r>
    </w:p>
    <w:tbl>
      <w:tblPr>
        <w:tblW w:w="6369" w:type="dxa"/>
        <w:jc w:val="left"/>
        <w:tblInd w:w="0" w:type="dxa"/>
        <w:tblLayout w:type="fixed"/>
        <w:tblCellMar>
          <w:top w:w="28" w:type="dxa"/>
          <w:left w:w="28" w:type="dxa"/>
          <w:bottom w:w="28" w:type="dxa"/>
          <w:right w:w="28" w:type="dxa"/>
        </w:tblCellMar>
      </w:tblPr>
      <w:tblGrid>
        <w:gridCol w:w="4346"/>
        <w:gridCol w:w="146"/>
        <w:gridCol w:w="181"/>
        <w:gridCol w:w="436"/>
        <w:gridCol w:w="146"/>
        <w:gridCol w:w="146"/>
        <w:gridCol w:w="181"/>
        <w:gridCol w:w="436"/>
        <w:gridCol w:w="351"/>
      </w:tblGrid>
      <w:tr>
        <w:trPr/>
        <w:tc>
          <w:tcPr>
            <w:tcW w:w="4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Hudson consulting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Consideration transferred for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1,662</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Assets acquired in acquisition of 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Liabilities assumed in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CP BF Note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Conversion of private placement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payment of outstanding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1800 Diagonal Note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center"/>
        <w:rPr/>
      </w:pPr>
      <w:bookmarkStart w:id="8" w:name="notes_to_financial_statements"/>
      <w:bookmarkEnd w:id="8"/>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 International, Inc. (the “Company,” or “Banzai,” "we," "us," or "our") was incorporated in Delaware on September 30, 2015. We are a leading enterprise SaaS Video Engagement platform used by marketers to power webinars, trainings, virtual events, and on-demand video content.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Concurrently with the proposed rebranding, the Company also announced a new business unit structure designed to align leadership and go-to-market execution with its evolved vision. The Company’s operations will be organized into three business units: ConnectAndSell, the Company’s AI sales acceleration platform; Banzai, which will operate the Company’s Demio and OpenReel products; and CreateStudio, an AI-powered video content creation platform. Accordingly, the Company will reassess its operating and reportable segments, and reporting units during the third quarter 2026.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 cash or fractional shares were issued in connection with the Reverse Stock Split, and instead the Company rounded up to the next whole share in lieu of issuing fractional shares that would have been issued in the reverse split. </w:t>
      </w:r>
      <w:r>
        <w:rPr>
          <w:rFonts w:ascii="Times New Roman" w:hAnsi="Times New Roman"/>
          <w:color w:val="212529"/>
          <w:sz w:val="20"/>
        </w:rPr>
        <w:t>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cash of approximately $0.6 million. For the six months ended June 30, 2026, the Company used approximately $9.4 million in cash for operating activities. The Company has incurred recurring net losses from operations and negative cash flows from operating activities since inception. As of June 30, 2026, the Company had an accumulated deficit of approximately $114.2 million. These factors raise substantial doubt regarding the Company’s ability to continue as a going concern within one year of the date these financial statements were issued.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plans include obtaining future debt financings (see </w:t>
      </w:r>
      <w:r>
        <w:rPr>
          <w:rFonts w:ascii="Times New Roman" w:hAnsi="Times New Roman"/>
          <w:i/>
          <w:color w:val="000000"/>
          <w:sz w:val="20"/>
        </w:rPr>
        <w:t>Note 11 – Debt</w:t>
      </w:r>
      <w:r>
        <w:rPr>
          <w:rFonts w:ascii="Times New Roman" w:hAnsi="Times New Roman"/>
          <w:color w:val="000000"/>
          <w:sz w:val="20"/>
        </w:rPr>
        <w:t xml:space="preserve">) and equity financings associated with the Yorkville SEPA and the ATM (as defined in </w:t>
      </w:r>
      <w:r>
        <w:rPr>
          <w:rFonts w:ascii="Times New Roman" w:hAnsi="Times New Roman"/>
          <w:i/>
          <w:color w:val="000000"/>
          <w:sz w:val="20"/>
        </w:rPr>
        <w:t>Note 14 – Equity</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Summary of Significant Accounting Policies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June 30, 2026 are not necessarily indicative of the results that may be expected for the year ending December 31, 2026.</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changes in the allowance for credit losses for the six months ended June 30, 2026:</w:t>
      </w:r>
    </w:p>
    <w:tbl>
      <w:tblPr>
        <w:tblW w:w="4181" w:type="dxa"/>
        <w:jc w:val="left"/>
        <w:tblInd w:w="0" w:type="dxa"/>
        <w:tblLayout w:type="fixed"/>
        <w:tblCellMar>
          <w:top w:w="28" w:type="dxa"/>
          <w:left w:w="28" w:type="dxa"/>
          <w:bottom w:w="28" w:type="dxa"/>
          <w:right w:w="28" w:type="dxa"/>
        </w:tblCellMar>
      </w:tblPr>
      <w:tblGrid>
        <w:gridCol w:w="3091"/>
        <w:gridCol w:w="146"/>
        <w:gridCol w:w="211"/>
        <w:gridCol w:w="146"/>
        <w:gridCol w:w="376"/>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jc w:val="both"/>
        <w:rPr>
          <w:rFonts w:ascii="Times New Roman" w:hAnsi="Times New Roman"/>
          <w:color w:val="000000"/>
          <w:sz w:val="20"/>
        </w:rPr>
      </w:pPr>
      <w:r>
        <w:rPr>
          <w:rFonts w:ascii="Times New Roman" w:hAnsi="Times New Roman"/>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 Liability – related party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warrants originally issued in 7GC's initial public offering (the "Public Warrants") are recognized as derivative liabilities in accordance with FASB ASC 815, </w:t>
      </w:r>
      <w:r>
        <w:rPr>
          <w:rFonts w:ascii="Times New Roman" w:hAnsi="Times New Roman"/>
          <w:i/>
          <w:color w:val="000000"/>
          <w:sz w:val="20"/>
        </w:rPr>
        <w:t>Derivatives and Hedging</w:t>
      </w:r>
      <w:r>
        <w:rPr>
          <w:rFonts w:ascii="Times New Roman" w:hAnsi="Times New Roman"/>
          <w:color w:val="000000"/>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GEM Warrant Liability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GEM Warrants were not considered indexed to the issuer’s stock pursuant to ASC 815, as the holder’s ability to receive in lieu of the Warrant one percent of the total consideration received by the Company’s stockholders in connection with a Change of Control,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basic and diluted net loss per share attributable to common stock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07"/>
        <w:gridCol w:w="146"/>
        <w:gridCol w:w="289"/>
        <w:gridCol w:w="865"/>
        <w:gridCol w:w="227"/>
        <w:gridCol w:w="200"/>
        <w:gridCol w:w="289"/>
        <w:gridCol w:w="865"/>
        <w:gridCol w:w="166"/>
        <w:gridCol w:w="146"/>
        <w:gridCol w:w="257"/>
        <w:gridCol w:w="897"/>
        <w:gridCol w:w="202"/>
        <w:gridCol w:w="177"/>
        <w:gridCol w:w="257"/>
        <w:gridCol w:w="897"/>
        <w:gridCol w:w="218"/>
      </w:tblGrid>
      <w:tr>
        <w:trPr/>
        <w:tc>
          <w:tcPr>
            <w:tcW w:w="4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shares—basic and diluted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that were excluded from loss per share as their effect would be anti-dilutive due to the net loss that could potentially be dilutive in future periods are as follows:</w:t>
      </w:r>
    </w:p>
    <w:p>
      <w:pPr>
        <w:pStyle w:val="TextBody"/>
        <w:bidi w:val="0"/>
        <w:jc w:val="both"/>
        <w:rPr/>
      </w:pPr>
      <w:r>
        <w:rPr/>
        <w:t> </w:t>
      </w:r>
    </w:p>
    <w:tbl>
      <w:tblPr>
        <w:tblW w:w="5019" w:type="dxa"/>
        <w:jc w:val="left"/>
        <w:tblInd w:w="0" w:type="dxa"/>
        <w:tblLayout w:type="fixed"/>
        <w:tblCellMar>
          <w:top w:w="28" w:type="dxa"/>
          <w:left w:w="28" w:type="dxa"/>
          <w:bottom w:w="28" w:type="dxa"/>
          <w:right w:w="28" w:type="dxa"/>
        </w:tblCellMar>
      </w:tblPr>
      <w:tblGrid>
        <w:gridCol w:w="2641"/>
        <w:gridCol w:w="146"/>
        <w:gridCol w:w="146"/>
        <w:gridCol w:w="781"/>
        <w:gridCol w:w="146"/>
        <w:gridCol w:w="146"/>
        <w:gridCol w:w="146"/>
        <w:gridCol w:w="676"/>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20"/>
              </w:rPr>
            </w:pPr>
            <w:r>
              <w:rPr>
                <w:rFonts w:cs="Times New Roman"/>
                <w:bCs/>
                <w:color w:val="000000"/>
                <w:szCs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 agent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830,532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42,265</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 w:hAnsi="Times New Roman"/>
          <w:i/>
          <w:color w:val="000000"/>
          <w:sz w:val="20"/>
        </w:rPr>
        <w:t>Note 7 – Fair Value Measurements</w:t>
      </w:r>
      <w:r>
        <w:rPr>
          <w:rFonts w:ascii="Times New Roman" w:hAnsi="Times New Roman"/>
          <w:color w:val="000000"/>
          <w:sz w:val="20"/>
        </w:rPr>
        <w:t xml:space="preserve"> and </w:t>
      </w:r>
      <w:r>
        <w:rPr>
          <w:rFonts w:ascii="Times New Roman" w:hAnsi="Times New Roman"/>
          <w:i/>
          <w:color w:val="000000"/>
          <w:sz w:val="20"/>
        </w:rPr>
        <w:t>Note 11 – Debt</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FASB ASC 820, </w:t>
      </w:r>
      <w:r>
        <w:rPr>
          <w:rFonts w:ascii="Times New Roman" w:hAnsi="Times New Roman"/>
          <w:i/>
          <w:color w:val="000000"/>
          <w:sz w:val="20"/>
        </w:rPr>
        <w:t>Fair Value Measurement</w:t>
      </w:r>
      <w:r>
        <w:rPr>
          <w:rFonts w:ascii="Times New Roman" w:hAnsi="Times New Roman"/>
          <w:color w:val="000000"/>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Inputs other than Level 1 prices for similar assets or liabilities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measurements discussed herein are based upon certain market assumptions and pertinent information available to management during the three months ended June 30, 2026 and 2025. The carrying amount of cash, accounts receivable, prepaid expenses and other current assets, accounts payable, accrued expenses, deferred revenue, and other current liabilities approximated their fair values as of June 30, 2026 and 2025.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Option Election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determined the January 2025 Yorkville Note, the September 2025 Yorkville Note, the Agile Notes, the 1800 Diagonal Notes, the </w:t>
      </w:r>
      <w:r>
        <w:rPr>
          <w:rFonts w:ascii="Times New Roman" w:hAnsi="Times New Roman"/>
          <w:color w:val="212529"/>
          <w:sz w:val="20"/>
        </w:rPr>
        <w:t>Private Placement Convertible Notes, and the Boot Capital Convertible Notes</w:t>
      </w:r>
      <w:r>
        <w:rPr>
          <w:rFonts w:ascii="Times New Roman" w:hAnsi="Times New Roman"/>
          <w:color w:val="000000"/>
          <w:sz w:val="20"/>
        </w:rPr>
        <w:t xml:space="preserve"> (each as defined in </w:t>
      </w:r>
      <w:r>
        <w:rPr>
          <w:rFonts w:ascii="Times New Roman" w:hAnsi="Times New Roman"/>
          <w:i/>
          <w:color w:val="000000"/>
          <w:sz w:val="20"/>
        </w:rPr>
        <w:t>Note 11 – Debt</w:t>
      </w:r>
      <w:r>
        <w:rPr>
          <w:rFonts w:ascii="Times New Roman" w:hAnsi="Times New Roman"/>
          <w:color w:val="000000"/>
          <w:sz w:val="20"/>
        </w:rPr>
        <w:t xml:space="preserve">, and together the "FVO Notes") were eligible for the fair value option, in accordance with FASB ASC 825-10-50-28, and made such election to account for these instruments at fair value. </w:t>
      </w:r>
    </w:p>
    <w:p>
      <w:pPr>
        <w:pStyle w:val="TextBody"/>
        <w:bidi w:val="0"/>
        <w:spacing w:before="200" w:after="283"/>
        <w:jc w:val="both"/>
        <w:rPr>
          <w:rFonts w:ascii="Times New Roman" w:hAnsi="Times New Roman"/>
          <w:sz w:val="20"/>
        </w:rPr>
      </w:pPr>
      <w:r>
        <w:rPr>
          <w:rFonts w:ascii="Times New Roman" w:hAnsi="Times New Roman"/>
          <w:color w:val="000000"/>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w:t>
      </w:r>
      <w:r>
        <w:rPr>
          <w:rFonts w:ascii="Times New Roman" w:hAnsi="Times New Roman"/>
          <w:color w:val="212529"/>
          <w:sz w:val="20"/>
        </w:rPr>
        <w:t xml:space="preserve"> Notes</w:t>
      </w:r>
      <w:r>
        <w:rPr>
          <w:rFonts w:ascii="Times New Roman" w:hAnsi="Times New Roman"/>
          <w:color w:val="000000"/>
          <w:sz w:val="20"/>
        </w:rPr>
        <w:t xml:space="preserve"> with the Company's financial reporting objectives and reduce operational effort to account for embedded features that otherwise would require bifurcation as a separate unit of account.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fair value option election, direct and incremental debt issuance costs and consideration paid to the respective lender were expensed as incurred and recorded in other income (expense), net in the unaudited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The Company records the portion of the FVO</w:t>
      </w:r>
      <w:r>
        <w:rPr>
          <w:rFonts w:ascii="Times New Roman" w:hAnsi="Times New Roman"/>
          <w:color w:val="212529"/>
          <w:sz w:val="20"/>
        </w:rPr>
        <w:t xml:space="preserve"> Notes</w:t>
      </w:r>
      <w:r>
        <w:rPr>
          <w:rFonts w:ascii="Times New Roman" w:hAnsi="Times New Roman"/>
          <w:color w:val="000000"/>
          <w:sz w:val="20"/>
        </w:rPr>
        <w:t xml:space="preserve">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w:t>
      </w:r>
      <w:r>
        <w:rPr>
          <w:rFonts w:ascii="Times New Roman" w:hAnsi="Times New Roman"/>
          <w:color w:val="212529"/>
          <w:sz w:val="20"/>
        </w:rPr>
        <w:t xml:space="preserve"> Notes</w:t>
      </w:r>
      <w:r>
        <w:rPr>
          <w:rFonts w:ascii="Times New Roman" w:hAnsi="Times New Roman"/>
          <w:color w:val="000000"/>
          <w:sz w:val="20"/>
        </w:rPr>
        <w:t>, which is recorded in other comprehensive income (loss), if applicable. Measurement of the change in fair value of the FVO</w:t>
      </w:r>
      <w:r>
        <w:rPr>
          <w:rFonts w:ascii="Times New Roman" w:hAnsi="Times New Roman"/>
          <w:color w:val="212529"/>
          <w:sz w:val="20"/>
        </w:rPr>
        <w:t xml:space="preserve"> Notes</w:t>
      </w:r>
      <w:r>
        <w:rPr>
          <w:rFonts w:ascii="Times New Roman" w:hAnsi="Times New Roman"/>
          <w:color w:val="000000"/>
          <w:sz w:val="20"/>
        </w:rPr>
        <w:t xml:space="preserve"> includes accrued interest, whether paid-in-kind or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interest on the FVO Notes is included in the respective debt instrument's balance on the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Accounting Standards Update (“ASU”) ASU No. 2024-03, </w:t>
      </w:r>
      <w:r>
        <w:rPr>
          <w:rFonts w:ascii="Times New Roman" w:hAnsi="Times New Roman"/>
          <w:i/>
          <w:color w:val="000000"/>
          <w:sz w:val="20"/>
        </w:rPr>
        <w:t>Disaggregation of Income Statement Expenses (Subtopic 220-40)</w:t>
      </w:r>
      <w:r>
        <w:rPr>
          <w:rFonts w:ascii="Times New Roman" w:hAnsi="Times New Roman"/>
          <w:color w:val="000000"/>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which provides a practical expedient to measure credit losses on accounts receivable and contract assets. This guidance is effective for periods beginning after December 15, 2025 and will be adopted prospectively. Early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adoption is permitted. The adoption of this guidance did not have a material impact on our condensed consolidated financial statements and related disclosures.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Acquisitions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Vidello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 million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the holdback amount, this consists of three distinct components, being (1) the withholding of $1.0 million,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Parabolic, including, but not limited to (a) the transition of data of Vidello managed and/or held by Vidello to Parabolic, (b) certain services relating to the continued operations of Vidello, and (c) the training of certain employees of Parabolic regarding the operations of Vidello including any proprietary business processes and trade secrets following the Closing, during the six months following the Closing (the “Transition Holdback Period”), and (3) the withholding of $1.0 million subject to certain revenue related conditions being met during the 180 day period following the Closing (the “Revenue Holdback Amount” and together with the Indemnification Holdback Amount and the Transition Holdback Amount, the “Holdback Amount”).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2025, the Company incurred transaction costs of approximately $730 which are included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Vidello Merger was accounted for as a business combination under the acquisition method pursuant to FASB ASC 805, </w:t>
      </w:r>
      <w:r>
        <w:rPr>
          <w:rFonts w:ascii="Times New Roman" w:hAnsi="Times New Roman"/>
          <w:i/>
          <w:color w:val="000000"/>
          <w:sz w:val="20"/>
        </w:rPr>
        <w:t>Business Combinations</w:t>
      </w:r>
      <w:r>
        <w:rPr>
          <w:rFonts w:ascii="Times New Roman" w:hAnsi="Times New Roman"/>
          <w:color w:val="000000"/>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5005" w:type="dxa"/>
        <w:jc w:val="left"/>
        <w:tblInd w:w="0" w:type="dxa"/>
        <w:tblLayout w:type="fixed"/>
        <w:tblCellMar>
          <w:top w:w="28" w:type="dxa"/>
          <w:left w:w="28" w:type="dxa"/>
          <w:bottom w:w="28" w:type="dxa"/>
          <w:right w:w="28" w:type="dxa"/>
        </w:tblCellMar>
      </w:tblPr>
      <w:tblGrid>
        <w:gridCol w:w="3886"/>
        <w:gridCol w:w="146"/>
        <w:gridCol w:w="211"/>
        <w:gridCol w:w="57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at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to Vidello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Holdback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allocated the purchase price of the Vidello Merger to the assets acquired and liabilities assumed as of the acquisition date, as follows:</w:t>
      </w:r>
    </w:p>
    <w:p>
      <w:pPr>
        <w:pStyle w:val="TextBody"/>
        <w:bidi w:val="0"/>
        <w:jc w:val="left"/>
        <w:rPr/>
      </w:pPr>
      <w:r>
        <w:rPr/>
        <w:t> </w:t>
      </w:r>
    </w:p>
    <w:tbl>
      <w:tblPr>
        <w:tblW w:w="4945" w:type="dxa"/>
        <w:jc w:val="left"/>
        <w:tblInd w:w="0" w:type="dxa"/>
        <w:tblLayout w:type="fixed"/>
        <w:tblCellMar>
          <w:top w:w="28" w:type="dxa"/>
          <w:left w:w="28" w:type="dxa"/>
          <w:bottom w:w="28" w:type="dxa"/>
          <w:right w:w="28" w:type="dxa"/>
        </w:tblCellMar>
      </w:tblPr>
      <w:tblGrid>
        <w:gridCol w:w="3826"/>
        <w:gridCol w:w="146"/>
        <w:gridCol w:w="211"/>
        <w:gridCol w:w="57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recognized is not expected to be deductible for tax purposes. We believe that in this acquisition goodwill represents the value of Vidello's existing products, combined with the added business synergies of integrating with the existing Parabolic products and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intangible assets acquired are subject to amortization and their associated estimated useful lives are as follows:</w:t>
      </w:r>
    </w:p>
    <w:p>
      <w:pPr>
        <w:pStyle w:val="TextBody"/>
        <w:bidi w:val="0"/>
        <w:jc w:val="left"/>
        <w:rPr/>
      </w:pPr>
      <w:r>
        <w:rPr/>
        <w:t> </w:t>
      </w:r>
    </w:p>
    <w:tbl>
      <w:tblPr>
        <w:tblW w:w="3208" w:type="dxa"/>
        <w:jc w:val="left"/>
        <w:tblInd w:w="0" w:type="dxa"/>
        <w:tblLayout w:type="fixed"/>
        <w:tblCellMar>
          <w:top w:w="28" w:type="dxa"/>
          <w:left w:w="28" w:type="dxa"/>
          <w:bottom w:w="28" w:type="dxa"/>
          <w:right w:w="28" w:type="dxa"/>
        </w:tblCellMar>
      </w:tblPr>
      <w:tblGrid>
        <w:gridCol w:w="1996"/>
        <w:gridCol w:w="146"/>
        <w:gridCol w:w="106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7 - 8 years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in the unaudited condensed consolidated statements of operations for the three and six months ended June 30, 2025 includes net income of approximately $163 and $484, respectively, of Vidello from the date of acquisition to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 forma disclosure for the Vidello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 forma financial information is not necessarily indicative of the results of operations as they would have been had the transactions been effected on the assumed date:</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5191"/>
        <w:gridCol w:w="291"/>
        <w:gridCol w:w="1016"/>
        <w:gridCol w:w="229"/>
        <w:gridCol w:w="201"/>
        <w:gridCol w:w="291"/>
        <w:gridCol w:w="1016"/>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attributable to common stockholders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 Restructuring Agreement with CP BF</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September 5, 2024, the Company and CP BF agreed to amend the outstanding balance of all debt previously in the form of one term note and two convertible notes into one consolidated convertible note. The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consolidated convertible note. See </w:t>
      </w:r>
      <w:r>
        <w:rPr>
          <w:rFonts w:ascii="Times New Roman" w:hAnsi="Times New Roman"/>
          <w:i/>
          <w:color w:val="000000"/>
          <w:sz w:val="20"/>
        </w:rPr>
        <w:t>Note 11 – Debt</w:t>
      </w:r>
      <w:r>
        <w:rPr>
          <w:rFonts w:ascii="Times New Roman" w:hAnsi="Times New Roman"/>
          <w:color w:val="000000"/>
          <w:sz w:val="20"/>
        </w:rPr>
        <w:t>, for further details related to the transaction and associated balances.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is generated through the Company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we generally have net 30-day payment terms with the payment made directly through check or electronic means. Management believes its exposure to credit risk is sufficiently mitigated by collection through credit card sales or direct payment from established clients.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At contract inception, once the contract is determined to be within the scope of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 </w:t>
      </w:r>
    </w:p>
    <w:p>
      <w:pPr>
        <w:pStyle w:val="TextBody"/>
        <w:bidi w:val="0"/>
        <w:spacing w:before="200" w:after="283"/>
        <w:jc w:val="both"/>
        <w:rPr/>
      </w:pPr>
      <w:r>
        <w:rPr/>
        <w:t> </w:t>
      </w:r>
    </w:p>
    <w:tbl>
      <w:tblPr>
        <w:tblW w:w="7228" w:type="dxa"/>
        <w:jc w:val="left"/>
        <w:tblInd w:w="0" w:type="dxa"/>
        <w:tblLayout w:type="fixed"/>
        <w:tblCellMar>
          <w:top w:w="28" w:type="dxa"/>
          <w:left w:w="28" w:type="dxa"/>
          <w:bottom w:w="28" w:type="dxa"/>
          <w:right w:w="28" w:type="dxa"/>
        </w:tblCellMar>
      </w:tblPr>
      <w:tblGrid>
        <w:gridCol w:w="271"/>
        <w:gridCol w:w="146"/>
        <w:gridCol w:w="681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contract(s) with a customer;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the performance obligation(s) in the contract;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determine the transaction price;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allocate the transaction price to the performance obligation(s) in the contract; and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recognize revenues when (or as) the Company satisfies a performance obligation.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revenue in an amount that reflects the consideration to which it expects to be entitled in exchange for the transfer of promised services to its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is recognized when a performance obligation is satisfied by transferring control of the service to the customer, which occurs over time. The Company considers this method a faithful depiction of the transfer of control as services are substantially the same and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have the same pattern of transfer over the life of the contract. Sales, value add, and other taxes collected on behalf of third parties are excluded from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Nature of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Demio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Reach product is in the process of being phased out, the Company continues to generate revenues from the product. The Reach product provides a multi-channel targeted audience acquisition (via Reach) to bolster engagement and Return on Investment (ROI). Reach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OpenReel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Vidello</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Service Trade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one customer for which the customer is also a vendor. For this one customer, the Company exchanged services for approximately $62 and $177, during the six months ended June 30, 2026 and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periods presented:</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3217"/>
        <w:gridCol w:w="146"/>
        <w:gridCol w:w="211"/>
        <w:gridCol w:w="571"/>
        <w:gridCol w:w="146"/>
        <w:gridCol w:w="146"/>
        <w:gridCol w:w="482"/>
        <w:gridCol w:w="1397"/>
        <w:gridCol w:w="271"/>
        <w:gridCol w:w="146"/>
        <w:gridCol w:w="211"/>
        <w:gridCol w:w="571"/>
        <w:gridCol w:w="146"/>
        <w:gridCol w:w="146"/>
        <w:gridCol w:w="482"/>
        <w:gridCol w:w="1397"/>
        <w:gridCol w:w="519"/>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
        <w:jc w:val="both"/>
        <w:rPr/>
      </w:pPr>
      <w:r>
        <w:rPr/>
        <w:t> </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3217"/>
        <w:gridCol w:w="146"/>
        <w:gridCol w:w="211"/>
        <w:gridCol w:w="571"/>
        <w:gridCol w:w="146"/>
        <w:gridCol w:w="146"/>
        <w:gridCol w:w="482"/>
        <w:gridCol w:w="1397"/>
        <w:gridCol w:w="271"/>
        <w:gridCol w:w="146"/>
        <w:gridCol w:w="211"/>
        <w:gridCol w:w="571"/>
        <w:gridCol w:w="146"/>
        <w:gridCol w:w="146"/>
        <w:gridCol w:w="482"/>
        <w:gridCol w:w="1397"/>
        <w:gridCol w:w="519"/>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accounts receivable, net as of the dates presented:</w:t>
      </w:r>
    </w:p>
    <w:p>
      <w:pPr>
        <w:pStyle w:val="TextBody"/>
        <w:bidi w:val="0"/>
        <w:jc w:val="both"/>
        <w:rPr/>
      </w:pPr>
      <w:r>
        <w:rPr/>
        <w:t> </w:t>
      </w:r>
    </w:p>
    <w:tbl>
      <w:tblPr>
        <w:tblW w:w="3455" w:type="dxa"/>
        <w:jc w:val="left"/>
        <w:tblInd w:w="0" w:type="dxa"/>
        <w:tblLayout w:type="fixed"/>
        <w:tblCellMar>
          <w:top w:w="28" w:type="dxa"/>
          <w:left w:w="28" w:type="dxa"/>
          <w:bottom w:w="28" w:type="dxa"/>
          <w:right w:w="28" w:type="dxa"/>
        </w:tblCellMar>
      </w:tblPr>
      <w:tblGrid>
        <w:gridCol w:w="2551"/>
        <w:gridCol w:w="146"/>
        <w:gridCol w:w="146"/>
        <w:gridCol w:w="42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Costs to Obtain a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activity related to costs to obtain a contract during the periods presented:</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tbl>
      <w:tblPr>
        <w:tblW w:w="4280" w:type="dxa"/>
        <w:jc w:val="left"/>
        <w:tblInd w:w="0" w:type="dxa"/>
        <w:tblLayout w:type="fixed"/>
        <w:tblCellMar>
          <w:top w:w="28" w:type="dxa"/>
          <w:left w:w="28" w:type="dxa"/>
          <w:bottom w:w="28" w:type="dxa"/>
          <w:right w:w="28" w:type="dxa"/>
        </w:tblCellMar>
      </w:tblPr>
      <w:tblGrid>
        <w:gridCol w:w="3051"/>
        <w:gridCol w:w="146"/>
        <w:gridCol w:w="211"/>
        <w:gridCol w:w="481"/>
        <w:gridCol w:w="391"/>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six months ended June 30, 2026 and the year ended December 31, 2025, the Company recognized $2,914 and $3,868 in revenue that was included in the prior year deferred revenue balance,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 in total deferred revenue was as follows for the periods indicated:</w:t>
      </w:r>
    </w:p>
    <w:p>
      <w:pPr>
        <w:pStyle w:val="TextBody"/>
        <w:bidi w:val="0"/>
        <w:jc w:val="left"/>
        <w:rPr/>
      </w:pPr>
      <w:r>
        <w:rPr/>
        <w:t> </w:t>
      </w:r>
    </w:p>
    <w:tbl>
      <w:tblPr>
        <w:tblW w:w="9600" w:type="dxa"/>
        <w:jc w:val="left"/>
        <w:tblInd w:w="0" w:type="dxa"/>
        <w:tblLayout w:type="fixed"/>
        <w:tblCellMar>
          <w:top w:w="28" w:type="dxa"/>
          <w:left w:w="28" w:type="dxa"/>
          <w:bottom w:w="28" w:type="dxa"/>
          <w:right w:w="28" w:type="dxa"/>
        </w:tblCellMar>
      </w:tblPr>
      <w:tblGrid>
        <w:gridCol w:w="5471"/>
        <w:gridCol w:w="146"/>
        <w:gridCol w:w="409"/>
        <w:gridCol w:w="1226"/>
        <w:gridCol w:w="166"/>
        <w:gridCol w:w="146"/>
        <w:gridCol w:w="432"/>
        <w:gridCol w:w="1293"/>
        <w:gridCol w:w="311"/>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(prior year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(current year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deferred revenue of Vidello (see Note 4 –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measurements discussed herein are based upon certain market assumptions and pertinent information available to management as of and during the periods ended June 30, 2026 and the year ended December 31, 2025. The carrying amount of accounts payable approximated fair value as they are short term in nature.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on a Recurring Basis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the guidance in FASB ASC 820, </w:t>
      </w:r>
      <w:r>
        <w:rPr>
          <w:rFonts w:ascii="Times New Roman" w:hAnsi="Times New Roman"/>
          <w:i/>
          <w:color w:val="000000"/>
          <w:sz w:val="20"/>
        </w:rPr>
        <w:t>Fair Value Measurement</w:t>
      </w:r>
      <w:r>
        <w:rPr>
          <w:rFonts w:ascii="Times New Roman" w:hAnsi="Times New Roman"/>
          <w:color w:val="000000"/>
          <w:sz w:val="20"/>
        </w:rPr>
        <w:t xml:space="preserve"> for its financial assets and liabilities that are re-measured and reported at fair value at each reporting period, and non-financial assets and liabilities that are re-measured and reported at fair value at least annually.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instruments that are measured at fair value on a recurring basis at June 30, 2026 and December 31, 2025, and indicates the fair value hierarchy of the valuation inputs the Company utilized to determine such fair value: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8922" w:type="dxa"/>
        <w:jc w:val="left"/>
        <w:tblInd w:w="0" w:type="dxa"/>
        <w:tblLayout w:type="fixed"/>
        <w:tblCellMar>
          <w:top w:w="28" w:type="dxa"/>
          <w:left w:w="28" w:type="dxa"/>
          <w:bottom w:w="28" w:type="dxa"/>
          <w:right w:w="28" w:type="dxa"/>
        </w:tblCellMar>
      </w:tblPr>
      <w:tblGrid>
        <w:gridCol w:w="4851"/>
        <w:gridCol w:w="146"/>
        <w:gridCol w:w="586"/>
        <w:gridCol w:w="146"/>
        <w:gridCol w:w="1276"/>
        <w:gridCol w:w="146"/>
        <w:gridCol w:w="177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Definite-lived intangibles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8,027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GEM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Earnout liability (</w:t>
            </w:r>
            <w:r>
              <w:rPr>
                <w:rFonts w:ascii="Times New Roman" w:hAnsi="Times New Roman"/>
                <w:i/>
                <w:color w:val="000000"/>
                <w:sz w:val="20"/>
              </w:rPr>
              <w:t>Note 4</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991</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Yorkville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1,200</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1,728</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1,856</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296</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Boot Capital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TVT Capital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For assets and liabilities that are measured at fair value on the acquisition date, see </w:t>
      </w:r>
      <w:r>
        <w:rPr>
          <w:rFonts w:ascii="Times New Roman" w:hAnsi="Times New Roman"/>
          <w:i/>
          <w:color w:val="000000"/>
          <w:sz w:val="20"/>
        </w:rPr>
        <w:t>Note 4 – Acquisitions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Public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following table summarizes the changes in the fair value of the Public Warrants liability for the six months ended June 30, 2026. See also </w:t>
      </w:r>
      <w:r>
        <w:rPr>
          <w:rFonts w:ascii="Times New Roman" w:hAnsi="Times New Roman"/>
          <w:i/>
          <w:color w:val="000000"/>
          <w:sz w:val="20"/>
        </w:rPr>
        <w:t>Note 12 – Warrant Liabilities.</w:t>
      </w:r>
    </w:p>
    <w:p>
      <w:pPr>
        <w:pStyle w:val="TextBody"/>
        <w:bidi w:val="0"/>
        <w:jc w:val="both"/>
        <w:rPr/>
      </w:pPr>
      <w:r>
        <w:rPr/>
        <w:t> </w:t>
      </w:r>
    </w:p>
    <w:tbl>
      <w:tblPr>
        <w:tblW w:w="4448" w:type="dxa"/>
        <w:jc w:val="left"/>
        <w:tblInd w:w="0" w:type="dxa"/>
        <w:tblLayout w:type="fixed"/>
        <w:tblCellMar>
          <w:top w:w="28" w:type="dxa"/>
          <w:left w:w="28" w:type="dxa"/>
          <w:bottom w:w="28" w:type="dxa"/>
          <w:right w:w="28" w:type="dxa"/>
        </w:tblCellMar>
      </w:tblPr>
      <w:tblGrid>
        <w:gridCol w:w="2596"/>
        <w:gridCol w:w="146"/>
        <w:gridCol w:w="573"/>
        <w:gridCol w:w="942"/>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Public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GEM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hAnsi="Times New Roman"/>
          <w:i/>
          <w:color w:val="000000"/>
          <w:sz w:val="20"/>
        </w:rPr>
        <w:t>Note 12 – 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GEM Warrants liability for the six months ended June 30, 2026:</w:t>
      </w:r>
    </w:p>
    <w:p>
      <w:pPr>
        <w:pStyle w:val="TextBody"/>
        <w:bidi w:val="0"/>
        <w:jc w:val="both"/>
        <w:rPr/>
      </w:pPr>
      <w:r>
        <w:rPr/>
        <w:t> </w:t>
      </w:r>
    </w:p>
    <w:tbl>
      <w:tblPr>
        <w:tblW w:w="4373" w:type="dxa"/>
        <w:jc w:val="left"/>
        <w:tblInd w:w="0" w:type="dxa"/>
        <w:tblLayout w:type="fixed"/>
        <w:tblCellMar>
          <w:top w:w="28" w:type="dxa"/>
          <w:left w:w="28" w:type="dxa"/>
          <w:bottom w:w="28" w:type="dxa"/>
          <w:right w:w="28" w:type="dxa"/>
        </w:tblCellMar>
      </w:tblPr>
      <w:tblGrid>
        <w:gridCol w:w="2596"/>
        <w:gridCol w:w="146"/>
        <w:gridCol w:w="544"/>
        <w:gridCol w:w="89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GEM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hAnsi="Times New Roman"/>
          <w:i/>
          <w:color w:val="000000"/>
          <w:sz w:val="20"/>
        </w:rPr>
        <w:t>Note 11 – Debt</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Yorkville convertible notes for the six months ended June 30, 2026:</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6913" w:type="dxa"/>
        <w:jc w:val="left"/>
        <w:tblInd w:w="0" w:type="dxa"/>
        <w:tblLayout w:type="fixed"/>
        <w:tblCellMar>
          <w:top w:w="28" w:type="dxa"/>
          <w:left w:w="28" w:type="dxa"/>
          <w:bottom w:w="28" w:type="dxa"/>
          <w:right w:w="28" w:type="dxa"/>
        </w:tblCellMar>
      </w:tblPr>
      <w:tblGrid>
        <w:gridCol w:w="4156"/>
        <w:gridCol w:w="146"/>
        <w:gridCol w:w="600"/>
        <w:gridCol w:w="1800"/>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Yorkville Convertible Note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in cash of Yorkville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Bifurcated Embedded Derivative Assets (Liabilities)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Derivative asset (liability) for the six months ended June 30, 2026, relating to the Convertible Note to CP BF issued on September 23, 2024:</w:t>
      </w:r>
    </w:p>
    <w:p>
      <w:pPr>
        <w:pStyle w:val="TextBody"/>
        <w:bidi w:val="0"/>
        <w:jc w:val="both"/>
        <w:rPr/>
      </w:pPr>
      <w:r>
        <w:rPr/>
        <w:t> </w:t>
      </w:r>
    </w:p>
    <w:tbl>
      <w:tblPr>
        <w:tblW w:w="9763" w:type="dxa"/>
        <w:jc w:val="left"/>
        <w:tblInd w:w="0" w:type="dxa"/>
        <w:tblLayout w:type="fixed"/>
        <w:tblCellMar>
          <w:top w:w="28" w:type="dxa"/>
          <w:left w:w="28" w:type="dxa"/>
          <w:bottom w:w="28" w:type="dxa"/>
          <w:right w:w="28" w:type="dxa"/>
        </w:tblCellMar>
      </w:tblPr>
      <w:tblGrid>
        <w:gridCol w:w="7006"/>
        <w:gridCol w:w="146"/>
        <w:gridCol w:w="861"/>
        <w:gridCol w:w="1539"/>
        <w:gridCol w:w="211"/>
      </w:tblGrid>
      <w:tr>
        <w:trPr/>
        <w:tc>
          <w:tcPr>
            <w:tcW w:w="7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Derivative Asset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2025 - Bifurcated embedded derivative asset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2026 - Bifurcated embedded derivative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hAnsi="Times New Roman"/>
          <w:i/>
          <w:color w:val="000000"/>
          <w:sz w:val="20"/>
        </w:rPr>
        <w:t>Financial Instruments</w:t>
      </w:r>
      <w:r>
        <w:rPr>
          <w:rFonts w:ascii="Times New Roman" w:hAnsi="Times New Roman"/>
          <w:color w:val="000000"/>
          <w:sz w:val="20"/>
        </w:rPr>
        <w:t xml:space="preserve"> (“ASC 825”).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Agile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1800 Diagonal Convertible Notes.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3i, LP Private Placement Offering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measurement of the fair value of the Private Placement Convertible Notes was determined using a Monte Carlo simulation. Key inputs into the simulation include the remaining term, the market interest rate, risk-free rate, equity volatility, and probability of default.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Private Placement Convertible Notes, and to </w:t>
      </w:r>
      <w:r>
        <w:rPr>
          <w:rFonts w:ascii="Times New Roman" w:hAnsi="Times New Roman"/>
          <w:i/>
          <w:color w:val="000000"/>
          <w:sz w:val="20"/>
        </w:rPr>
        <w:t>Note 12 – Warrant Liabilities</w:t>
      </w:r>
      <w:r>
        <w:rPr>
          <w:rFonts w:ascii="Times New Roman" w:hAnsi="Times New Roman"/>
          <w:color w:val="000000"/>
          <w:sz w:val="20"/>
        </w:rPr>
        <w:t xml:space="preserve"> for a description of the warrants issued in connection with the Private Placement Offering.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Private Placement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hAnsi="Times New Roman"/>
          <w:i/>
          <w:color w:val="000000"/>
          <w:sz w:val="20"/>
        </w:rPr>
        <w:t>Note 12 – Warrant Liabilities</w:t>
      </w:r>
      <w:r>
        <w:rPr>
          <w:rFonts w:ascii="Times New Roman" w:hAnsi="Times New Roman"/>
          <w:color w:val="000000"/>
          <w:sz w:val="20"/>
        </w:rPr>
        <w:t xml:space="preserve"> for further details.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measurement of fair value was determined utilizing a Monte Carlo simulation considering all relevant assumptions current at the date of issuance, including share price, term, risk-free rate, exercise price and dividend yield.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summarize the ranges of inputs to and the changes in the fair value of the Private Placement Warrant liability for the six months ended June 30, 2026:</w:t>
      </w:r>
    </w:p>
    <w:p>
      <w:pPr>
        <w:pStyle w:val="TextBody"/>
        <w:bidi w:val="0"/>
        <w:jc w:val="both"/>
        <w:rPr/>
      </w:pPr>
      <w:r>
        <w:rPr/>
        <w:t> </w:t>
      </w:r>
    </w:p>
    <w:tbl>
      <w:tblPr>
        <w:tblW w:w="4048" w:type="dxa"/>
        <w:jc w:val="left"/>
        <w:tblInd w:w="0" w:type="dxa"/>
        <w:tblLayout w:type="fixed"/>
        <w:tblCellMar>
          <w:top w:w="28" w:type="dxa"/>
          <w:left w:w="28" w:type="dxa"/>
          <w:bottom w:w="28" w:type="dxa"/>
          <w:right w:w="28" w:type="dxa"/>
        </w:tblCellMar>
      </w:tblPr>
      <w:tblGrid>
        <w:gridCol w:w="2071"/>
        <w:gridCol w:w="146"/>
        <w:gridCol w:w="471"/>
        <w:gridCol w:w="1044"/>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2.00 - 4.62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 - 4.14%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 - 134.4%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5963" w:type="dxa"/>
        <w:jc w:val="left"/>
        <w:tblInd w:w="0" w:type="dxa"/>
        <w:tblLayout w:type="fixed"/>
        <w:tblCellMar>
          <w:top w:w="28" w:type="dxa"/>
          <w:left w:w="28" w:type="dxa"/>
          <w:bottom w:w="28" w:type="dxa"/>
          <w:right w:w="28" w:type="dxa"/>
        </w:tblCellMar>
      </w:tblPr>
      <w:tblGrid>
        <w:gridCol w:w="3091"/>
        <w:gridCol w:w="146"/>
        <w:gridCol w:w="683"/>
        <w:gridCol w:w="185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 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consisted of the following at the dates indicated:</w:t>
      </w:r>
    </w:p>
    <w:p>
      <w:pPr>
        <w:pStyle w:val="TextBody"/>
        <w:bidi w:val="0"/>
        <w:jc w:val="both"/>
        <w:rPr/>
      </w:pPr>
      <w:r>
        <w:rPr/>
        <w:t> </w:t>
      </w:r>
    </w:p>
    <w:tbl>
      <w:tblPr>
        <w:tblW w:w="7660" w:type="dxa"/>
        <w:jc w:val="left"/>
        <w:tblInd w:w="0" w:type="dxa"/>
        <w:tblLayout w:type="fixed"/>
        <w:tblCellMar>
          <w:top w:w="28" w:type="dxa"/>
          <w:left w:w="28" w:type="dxa"/>
          <w:bottom w:w="28" w:type="dxa"/>
          <w:right w:w="28" w:type="dxa"/>
        </w:tblCellMar>
      </w:tblPr>
      <w:tblGrid>
        <w:gridCol w:w="3931"/>
        <w:gridCol w:w="146"/>
        <w:gridCol w:w="426"/>
        <w:gridCol w:w="849"/>
        <w:gridCol w:w="146"/>
        <w:gridCol w:w="146"/>
        <w:gridCol w:w="574"/>
        <w:gridCol w:w="1151"/>
        <w:gridCol w:w="2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merchant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Goodwill and Intangible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goodwill by reportable segment as of and for the six months ended June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8748" w:type="dxa"/>
        <w:jc w:val="left"/>
        <w:tblInd w:w="0" w:type="dxa"/>
        <w:tblLayout w:type="fixed"/>
        <w:tblCellMar>
          <w:top w:w="28" w:type="dxa"/>
          <w:left w:w="28" w:type="dxa"/>
          <w:bottom w:w="28" w:type="dxa"/>
          <w:right w:w="28" w:type="dxa"/>
        </w:tblCellMar>
      </w:tblPr>
      <w:tblGrid>
        <w:gridCol w:w="2656"/>
        <w:gridCol w:w="146"/>
        <w:gridCol w:w="525"/>
        <w:gridCol w:w="1425"/>
        <w:gridCol w:w="146"/>
        <w:gridCol w:w="146"/>
        <w:gridCol w:w="211"/>
        <w:gridCol w:w="571"/>
        <w:gridCol w:w="146"/>
        <w:gridCol w:w="146"/>
        <w:gridCol w:w="221"/>
        <w:gridCol w:w="710"/>
        <w:gridCol w:w="146"/>
        <w:gridCol w:w="146"/>
        <w:gridCol w:w="289"/>
        <w:gridCol w:w="927"/>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 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jc w:val="both"/>
        <w:rPr>
          <w:rFonts w:ascii="Times New Roman" w:hAnsi="Times New Roman"/>
          <w:color w:val="212529"/>
          <w:sz w:val="20"/>
        </w:rPr>
      </w:pPr>
      <w:r>
        <w:rPr>
          <w:rFonts w:ascii="Times New Roman" w:hAnsi="Times New Roman"/>
          <w:color w:val="212529"/>
          <w:sz w:val="20"/>
        </w:rPr>
        <w:t>Intangible assets subject to amortization consist of the following:</w:t>
      </w:r>
    </w:p>
    <w:p>
      <w:pPr>
        <w:pStyle w:val="TextBody"/>
        <w:bidi w:val="0"/>
        <w:jc w:val="left"/>
        <w:rPr/>
      </w:pPr>
      <w:r>
        <w:rPr/>
        <w:t> </w:t>
      </w:r>
    </w:p>
    <w:tbl>
      <w:tblPr>
        <w:tblW w:w="6989" w:type="dxa"/>
        <w:jc w:val="left"/>
        <w:tblInd w:w="0" w:type="dxa"/>
        <w:tblLayout w:type="fixed"/>
        <w:tblCellMar>
          <w:top w:w="28" w:type="dxa"/>
          <w:left w:w="28" w:type="dxa"/>
          <w:bottom w:w="28" w:type="dxa"/>
          <w:right w:w="28" w:type="dxa"/>
        </w:tblCellMar>
      </w:tblPr>
      <w:tblGrid>
        <w:gridCol w:w="2746"/>
        <w:gridCol w:w="146"/>
        <w:gridCol w:w="2611"/>
        <w:gridCol w:w="319"/>
        <w:gridCol w:w="956"/>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Life (years):</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10 - 15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6 - 8</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Total amortization expense related to intangible assets was $607 for the six months ended June 30, 2026. Expected amortization expense is as follows:</w:t>
      </w:r>
    </w:p>
    <w:p>
      <w:pPr>
        <w:pStyle w:val="TextBody"/>
        <w:bidi w:val="0"/>
        <w:jc w:val="left"/>
        <w:rPr/>
      </w:pPr>
      <w:r>
        <w:rPr/>
        <w:t> </w:t>
      </w:r>
    </w:p>
    <w:tbl>
      <w:tblPr>
        <w:tblW w:w="2946" w:type="dxa"/>
        <w:jc w:val="left"/>
        <w:tblInd w:w="0" w:type="dxa"/>
        <w:tblLayout w:type="fixed"/>
        <w:tblCellMar>
          <w:top w:w="28" w:type="dxa"/>
          <w:left w:w="28" w:type="dxa"/>
          <w:bottom w:w="28" w:type="dxa"/>
          <w:right w:w="28" w:type="dxa"/>
        </w:tblCellMar>
      </w:tblPr>
      <w:tblGrid>
        <w:gridCol w:w="1681"/>
        <w:gridCol w:w="146"/>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Accrued and Other Current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at the dates indicated:</w:t>
      </w:r>
    </w:p>
    <w:p>
      <w:pPr>
        <w:pStyle w:val="TextBody"/>
        <w:bidi w:val="0"/>
        <w:jc w:val="both"/>
        <w:rPr/>
      </w:pPr>
      <w:r>
        <w:rPr/>
        <w:t> </w:t>
      </w:r>
    </w:p>
    <w:tbl>
      <w:tblPr>
        <w:tblW w:w="8105" w:type="dxa"/>
        <w:jc w:val="left"/>
        <w:tblInd w:w="0" w:type="dxa"/>
        <w:tblLayout w:type="fixed"/>
        <w:tblCellMar>
          <w:top w:w="28" w:type="dxa"/>
          <w:left w:w="28" w:type="dxa"/>
          <w:bottom w:w="28" w:type="dxa"/>
          <w:right w:w="28" w:type="dxa"/>
        </w:tblCellMar>
      </w:tblPr>
      <w:tblGrid>
        <w:gridCol w:w="4376"/>
        <w:gridCol w:w="146"/>
        <w:gridCol w:w="344"/>
        <w:gridCol w:w="931"/>
        <w:gridCol w:w="146"/>
        <w:gridCol w:w="146"/>
        <w:gridCol w:w="465"/>
        <w:gridCol w:w="1260"/>
        <w:gridCol w:w="2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accounting and professional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Excise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benefit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subscription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streaming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Debt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Promissory Note - GEM</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Parabolic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hAnsi="Times New Roman"/>
          <w:i/>
          <w:color w:val="000000"/>
          <w:sz w:val="20"/>
        </w:rPr>
        <w:t>Note 14 – Equity</w:t>
      </w:r>
      <w:r>
        <w:rPr>
          <w:rFonts w:ascii="Times New Roman" w:hAnsi="Times New Roman"/>
          <w:color w:val="000000"/>
          <w:sz w:val="20"/>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Yorkville Promissory Notes have a maturity date (as modified by the Floor Price Reduction Agreement) of January 17, 2025, and accrue interest at 0% per annum, subject to an increase to 18% per annum upon events of default as defined in the agreement. As of June 30, 2026, no events of default have occurred. </w:t>
      </w:r>
    </w:p>
    <w:p>
      <w:pPr>
        <w:pStyle w:val="TextBody"/>
        <w:bidi w:val="0"/>
        <w:jc w:val="both"/>
        <w:rPr>
          <w:rFonts w:ascii="Times New Roman" w:hAnsi="Times New Roman"/>
          <w:sz w:val="20"/>
        </w:rPr>
      </w:pPr>
      <w:r>
        <w:rPr>
          <w:rFonts w:ascii="Times New Roman" w:hAnsi="Times New Roman"/>
          <w:color w:val="000000"/>
          <w:sz w:val="20"/>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January 2024, the Company’s stock price fell below the then in effect Floor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245 Class A Common stock of the Company. During the year ended December 31, 2024, the full outstanding principal amount of $750 under the March Yorkville Promissory Note was converted into 750 shares of Class A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30, 2025 (the “Issuance Date”), in connection with and pursuant to the terms of the SEPA (refer to </w:t>
      </w:r>
      <w:r>
        <w:rPr>
          <w:rFonts w:ascii="Times New Roman" w:hAnsi="Times New Roman"/>
          <w:i/>
          <w:color w:val="000000"/>
          <w:sz w:val="20"/>
        </w:rPr>
        <w:t>Note 14 – Equity</w:t>
      </w:r>
      <w:r>
        <w:rPr>
          <w:rFonts w:ascii="Times New Roman" w:hAnsi="Times New Roman"/>
          <w:color w:val="000000"/>
          <w:sz w:val="20"/>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 </w:t>
      </w:r>
    </w:p>
    <w:p>
      <w:pPr>
        <w:pStyle w:val="TextBody"/>
        <w:bidi w:val="0"/>
        <w:jc w:val="both"/>
        <w:rPr>
          <w:rFonts w:ascii="Times New Roman" w:hAnsi="Times New Roman"/>
          <w:sz w:val="20"/>
        </w:rPr>
      </w:pPr>
      <w:r>
        <w:rPr>
          <w:rFonts w:ascii="Times New Roman" w:hAnsi="Times New Roman"/>
          <w:color w:val="000000"/>
          <w:sz w:val="20"/>
        </w:rPr>
        <w:t>The January 2025 Yorkville Note had a maturity date of July 31, 2025, but may be extended at the option of the Company. Beginning on the 30</w:t>
      </w:r>
      <w:r>
        <w:rPr>
          <w:rFonts w:ascii="Times New Roman" w:hAnsi="Times New Roman"/>
          <w:color w:val="000000"/>
          <w:sz w:val="11"/>
        </w:rPr>
        <w:t>th</w:t>
      </w:r>
      <w:r>
        <w:rPr>
          <w:rFonts w:ascii="Times New Roman" w:hAnsi="Times New Roman"/>
          <w:color w:val="000000"/>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(“Advance #2”).</w:t>
      </w:r>
    </w:p>
    <w:p>
      <w:pPr>
        <w:pStyle w:val="TextBody"/>
        <w:bidi w:val="0"/>
        <w:jc w:val="both"/>
        <w:rPr>
          <w:rFonts w:ascii="Times New Roman" w:hAnsi="Times New Roman"/>
          <w:sz w:val="20"/>
        </w:rPr>
      </w:pPr>
      <w:r>
        <w:rPr>
          <w:rFonts w:ascii="Times New Roman" w:hAnsi="Times New Roman"/>
          <w:color w:val="000000"/>
          <w:sz w:val="20"/>
        </w:rPr>
        <w:t>The September 2025 Yorkville Note was issued on September 16, 2025 and the maturity date of the September 2025 Yorkville Note is March 16, 2026, but may be extended at the option of the Company. Beginning on the 30</w:t>
      </w:r>
      <w:r>
        <w:rPr>
          <w:rFonts w:ascii="Times New Roman" w:hAnsi="Times New Roman"/>
          <w:color w:val="000000"/>
          <w:sz w:val="13"/>
        </w:rPr>
        <w:t>th</w:t>
      </w:r>
      <w:r>
        <w:rPr>
          <w:rFonts w:ascii="Times New Roman" w:hAnsi="Times New Roman"/>
          <w:color w:val="000000"/>
          <w:sz w:val="20"/>
        </w:rPr>
        <w:t xml:space="preserve"> day from the date of issuance,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w:t>
      </w:r>
    </w:p>
    <w:p>
      <w:pPr>
        <w:pStyle w:val="TextBody"/>
        <w:bidi w:val="0"/>
        <w:jc w:val="both"/>
        <w:rPr>
          <w:rFonts w:ascii="Times New Roman" w:hAnsi="Times New Roman"/>
          <w:color w:val="000000"/>
          <w:sz w:val="20"/>
        </w:rPr>
      </w:pPr>
      <w:r>
        <w:rPr>
          <w:rFonts w:ascii="Times New Roman" w:hAnsi="Times New Roman"/>
          <w:color w:val="000000"/>
          <w:sz w:val="20"/>
        </w:rPr>
        <w:t>On October 6, 2025, the Company issued an Advance Notice to Yorkville pursuant to the SEPA in which the Company requested the purchase of 5,750 shares of the Company's Class A Common Stock at a purchase price of $61.60 for a total purchase price of $354 to be applied against the outstanding Yorkville Convertible Notes. Upon settlement on October 8, 2025, the Company issued 5,750 shares of Class A Common Stock to Yorkville.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Term and Convertible notes - related party (CP BF)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June 30, 2026. If not sooner converted or prepaid, the Convertible Note principal together with accrued and unpaid interest thereon, unpaid fees and expenses and any other Obligations then due, shall be paid on the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effective interest rate for the Term Note was 16% and interest expense totaled $851 for the year ended December 31, 2024, comprised of $773 of contractual interest and $79 of amortization of the discount. 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Convertible notes - related party (CP BF restructuring)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hAnsi="Times New Roman"/>
          <w:i/>
          <w:color w:val="000000"/>
          <w:sz w:val="20"/>
        </w:rPr>
        <w:t>Debt</w:t>
      </w:r>
      <w:r>
        <w:rPr>
          <w:rFonts w:ascii="Times New Roman" w:hAnsi="Times New Roman"/>
          <w:color w:val="000000"/>
          <w:sz w:val="20"/>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2024 CP BF Convertible Note has an embedded redemption put feature upon a Prepayment and Default Interest triggering events.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2024, CP BF exercised its optional conversion option in which it received 278 Class A Common Stock at the fixed conversion price per share of $778.00 in satisfaction of $216 of the Company's obligations under the 2024 CP BF Convertible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2,843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effective interest rate for the 2024 CP BF Convertible Note was approximately 15.4% as of June 30, 2026. Interest expense on the 2024 CP BF Convertible Note totaled $194 and $396 for the three and six months ended June 30, 2026,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June 30, 2026 and December 31,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7540" w:type="dxa"/>
        <w:jc w:val="left"/>
        <w:tblInd w:w="0" w:type="dxa"/>
        <w:tblLayout w:type="fixed"/>
        <w:tblCellMar>
          <w:top w:w="28" w:type="dxa"/>
          <w:left w:w="28" w:type="dxa"/>
          <w:bottom w:w="28" w:type="dxa"/>
          <w:right w:w="28" w:type="dxa"/>
        </w:tblCellMar>
      </w:tblPr>
      <w:tblGrid>
        <w:gridCol w:w="4246"/>
        <w:gridCol w:w="146"/>
        <w:gridCol w:w="282"/>
        <w:gridCol w:w="843"/>
        <w:gridCol w:w="166"/>
        <w:gridCol w:w="146"/>
        <w:gridCol w:w="376"/>
        <w:gridCol w:w="1124"/>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Letter Agreement - October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jc w:val="both"/>
        <w:rPr>
          <w:rFonts w:ascii="Times New Roman" w:hAnsi="Times New Roman"/>
          <w:color w:val="000000"/>
          <w:sz w:val="20"/>
        </w:rPr>
      </w:pPr>
      <w:r>
        <w:rPr>
          <w:rFonts w:ascii="Times New Roman" w:hAnsi="Times New Roman"/>
          <w:color w:val="000000"/>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jc w:val="both"/>
        <w:rPr>
          <w:rFonts w:ascii="Times New Roman" w:hAnsi="Times New Roman"/>
          <w:color w:val="000000"/>
          <w:sz w:val="20"/>
        </w:rPr>
      </w:pPr>
      <w:r>
        <w:rPr>
          <w:rFonts w:ascii="Times New Roman" w:hAnsi="Times New Roman"/>
          <w:color w:val="000000"/>
          <w:sz w:val="20"/>
        </w:rPr>
        <w:t>The Company's failure to comply with the Letter Agreement shall constitute an Event of Default under the Loan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2025 CP BF Conversions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Letter Agreement - May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Notes payable, carried at fair value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$263 and received net proceeds of $250, after administrative agent fees of $13 paid to Agile Funding. The June Agile note has a maturity date of December 15, 2025 and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30, 2026, the Company issued a subordinated secured promissory note (the “March 2026 Agile Note”) for an aggregate principal amount of $90 and received net proceeds of $85, after administrative agent fees of $5 paid to Agile Funding. The March 2026 Agile note has a maturity date of October 27, 2026 and bears interest at a rate of 44%.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and/or the September Agile Note, in accordance with their terms, in whole or in part at any time. On the date of such prepayment of any principal amounts, the Company will owe to Agile a Prepayment Fee comprising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January 27, 2026 and June 25, 2026, the Company entered into multiple exchange agreements with Agile on substantially similar terms as the Agile Exchange Agreement pursuant to which the Company issued an aggregate of 303,451 shares of its Class A common stock at conversion prices per share ranging from $2.95 to $23.60 in exchange for a reduction of $1,839 in the outstanding balance of the March Agile Note. Following these exchanges, the outstanding balance of the March Agile Note was fully extinguished.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$17 and $450 for the three and six months ended June 30, 2026,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presents the Agile Notes for the six months ended June 30, 2026:</w:t>
      </w:r>
    </w:p>
    <w:p>
      <w:pPr>
        <w:pStyle w:val="TextBody"/>
        <w:bidi w:val="0"/>
        <w:jc w:val="left"/>
        <w:rPr/>
      </w:pPr>
      <w:r>
        <w:rPr/>
        <w:t> </w:t>
      </w:r>
    </w:p>
    <w:tbl>
      <w:tblPr>
        <w:tblW w:w="6133" w:type="dxa"/>
        <w:jc w:val="left"/>
        <w:tblInd w:w="0" w:type="dxa"/>
        <w:tblLayout w:type="fixed"/>
        <w:tblCellMar>
          <w:top w:w="28" w:type="dxa"/>
          <w:left w:w="28" w:type="dxa"/>
          <w:bottom w:w="28" w:type="dxa"/>
          <w:right w:w="28" w:type="dxa"/>
        </w:tblCellMar>
      </w:tblPr>
      <w:tblGrid>
        <w:gridCol w:w="4186"/>
        <w:gridCol w:w="146"/>
        <w:gridCol w:w="398"/>
        <w:gridCol w:w="1192"/>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Agile Term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4, 2026, the Company issued the thirteenth promissory note (the “1800 Diagonal Note #13”) for an aggregate principal amount of approximately $206 and received net proceeds of approximately $150, after discount and transaction fees. The note has a maturity date of January 30, 2027, and bears interest at 14%.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September, December, February, April, May, July, September 2025, November, December 2025, Note #11, Note #12 and Note #13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$57 and $172 for the three and six months ended June 30, 2026, respectively.</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1800 Diagonal Notes for the six months ended June 30, 2026:</w:t>
      </w:r>
    </w:p>
    <w:tbl>
      <w:tblPr>
        <w:tblW w:w="5893" w:type="dxa"/>
        <w:jc w:val="left"/>
        <w:tblInd w:w="0" w:type="dxa"/>
        <w:tblLayout w:type="fixed"/>
        <w:tblCellMar>
          <w:top w:w="28" w:type="dxa"/>
          <w:left w:w="28" w:type="dxa"/>
          <w:bottom w:w="28" w:type="dxa"/>
          <w:right w:w="28" w:type="dxa"/>
        </w:tblCellMar>
      </w:tblPr>
      <w:tblGrid>
        <w:gridCol w:w="4186"/>
        <w:gridCol w:w="146"/>
        <w:gridCol w:w="411"/>
        <w:gridCol w:w="939"/>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Diagonal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3i, LP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 w:hAnsi="Times New Roman"/>
          <w:i/>
          <w:color w:val="212529"/>
          <w:sz w:val="20"/>
        </w:rPr>
        <w:t>Note 14 – Equity</w:t>
      </w:r>
      <w:r>
        <w:rPr>
          <w:rFonts w:ascii="Times New Roman" w:hAnsi="Times New Roman"/>
          <w:color w:val="212529"/>
          <w:sz w:val="20"/>
        </w:rPr>
        <w:t>, for further description of the Warrants issued in the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("OID")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jc w:val="both"/>
        <w:rPr/>
      </w:pPr>
      <w:r>
        <w:rPr/>
        <w:t> </w:t>
      </w:r>
    </w:p>
    <w:tbl>
      <w:tblPr>
        <w:tblW w:w="10748" w:type="dxa"/>
        <w:jc w:val="left"/>
        <w:tblInd w:w="0" w:type="dxa"/>
        <w:tblLayout w:type="fixed"/>
        <w:tblCellMar>
          <w:top w:w="28" w:type="dxa"/>
          <w:left w:w="28" w:type="dxa"/>
          <w:bottom w:w="28" w:type="dxa"/>
          <w:right w:w="28" w:type="dxa"/>
        </w:tblCellMar>
      </w:tblPr>
      <w:tblGrid>
        <w:gridCol w:w="841"/>
        <w:gridCol w:w="146"/>
        <w:gridCol w:w="826"/>
        <w:gridCol w:w="146"/>
        <w:gridCol w:w="961"/>
        <w:gridCol w:w="146"/>
        <w:gridCol w:w="211"/>
        <w:gridCol w:w="571"/>
        <w:gridCol w:w="146"/>
        <w:gridCol w:w="146"/>
        <w:gridCol w:w="218"/>
        <w:gridCol w:w="593"/>
        <w:gridCol w:w="146"/>
        <w:gridCol w:w="146"/>
        <w:gridCol w:w="251"/>
        <w:gridCol w:w="680"/>
        <w:gridCol w:w="146"/>
        <w:gridCol w:w="146"/>
        <w:gridCol w:w="251"/>
        <w:gridCol w:w="680"/>
        <w:gridCol w:w="146"/>
        <w:gridCol w:w="146"/>
        <w:gridCol w:w="826"/>
        <w:gridCol w:w="146"/>
        <w:gridCol w:w="146"/>
        <w:gridCol w:w="676"/>
        <w:gridCol w:w="146"/>
        <w:gridCol w:w="146"/>
        <w:gridCol w:w="211"/>
        <w:gridCol w:w="57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Closing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Note Issued by </w:t>
              <w:br/>
              <w:t>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Principal Amount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 Received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Floor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Buyer 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Buyer Warrant Exercise Price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Private Placement Convertible Notes were issued with an OID of 10.0% and accrue interest at a rate of 10.0% per annum. The net proceeds received by the Company are after the OID and issuance fees and costs, financial advisory fees and estimated offering expenses. The Private Placement Convertible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Convertible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hAnsi="Times New Roman"/>
          <w:i/>
          <w:color w:val="000000"/>
          <w:sz w:val="20"/>
        </w:rPr>
        <w:t xml:space="preserve">Note 11 – Debt </w:t>
      </w:r>
      <w:r>
        <w:rPr>
          <w:rFonts w:ascii="Times New Roman" w:hAnsi="Times New Roman"/>
          <w:color w:val="000000"/>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212529"/>
          <w:sz w:val="20"/>
        </w:rPr>
      </w:pPr>
      <w:r>
        <w:rPr>
          <w:rFonts w:ascii="Times New Roman" w:hAnsi="Times New Roman"/>
          <w:color w:val="212529"/>
          <w:sz w:val="20"/>
        </w:rPr>
        <w:t>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7, 2026 and February 10, 2026, the Buyer exercised its contractual conversion option multiple times under the August 3i Note and received an aggregate of 36,667 shares of Class A Common Stock at a conversion price per share of $22.20 in satisfaction of $807 of the Company's obligations under the August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$19 and $201 for the three and six months ended June 30, 2026, respectively.</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Private Placement Convertible Notes as of June 30, 2026:</w:t>
      </w:r>
    </w:p>
    <w:p>
      <w:pPr>
        <w:pStyle w:val="TextBody"/>
        <w:bidi w:val="0"/>
        <w:jc w:val="left"/>
        <w:rPr/>
      </w:pPr>
      <w:r>
        <w:rPr/>
        <w:t> </w:t>
      </w:r>
    </w:p>
    <w:tbl>
      <w:tblPr>
        <w:tblW w:w="5668" w:type="dxa"/>
        <w:jc w:val="left"/>
        <w:tblInd w:w="0" w:type="dxa"/>
        <w:tblLayout w:type="fixed"/>
        <w:tblCellMar>
          <w:top w:w="28" w:type="dxa"/>
          <w:left w:w="28" w:type="dxa"/>
          <w:bottom w:w="28" w:type="dxa"/>
          <w:right w:w="28" w:type="dxa"/>
        </w:tblCellMar>
      </w:tblPr>
      <w:tblGrid>
        <w:gridCol w:w="4186"/>
        <w:gridCol w:w="146"/>
        <w:gridCol w:w="282"/>
        <w:gridCol w:w="843"/>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3i, LP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Boot Capital Convertible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Due to these embedded features, the Company elected to account for the Boot Capital Note at fair value pursuant to ASC 825. For further discussion of fair value, see </w:t>
      </w:r>
      <w:r>
        <w:rPr>
          <w:rFonts w:ascii="Times New Roman" w:hAnsi="Times New Roman"/>
          <w:i/>
          <w:color w:val="000000"/>
          <w:sz w:val="20"/>
        </w:rPr>
        <w:t>Note 7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Boot Capital Note totaled approximately $11 and $21 for the three and six months ended June 30, 2026,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Boot Capital Convertible Note as of June 30, 2026:</w:t>
      </w:r>
    </w:p>
    <w:p>
      <w:pPr>
        <w:pStyle w:val="TextBody"/>
        <w:bidi w:val="0"/>
        <w:jc w:val="left"/>
        <w:rPr/>
      </w:pPr>
      <w:r>
        <w:rPr/>
        <w:t> </w:t>
      </w:r>
    </w:p>
    <w:tbl>
      <w:tblPr>
        <w:tblW w:w="5728" w:type="dxa"/>
        <w:jc w:val="left"/>
        <w:tblInd w:w="0" w:type="dxa"/>
        <w:tblLayout w:type="fixed"/>
        <w:tblCellMar>
          <w:top w:w="28" w:type="dxa"/>
          <w:left w:w="28" w:type="dxa"/>
          <w:bottom w:w="28" w:type="dxa"/>
          <w:right w:w="28" w:type="dxa"/>
        </w:tblCellMar>
      </w:tblPr>
      <w:tblGrid>
        <w:gridCol w:w="4186"/>
        <w:gridCol w:w="146"/>
        <w:gridCol w:w="394"/>
        <w:gridCol w:w="79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Boot Capital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Venture Issuance and Payoff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31, 2026, the Company executed a promissory note ("Venture Note") for an aggregate principal amount of approximately $487 and on April 8, 2026 received net proceeds of approximately $333, after discount and transaction fees. The note has a maturity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of August 18, 2026, and bears interest at 198.5% per annum. The Company paid off this note on May 6, 2026. Interest expense on the Venture Note totaled approximately $110 and $110 for the three and six months ended June 30, 2026,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TVT Capital Promissory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28, 2026, the Company executed a promissory note ("TVT Note") for an aggregate principal amount of approximately $834 and received net proceeds of approximately $579, after discount and transaction fees. The note has a maturity date of January 5, 2027, and bears interest at 106.71%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TVT Note totaled approximately $58 and $58 for the three and six months ended June 30, 2026, respectively.</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TVT Capital Promissory Note as of June 30, 2026:</w:t>
      </w:r>
    </w:p>
    <w:p>
      <w:pPr>
        <w:pStyle w:val="TextBody"/>
        <w:bidi w:val="0"/>
        <w:jc w:val="both"/>
        <w:rPr/>
      </w:pPr>
      <w:r>
        <w:rPr/>
        <w:t> </w:t>
      </w:r>
    </w:p>
    <w:tbl>
      <w:tblPr>
        <w:tblW w:w="5728" w:type="dxa"/>
        <w:jc w:val="left"/>
        <w:tblInd w:w="0" w:type="dxa"/>
        <w:tblLayout w:type="fixed"/>
        <w:tblCellMar>
          <w:top w:w="28" w:type="dxa"/>
          <w:left w:w="28" w:type="dxa"/>
          <w:bottom w:w="28" w:type="dxa"/>
          <w:right w:w="28" w:type="dxa"/>
        </w:tblCellMar>
      </w:tblPr>
      <w:tblGrid>
        <w:gridCol w:w="4186"/>
        <w:gridCol w:w="146"/>
        <w:gridCol w:w="360"/>
        <w:gridCol w:w="825"/>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TVT Capital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Warrant Liabilities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assumed Public Warrants in the Merger, exercisable into 1,150 shares of Common Stock of the Company, and which remained outstanding as of June 30,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Redemption of Public Warrants When the price per Share of Class A Common Stock Equals or Exceeds $180,000.00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 price of $100.00 per Warrant;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 minimum of 30 days' prior written notice of redemption (the "30-day redemption period"); and</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color w:val="000000"/>
        </w:rPr>
        <w:t>—</w:t>
      </w:r>
      <w:r>
        <w:rPr>
          <w:rFonts w:ascii="Times New Roman" w:hAnsi="Times New Roman"/>
          <w:i/>
          <w:color w:val="000000"/>
          <w:sz w:val="20"/>
        </w:rPr>
        <w:t>Warrants—Public Stockholder Warrants—Anti-dilution Adjustments</w:t>
      </w:r>
      <w:r>
        <w:rPr>
          <w:color w:val="000000"/>
        </w:rPr>
        <w:t xml:space="preserve">” </w:t>
      </w:r>
      <w:r>
        <w:rPr>
          <w:rFonts w:ascii="Times New Roman" w:hAnsi="Times New Roman"/>
          <w:color w:val="000000"/>
          <w:sz w:val="20"/>
        </w:rPr>
        <w:t>in the Resale Registration Statement) for any 20 trading days within a 30-trading day period ending three trading days before the Company sends the notice of redemption to the warrant 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 w:hAnsi="Times New Roman"/>
          <w:i/>
          <w:color w:val="000000"/>
          <w:sz w:val="20"/>
        </w:rPr>
        <w:t>Warrants—Public Stockholder Warrants—Anti-dilution Adjustments</w:t>
      </w:r>
      <w:r>
        <w:rPr>
          <w:rFonts w:ascii="Times New Roman" w:hAnsi="Times New Roman"/>
          <w:color w:val="000000"/>
          <w:sz w:val="20"/>
        </w:rPr>
        <w:t>” in the Resale Registration Statement) as well as the $115,000.00 per share (for whole shares) Public Warrant exercise price after the redemption notice is issued.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GEM Financing Arrangement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GEM Letter, see </w:t>
      </w:r>
      <w:r>
        <w:rPr>
          <w:rFonts w:ascii="Times New Roman" w:hAnsi="Times New Roman"/>
          <w:i/>
          <w:color w:val="000000"/>
          <w:sz w:val="20"/>
        </w:rPr>
        <w:t>Note 11 – Debt</w:t>
      </w:r>
      <w:r>
        <w:rPr>
          <w:rFonts w:ascii="Times New Roman" w:hAnsi="Times New Roman"/>
          <w:color w:val="000000"/>
          <w:sz w:val="20"/>
        </w:rPr>
        <w:t xml:space="preserve"> for further details, at Closing, the GEM Warrant automatically became an obligation of the Company, and on December 15, 2023, the Company issued the GEM Warrant granting GEM the right to purchase 83 shares at an exercise price of $65,120.00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our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GEM Warrant may not be exercised if such exercise would result in the beneficial ownership of the holder and its affiliates in excess of 9.99% of the then-issued and outstanding shares of Common Stock.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Private Placement Offering Warrants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Private Placement Convertible Notes, see </w:t>
      </w:r>
      <w:r>
        <w:rPr>
          <w:rFonts w:ascii="Times New Roman" w:hAnsi="Times New Roman"/>
          <w:i/>
          <w:color w:val="000000"/>
          <w:sz w:val="20"/>
        </w:rPr>
        <w:t>Note 11 – Debt</w:t>
      </w:r>
      <w:r>
        <w:rPr>
          <w:rFonts w:ascii="Times New Roman" w:hAnsi="Times New Roman"/>
          <w:color w:val="000000"/>
          <w:sz w:val="20"/>
        </w:rPr>
        <w:t xml:space="preserve"> for further details, at Closing, the Company issued Private Placement Warrants. Holders of the Private Placement Warrants may exercise the Private Placement Warrants at any time and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hAnsi="Times New Roman"/>
          <w:i/>
          <w:color w:val="000000"/>
          <w:sz w:val="20"/>
        </w:rPr>
        <w:t>Note 7 – Fair Value Measurements.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operating lease for its office space. Supplemental cash flow information related to leases are as follows:</w:t>
      </w:r>
    </w:p>
    <w:p>
      <w:pPr>
        <w:pStyle w:val="TextBody"/>
        <w:bidi w:val="0"/>
        <w:jc w:val="both"/>
        <w:rPr/>
      </w:pPr>
      <w:r>
        <w:rPr/>
        <w:t> </w:t>
      </w:r>
    </w:p>
    <w:tbl>
      <w:tblPr>
        <w:tblW w:w="9346" w:type="dxa"/>
        <w:jc w:val="left"/>
        <w:tblInd w:w="0" w:type="dxa"/>
        <w:tblLayout w:type="fixed"/>
        <w:tblCellMar>
          <w:top w:w="28" w:type="dxa"/>
          <w:left w:w="28" w:type="dxa"/>
          <w:bottom w:w="28" w:type="dxa"/>
          <w:right w:w="28" w:type="dxa"/>
        </w:tblCellMar>
      </w:tblPr>
      <w:tblGrid>
        <w:gridCol w:w="5866"/>
        <w:gridCol w:w="146"/>
        <w:gridCol w:w="432"/>
        <w:gridCol w:w="770"/>
        <w:gridCol w:w="340"/>
        <w:gridCol w:w="299"/>
        <w:gridCol w:w="432"/>
        <w:gridCol w:w="770"/>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 (operating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lease liabilities (operating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Sidley Austin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unaudited condensed consolidated statements of operations for the three months ended March 31, 2025.</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Donnelley Financial LLC</w:t>
      </w:r>
    </w:p>
    <w:p>
      <w:pPr>
        <w:pStyle w:val="TextBody"/>
        <w:bidi w:val="0"/>
        <w:jc w:val="both"/>
        <w:rPr>
          <w:rFonts w:ascii="Times New Roman" w:hAnsi="Times New Roman"/>
          <w:color w:val="000000"/>
          <w:sz w:val="20"/>
        </w:rPr>
      </w:pPr>
      <w:r>
        <w:rPr>
          <w:rFonts w:ascii="Times New Roman" w:hAnsi="Times New Roman"/>
          <w:color w:val="000000"/>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Company made all required payments as of June 30, 2026 and accordingly recognized a gain on settlement of $0.7 million, recognized within gain on extinguishment of liabilities on the unaudited condensed consolidated statements of operations during the three months ended June 30,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Verista Partners, Inc.</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1, 2024, and on the first day of each month thereafter through January 1, 2026. As of June 30, 2026, the Company had issued 150 shares and made aggregate installment payments of $78 to Verista. The remaining unpaid balance of $46 is included in Accounts Payable on the condensed consolidated balance sheets as of June 30,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Payment to Act-On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January 22, 2025, the Company announced its entry into an Agreement and Plan of Merger with Act-On Software, Inc. and on June 6, 2025, Act-On served Banzai with a notice of termination to terminate the Merger Agreement and any related agreements, and accordingly, the Company was required to pay certain termination fees including $500 in liquidated damages to cover certain transaction expenses that Act-On incurred in connection with the proposed merger, and $882 in additional interest and extension fees associated with one of Act-On’s outstanding debts that the Company had intended to payoff in connection with the proposed merger. As of June 30, 2025, the Company had paid the total amount owed of approximately $1.4 million to Act-On.</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June 30, 2026: </w:t>
      </w:r>
    </w:p>
    <w:p>
      <w:pPr>
        <w:pStyle w:val="TextBody"/>
        <w:bidi w:val="0"/>
        <w:spacing w:before="200" w:after="283"/>
        <w:jc w:val="both"/>
        <w:rPr/>
      </w:pPr>
      <w:r>
        <w:rPr/>
        <w:t> </w:t>
      </w:r>
    </w:p>
    <w:tbl>
      <w:tblPr>
        <w:tblW w:w="6632" w:type="dxa"/>
        <w:jc w:val="left"/>
        <w:tblInd w:w="0" w:type="dxa"/>
        <w:tblLayout w:type="fixed"/>
        <w:tblCellMar>
          <w:top w:w="28" w:type="dxa"/>
          <w:left w:w="28" w:type="dxa"/>
          <w:bottom w:w="28" w:type="dxa"/>
          <w:right w:w="28" w:type="dxa"/>
        </w:tblCellMar>
      </w:tblPr>
      <w:tblGrid>
        <w:gridCol w:w="2206"/>
        <w:gridCol w:w="146"/>
        <w:gridCol w:w="146"/>
        <w:gridCol w:w="1141"/>
        <w:gridCol w:w="146"/>
        <w:gridCol w:w="146"/>
        <w:gridCol w:w="146"/>
        <w:gridCol w:w="931"/>
        <w:gridCol w:w="146"/>
        <w:gridCol w:w="146"/>
        <w:gridCol w:w="154"/>
        <w:gridCol w:w="98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Series FE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2,690,579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Class A and B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has the authority to issue preferred stock and to determine the rights, privileges, preferences, restrictions, and voting rights of those shares.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Series FE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Yorkville Standby Equity Purchase Agreement ("SEPA")</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95% of the average daily Volume Weighted Average Price (“VWAP”) of the Class A Common Stock on the Nasdaq Stock Market (“Nasdaq”), subject to certain conditions per the SEPA (the “Option 1 Pricing Period;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96% of the lowest daily VWAP of the Class A Common Stock during the three trading days commencing on the Advance Notice date, subject to certain conditions per the SEPA (the “Option 2 Pricing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71 shares of Class A Common Stock as payment for the Deferred Fee.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2026, the Company issued Advance Notices to Yorkville pursuant to the SEPA requesting the purchase of shares of the Company’s Class A common stock subject to both the Option 1 Pricing Period (the “Option 1 Advances”) and the Option 2 Pricing Period (the “Option 2 Advances”).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2026, the Company requested the purchase of a total of 1,088,150 shares of the Company’s Class A common stock in connection with the Option 1 Advances, which Yorkville purchased for a total purchase price of approximately $4,736. The Company recognized a loss of approximately $189 on the sales during the six months ended June 30, 2026, which represents the difference between the fair value of the shares issued and the proceeds received from the sales.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requested the purchase of a total of 140,000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$38 in the aggregate, the fair values of which represented the intrinsic value of the requested number of shares of Class A common stock on the Advance Notice dates. The Company recognized a loss of approximately $38 during the six months ended June 30, 2026 representing the change in fair value of the derivative liabilities during the period from the Advance Notice dates and the settlement dates of the Option 2 Advances. Upon settlement of the Option 2 Advances, the Company sold an aggregate of 140,000 shares of the Company’s Class A common stock to Yorkville for total proceeds of approximately $755.</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under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issued 107,258 shares under the ATM Agreement for net proceeds of approximately $2,636.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Hudson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 2025, the Company issued 750 restricted shares of its Common Stock, with a determined fair value of $232,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Verista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26, 2024, the Company issued 150 shares of its Common Stock, with a determined fair value of $50, in partial settlement of amounts owing to Verista. Refer to </w:t>
      </w:r>
      <w:r>
        <w:rPr>
          <w:rFonts w:ascii="Times New Roman" w:hAnsi="Times New Roman"/>
          <w:i/>
          <w:color w:val="000000"/>
          <w:sz w:val="20"/>
        </w:rPr>
        <w:t>Note 13 – Commitments and Contingencies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Vidello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disclosed above, on January 31, 2025, the Company closed the previously announced merger with Vidello. As part of the consideration paid to the Vidello Shareholders, the Company issued 4,491 shares of Class A Common Stock, with a determined fair value of $1,662. Refer to </w:t>
      </w:r>
      <w:r>
        <w:rPr>
          <w:rFonts w:ascii="Times New Roman" w:hAnsi="Times New Roman"/>
          <w:i/>
          <w:color w:val="000000"/>
          <w:sz w:val="20"/>
        </w:rPr>
        <w:t>Note 4 – Acquisitions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pre-funded warrant exercise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7, 2025, the Company issued 4 shares of Class A Common Stock to CP BF, resulting from the exercise by CP BF of exercise of four (4) pre-funded warrants under the CP BF Pre-Funded Warrant. See </w:t>
      </w:r>
      <w:r>
        <w:rPr>
          <w:rFonts w:ascii="Times New Roman" w:hAnsi="Times New Roman"/>
          <w:i/>
          <w:color w:val="000000"/>
          <w:sz w:val="20"/>
        </w:rPr>
        <w:t>Note 12 – 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21, 2025, the Company issued 5,244 shares of Class A Common Stock to Alco, resulting from the exercise by Alco of pre-funded warrants purchased during September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stock option activity under the 2023 Equity Incentive Plan ("Plan") during the six months ended June 30, 2026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6"/>
        <w:gridCol w:w="146"/>
        <w:gridCol w:w="395"/>
        <w:gridCol w:w="1143"/>
        <w:gridCol w:w="166"/>
        <w:gridCol w:w="146"/>
        <w:gridCol w:w="335"/>
        <w:gridCol w:w="1479"/>
        <w:gridCol w:w="146"/>
        <w:gridCol w:w="146"/>
        <w:gridCol w:w="636"/>
        <w:gridCol w:w="2033"/>
        <w:gridCol w:w="146"/>
        <w:gridCol w:w="146"/>
        <w:gridCol w:w="375"/>
        <w:gridCol w:w="616"/>
        <w:gridCol w:w="195"/>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Underlying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June 30, 2026 and 2025, the Company recorded stock-based compensation expense related to stock options of $23 and $50, which is included in general and administrative expense. As of June 30, 2026 and 2025, $203 and $191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summary of the RSU activity during the six months ended June 30, 2026 is as follows: </w:t>
      </w:r>
    </w:p>
    <w:p>
      <w:pPr>
        <w:pStyle w:val="TextBody"/>
        <w:bidi w:val="0"/>
        <w:jc w:val="both"/>
        <w:rPr/>
      </w:pPr>
      <w:r>
        <w:rPr/>
        <w:t> </w:t>
      </w:r>
    </w:p>
    <w:tbl>
      <w:tblPr>
        <w:tblW w:w="7757"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781"/>
        <w:gridCol w:w="250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2026 and 2025, the Company recorded total stock-based compensation expense related to RSUs of $1,065 and $1,043, respectively, which is included in general and administrative expense. As of June 30, 2026 and 2025, unrecognized compensation cost related to the grant of RSUs was $1,542 and $191, respectively. Unvested outstanding RSUs as of June 30, 2026 and 2025 had a weighted average remaining vesting period of 1.73 and 2.25 years,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CEO Award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At inception, the CEO Award was equity-classified and the grant-date fair value was estimated using a Monte Carlo simulation model, using historical volatility as a key input. 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The Company recognized $324 and $541 of stock-based compensation expense related to this award for the three and six months ended June 30, 2026, respectively.</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estimates an annual effective tax rate of 19% for the year ended December 31, 2026. The effective tax rate for the six months ended June 30,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June 30, 2026, the Company had no unrecognized tax benefits that would reduce the Company’s effective tax rate if recognized.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Segment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three reportable operating segments, Banzai Operating, OpenReel, and Vidello. The Company’s segments deliver SaaS tools that leverage data, analytics, and AI to provide marketing and sales solutions, including video production and editing, for businesses of all sizes. </w:t>
      </w:r>
    </w:p>
    <w:p>
      <w:pPr>
        <w:pStyle w:val="TextBody"/>
        <w:bidi w:val="0"/>
        <w:jc w:val="both"/>
        <w:rPr>
          <w:rFonts w:ascii="Times New Roman" w:hAnsi="Times New Roman"/>
          <w:color w:val="000000"/>
          <w:sz w:val="20"/>
        </w:rPr>
      </w:pPr>
      <w:r>
        <w:rPr>
          <w:rFonts w:ascii="Times New Roman" w:hAnsi="Times New Roman"/>
          <w:color w:val="000000"/>
          <w:sz w:val="20"/>
        </w:rPr>
        <w:t xml:space="preserve">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46"/>
        <w:gridCol w:w="346"/>
        <w:gridCol w:w="219"/>
        <w:gridCol w:w="502"/>
        <w:gridCol w:w="36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travel and entertainment expenses, professional expenses other than those included in transaction and public company expenses, and the SEPA commitment fee expense and deferred fee expense.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information about segments for the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46"/>
        <w:gridCol w:w="346"/>
        <w:gridCol w:w="219"/>
        <w:gridCol w:w="502"/>
        <w:gridCol w:w="36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provision for credit losses, foreign currency exchange rate changes, travel and entertainment expenses, professional expenses other than those included in transaction and public company expenses, insurance expenses, and expenses related to 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323"/>
        <w:gridCol w:w="971"/>
        <w:gridCol w:w="166"/>
        <w:gridCol w:w="146"/>
        <w:gridCol w:w="251"/>
        <w:gridCol w:w="680"/>
        <w:gridCol w:w="366"/>
        <w:gridCol w:w="346"/>
        <w:gridCol w:w="240"/>
        <w:gridCol w:w="481"/>
        <w:gridCol w:w="346"/>
        <w:gridCol w:w="346"/>
        <w:gridCol w:w="367"/>
        <w:gridCol w:w="1101"/>
        <w:gridCol w:w="3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information about segments for the six months ended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56"/>
        <w:gridCol w:w="146"/>
        <w:gridCol w:w="321"/>
        <w:gridCol w:w="965"/>
        <w:gridCol w:w="166"/>
        <w:gridCol w:w="146"/>
        <w:gridCol w:w="251"/>
        <w:gridCol w:w="680"/>
        <w:gridCol w:w="366"/>
        <w:gridCol w:w="346"/>
        <w:gridCol w:w="214"/>
        <w:gridCol w:w="582"/>
        <w:gridCol w:w="346"/>
        <w:gridCol w:w="346"/>
        <w:gridCol w:w="365"/>
        <w:gridCol w:w="1096"/>
        <w:gridCol w:w="313"/>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public company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Vidello acquisition occurred on January 31, 2025 (refer to </w:t>
      </w:r>
      <w:r>
        <w:rPr>
          <w:rFonts w:ascii="Times New Roman" w:hAnsi="Times New Roman"/>
          <w:i/>
          <w:color w:val="000000"/>
          <w:sz w:val="20"/>
        </w:rPr>
        <w:t>Note 4 – Acquisitions</w:t>
      </w:r>
      <w:r>
        <w:rPr>
          <w:rFonts w:ascii="Times New Roman" w:hAnsi="Times New Roman"/>
          <w:color w:val="000000"/>
          <w:sz w:val="20"/>
        </w:rPr>
        <w:t xml:space="preserve"> and therefore does not represent activity for the full six month period in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three months ended June 30, 2026 and 2025 is as follows:</w:t>
      </w:r>
    </w:p>
    <w:p>
      <w:pPr>
        <w:pStyle w:val="TextBody"/>
        <w:bidi w:val="0"/>
        <w:jc w:val="left"/>
        <w:rPr/>
      </w:pPr>
      <w:r>
        <w:rPr/>
        <w:t> </w:t>
      </w:r>
    </w:p>
    <w:tbl>
      <w:tblPr>
        <w:tblW w:w="6792" w:type="dxa"/>
        <w:jc w:val="left"/>
        <w:tblInd w:w="0" w:type="dxa"/>
        <w:tblLayout w:type="fixed"/>
        <w:tblCellMar>
          <w:top w:w="28" w:type="dxa"/>
          <w:left w:w="28" w:type="dxa"/>
          <w:bottom w:w="28" w:type="dxa"/>
          <w:right w:w="28" w:type="dxa"/>
        </w:tblCellMar>
      </w:tblPr>
      <w:tblGrid>
        <w:gridCol w:w="3811"/>
        <w:gridCol w:w="146"/>
        <w:gridCol w:w="277"/>
        <w:gridCol w:w="830"/>
        <w:gridCol w:w="218"/>
        <w:gridCol w:w="192"/>
        <w:gridCol w:w="277"/>
        <w:gridCol w:w="830"/>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six months ended June 30, 2026 and 2025 is as follows:</w:t>
      </w:r>
    </w:p>
    <w:p>
      <w:pPr>
        <w:pStyle w:val="TextBody"/>
        <w:bidi w:val="0"/>
        <w:jc w:val="both"/>
        <w:rPr/>
      </w:pPr>
      <w:r>
        <w:rPr/>
        <w:t> </w:t>
      </w:r>
    </w:p>
    <w:tbl>
      <w:tblPr>
        <w:tblW w:w="6952" w:type="dxa"/>
        <w:jc w:val="left"/>
        <w:tblInd w:w="0" w:type="dxa"/>
        <w:tblLayout w:type="fixed"/>
        <w:tblCellMar>
          <w:top w:w="28" w:type="dxa"/>
          <w:left w:w="28" w:type="dxa"/>
          <w:bottom w:w="28" w:type="dxa"/>
          <w:right w:w="28" w:type="dxa"/>
        </w:tblCellMar>
      </w:tblPr>
      <w:tblGrid>
        <w:gridCol w:w="4011"/>
        <w:gridCol w:w="146"/>
        <w:gridCol w:w="228"/>
        <w:gridCol w:w="796"/>
        <w:gridCol w:w="179"/>
        <w:gridCol w:w="157"/>
        <w:gridCol w:w="228"/>
        <w:gridCol w:w="796"/>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percentage of revenue generated by SaaS product for the six months ended June 30, 2026 and 2025:</w:t>
      </w:r>
    </w:p>
    <w:p>
      <w:pPr>
        <w:pStyle w:val="TextBody"/>
        <w:bidi w:val="0"/>
        <w:jc w:val="left"/>
        <w:rPr/>
      </w:pPr>
      <w:r>
        <w:rPr/>
        <w:t> </w:t>
      </w:r>
    </w:p>
    <w:tbl>
      <w:tblPr>
        <w:tblW w:w="3669" w:type="dxa"/>
        <w:jc w:val="left"/>
        <w:tblInd w:w="0" w:type="dxa"/>
        <w:tblLayout w:type="fixed"/>
        <w:tblCellMar>
          <w:top w:w="28" w:type="dxa"/>
          <w:left w:w="28" w:type="dxa"/>
          <w:bottom w:w="28" w:type="dxa"/>
          <w:right w:w="28" w:type="dxa"/>
        </w:tblCellMar>
      </w:tblPr>
      <w:tblGrid>
        <w:gridCol w:w="1021"/>
        <w:gridCol w:w="146"/>
        <w:gridCol w:w="172"/>
        <w:gridCol w:w="675"/>
        <w:gridCol w:w="320"/>
        <w:gridCol w:w="172"/>
        <w:gridCol w:w="172"/>
        <w:gridCol w:w="675"/>
        <w:gridCol w:w="31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OpenReel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Vidello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Vidello acquisition occurred on January 31, 2025 (refer to </w:t>
      </w:r>
      <w:r>
        <w:rPr>
          <w:rFonts w:ascii="Times New Roman" w:hAnsi="Times New Roman"/>
          <w:i/>
          <w:color w:val="000000"/>
          <w:sz w:val="20"/>
        </w:rPr>
        <w:t>Note 4 – Acquisitions</w:t>
      </w:r>
      <w:r>
        <w:rPr>
          <w:rFonts w:ascii="Times New Roman" w:hAnsi="Times New Roman"/>
          <w:color w:val="000000"/>
          <w:sz w:val="20"/>
        </w:rPr>
        <w:t xml:space="preserve"> and therefore does not represent activity for the full six month period in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disaggregation of revenue by geographic area, refer to </w:t>
      </w:r>
      <w:r>
        <w:rPr>
          <w:rFonts w:ascii="Times New Roman" w:hAnsi="Times New Roman"/>
          <w:i/>
          <w:color w:val="000000"/>
          <w:sz w:val="20"/>
        </w:rPr>
        <w:t>Note 6 – Revenue</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Subsequent Events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ConnectAndSell Asset Purchase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hAnsi="Times New Roman"/>
          <w:i/>
          <w:color w:val="000000"/>
          <w:sz w:val="20"/>
        </w:rPr>
        <w:t>Management’s Discussion and Analysis of Financial Condition and Results of Operations” (“MD&amp;A”)</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Transaction Financing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 2026 (the “Effective Date”), the Company and its subsidiaries (together, the “Borrowers”) entered into a Subordinated Business Loan and Security Agreement (the “Loan Agreement”) with Agile Capital Funding, LLC, as collateral agent, and Agile Lending, LLC, as lead lender (together, with any assignees party thereto, the “Lenders”). Pursuant to the Loan Agreement, the Borrowers issued a Subordinated Secured Promissory Note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Aegis Public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CP BF Letter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Advanced Notice Settlements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Subsequent to June 30, 2026, the Company issued Advance Notices to Yorkville pursuant to the SEPA and requested aggregate purchases of 190,000 shares of the Company's Class A Common Stock at an aggregate gross value and net proceeds of approximately $334 and $321,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Note Issuances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17, 2026, the Company issued a promissory note ("1800 Diagonal Note #14") for an aggregate principal amount of approximately $135 and received net proceeds of approximately $110, after discount and transaction fees. The note has a maturity date of April 15, 2027, and bears interest at 77.7%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12, 2026, the Company issued a promissory note ("1800 Diagonal Note #15") for an aggregate principal amount of approximately $144 and received net proceeds of approximately $118, after discount and transaction fees. The note has a maturity date of May 15, 2027, and bears interest at 74.4% per annum.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1800 Diagonal Note Conversions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5, 2026 and August 14, 2026, the Lender exercised its contractual conversion option under the December 1800 Diagonal Note and and the January 1800 Diagonal Note, respectively, and received an aggregate of approximately 57 thousand shares of Class A Common Stock at conversion prices ranging from $1.245 to $1.305, in satisfaction of approximately $37 and $35 of the Company's obligations under the December 1800 Diagonal Note and the January 1800 Diagonal Note, respectively.</w:t>
      </w:r>
    </w:p>
    <w:p>
      <w:pPr>
        <w:pStyle w:val="TextBody"/>
        <w:bidi w:val="0"/>
        <w:spacing w:before="20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UCAP LLC Convertible Note Issuance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5, 2026, the Company issued a 12% convertible redeemable note to UCAP LLC ("UCAP Note") for an aggregate principal amount of approximately $556 and received net proceeds of approximately $480,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Boot Capital Conversion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6, 2026, the Lender exercised its contractual conversion option under the Boot Capital Note and received an aggregate of approximately 17 thousand shares of Class A Common Stock at a conversion price of $1.305 in satisfaction of approximately $22 of the Company's obligations under the Note.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Private Placement Convertible Note Payoff</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7, 2026, the Company paid cash of approximately $600 to 3i, LP, and the February 3i Note was fully repaid.</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Private Placement Convertible Note Issuance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3i Note #5 has an original principal amount of $1,100, matures on August 12, 2027, and has a initial conversion price of $1.96 per share that is subject to a floor price of $0.35. Upon issuance, the Company received proceeds of approximately $1.0 million, net of OID and issuance fees and costs.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3i Note #5 Warrants allow for the purchase of up to 112,531 shares of Common Stock at an initial exercise price of $1.96 per share, are exercisable immediately upon issuance, and expire on August 12, 2029. The 3i Note #5 FA Warrants allow for the purchase of up to 35,714 shares of Common Stock at an initial exercise price of $2.45 per share, are exercisable immediately upon issuance, and expire on August 12, 2031.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Other than the specific terms described above, the 3i Note #5, the 3i Note #5 Warrants, and the 3i Note #5 FA Warrants have the same terms as the 3i, LP Private Placement Convertible Notes, the Private Placement Warrants and the Financial Advisor Warrants that are more fully described in </w:t>
      </w:r>
      <w:r>
        <w:rPr>
          <w:rFonts w:ascii="Times New Roman" w:hAnsi="Times New Roman"/>
          <w:i/>
          <w:color w:val="000000"/>
          <w:sz w:val="20"/>
        </w:rPr>
        <w:t>Note 11 – Debt</w:t>
      </w:r>
      <w:r>
        <w:rPr>
          <w:rFonts w:ascii="Times New Roman" w:hAnsi="Times New Roman"/>
          <w:color w:val="000000"/>
          <w:sz w:val="20"/>
        </w:rPr>
        <w:t xml:space="preserve">, see – </w:t>
      </w:r>
      <w:r>
        <w:rPr>
          <w:rFonts w:ascii="Times New Roman" w:hAnsi="Times New Roman"/>
          <w:i/>
          <w:color w:val="000000"/>
          <w:sz w:val="20"/>
        </w:rPr>
        <w:t>3i, LP Private Placement Offering.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7_mda"/>
      <w:bookmarkEnd w:id="9"/>
      <w:r>
        <w:rPr>
          <w:rFonts w:ascii="Times New Roman" w:hAnsi="Times New Roman"/>
          <w:b/>
          <w:color w:val="000000"/>
          <w:sz w:val="20"/>
        </w:rPr>
        <w:t>Item 2. 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that are included elsewhere in this Quarterly Report on Form 10-Q ("Report").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more fully described in this report and those more fully described elsewhere in this Report and in the "Risk Factors" section of our Annual Report on Form 10-K for the year ended December 31, 2025.</w:t>
      </w:r>
    </w:p>
    <w:p>
      <w:pPr>
        <w:pStyle w:val="TextBody"/>
        <w:bidi w:val="0"/>
        <w:jc w:val="both"/>
        <w:rPr>
          <w:rFonts w:ascii="Times New Roman" w:hAnsi="Times New Roman"/>
          <w:i/>
          <w:color w:val="000000"/>
          <w:sz w:val="20"/>
        </w:rPr>
      </w:pPr>
      <w:r>
        <w:rPr>
          <w:rFonts w:ascii="Times New Roman" w:hAnsi="Times New Roman"/>
          <w:i/>
          <w:color w:val="000000"/>
          <w:sz w:val="20"/>
        </w:rPr>
        <w:t>Unless otherwise indicated, all dollar amounts included in this Management’s Discussion and Analysis are presented in thousands. 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Marketing Technology (MarTech) company that produces data-driven marketing and sales solutions for businesses of all sizes. Our mission is to help our customers accomplish their mission - by enabling better marketing, sales, and customer engagement outcomes. We endeavor to acquire companies strategically positioned to enhance our product and service offerings, increasing the value provided to current and prospective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on August 6, 2026, we began doing business under the trade name "Parabolic." This rebrand does not change our legal name, which remains Banzai International, Inc., howeer, in connection with the rebrand, the trading symbols for our Class A common stock, par value $0.0001 per share (the "Class A Common Stock") and redeemable warrants on The Nasdaq Capital Market changed from "BNZI" and "BNZIW" to "PARA" and "PARAW," respectively, effective on August 7, 2026. The rebranding reflects the evolution of the Company’s vision from a marketing technology point-solution provider to a cost efficient platform that invests in and grows companies offering AI-powered solutions to the B2B channel across the full customer lifecycle. Throughout this Report, we may refer to the Company as Banzai or Parabolic.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were founded in 2015. The first product we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Second Quarter 2026 Financial and Operational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27.3% to $2.3 million for second quarter 2026 compared to second quarter 2025. Total cost of revenue decreased by 18.8% quarter over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was $1.8 million for second quarter 2026, compared to $2.6 million in second quarter 2025. Gross margin was 80.2% in second quarter 2026 compared to 82.3% in second quarter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decreased to $5.0 million for second quarter 2026, compared to $7.9 million in second quarter 2025, which represents a $3.0 million improvement quarter over quarter.</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increased to $12.2 million as of June 30, 2026; we converted $0.6 million of debt to equity, which included paying off the Yorkville convertible notes, and raised an additional $1.2 million from the SEPA during second quarter 2026.</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ConnectAndSell Asset Purchase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terms of the Asset Purchase Agreement (“APA”), total consideration was $13.2 million, comprised of: closing consideration of $750 thousand in cash, 294,917 shares of Class A Common Stock and 1,685,175 Pre-Funded Warrants (together valued at $5.9 million), and a one year promissory note ("C&amp;S Note") for $1.8 million issued at Closing bearing interest at 8% per annum, repayable in quarterly payments; deferred consideration totaling $4.75 million; and earn-out payments tied to revenue performance in the twelve months following closing.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Common Stock with an aggregate value of $1.34 million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must obtain stockholder approval for the issuance of shares of Common Stock (including shares underlying the Pre-Funded Warrants) to the extent required to comply with Nasdaq Listing Rule 5635 (the “Stockholders’ Approval”). The Company’s board of directors has approved the APA and recommends that the Company’s stockholders vote to approve the share issuance. If the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the addition of ConnectAndSell strengthens its position as a provider of integrated marketing and sales technology solutions while creating meaningful cross-sell opportunities across the combined company’s customer base. The transaction also furthers our strategy of building a powerful platform of revenue-generating software solutions. The majority of ConnectAndSell’s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thirty-eight team members will join Parabolic as part of the transaction, bringing their substantial AI experience to us. We expect to recognize additional financial synergies through cost consolidation by the end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Quarterly Report do not reflect ConnectAndSell’s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Transaction Financing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Aegis Public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The aggregate market value of the shares of Class A Common Stock eligible for sale under the ATM Prospectus Supplement was approximately $0.1 million following the public offering on July 14, 2026, which is based on the limitations of General Instruction I.B.6 of Form S-3.</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Nasdaq Listing Compliance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Business Combination and Public Company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Under this method of accounting, 7GC was treated as the acquired company for financial statement reporting purposes. Accordingly, for accounting purposes, the financial statements of Parabolic represent a continuation of the financial statements of Legacy Parabolic with the Business Combination treated as the equivalent of Legacy Parabolic issuing stock for the net assets of 7GC, accompanied by a recapitalization. The net assets of 7GC were stated at historical cost, with no goodwill or other intangible assets recorded. Operations prior to the Business Combination are those of Legacy Parabolic in this and future reports of Parabolic.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Business Combination, we became the successor to an SEC-registered and Nasdaq-listed company, which required Parabolic to hire additional personnel and implement procedures and processes to address public company regulatory requirements and customary practices. We incurred and expect to incur additional annual expenses as a public company for, among other things,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Parabolic’s historical results of operations and financial position as a result of the Business Combination.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45"/>
        <w:gridCol w:w="146"/>
        <w:gridCol w:w="211"/>
        <w:gridCol w:w="736"/>
        <w:gridCol w:w="166"/>
        <w:gridCol w:w="146"/>
        <w:gridCol w:w="211"/>
        <w:gridCol w:w="736"/>
        <w:gridCol w:w="166"/>
        <w:gridCol w:w="146"/>
        <w:gridCol w:w="211"/>
        <w:gridCol w:w="631"/>
        <w:gridCol w:w="166"/>
        <w:gridCol w:w="146"/>
        <w:gridCol w:w="146"/>
        <w:gridCol w:w="631"/>
        <w:gridCol w:w="965"/>
      </w:tblGrid>
      <w:tr>
        <w:trPr/>
        <w:tc>
          <w:tcPr>
            <w:tcW w:w="4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percentage changes included in the tables herein present favorable period-over-period amounts and percentages as positive and unfavorable as negative, and percentages not considered meaningful as “NM."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Analysis</w:t>
      </w:r>
    </w:p>
    <w:p>
      <w:pPr>
        <w:pStyle w:val="TextBody"/>
        <w:bidi w:val="0"/>
        <w:jc w:val="both"/>
        <w:rPr/>
      </w:pPr>
      <w:r>
        <w:rPr/>
        <w:t> </w:t>
      </w:r>
    </w:p>
    <w:tbl>
      <w:tblPr>
        <w:tblW w:w="6316" w:type="dxa"/>
        <w:jc w:val="left"/>
        <w:tblInd w:w="0" w:type="dxa"/>
        <w:tblLayout w:type="fixed"/>
        <w:tblCellMar>
          <w:top w:w="28" w:type="dxa"/>
          <w:left w:w="28" w:type="dxa"/>
          <w:bottom w:w="28" w:type="dxa"/>
          <w:right w:w="28" w:type="dxa"/>
        </w:tblCellMar>
      </w:tblPr>
      <w:tblGrid>
        <w:gridCol w:w="1486"/>
        <w:gridCol w:w="146"/>
        <w:gridCol w:w="249"/>
        <w:gridCol w:w="674"/>
        <w:gridCol w:w="172"/>
        <w:gridCol w:w="172"/>
        <w:gridCol w:w="249"/>
        <w:gridCol w:w="674"/>
        <w:gridCol w:w="146"/>
        <w:gridCol w:w="146"/>
        <w:gridCol w:w="211"/>
        <w:gridCol w:w="63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Banzai Operating, OpenReel and Vidello decreased by approximately $135, $416, and $986 respectively, for the six months ended June 30,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 Analysis</w:t>
      </w:r>
    </w:p>
    <w:p>
      <w:pPr>
        <w:pStyle w:val="TextBody"/>
        <w:bidi w:val="0"/>
        <w:jc w:val="both"/>
        <w:rPr/>
      </w:pPr>
      <w:r>
        <w:rPr/>
        <w:t> </w:t>
      </w:r>
    </w:p>
    <w:tbl>
      <w:tblPr>
        <w:tblW w:w="5963" w:type="dxa"/>
        <w:jc w:val="left"/>
        <w:tblInd w:w="0" w:type="dxa"/>
        <w:tblLayout w:type="fixed"/>
        <w:tblCellMar>
          <w:top w:w="28" w:type="dxa"/>
          <w:left w:w="28" w:type="dxa"/>
          <w:bottom w:w="28" w:type="dxa"/>
          <w:right w:w="28" w:type="dxa"/>
        </w:tblCellMar>
      </w:tblPr>
      <w:tblGrid>
        <w:gridCol w:w="1486"/>
        <w:gridCol w:w="146"/>
        <w:gridCol w:w="270"/>
        <w:gridCol w:w="540"/>
        <w:gridCol w:w="187"/>
        <w:gridCol w:w="187"/>
        <w:gridCol w:w="270"/>
        <w:gridCol w:w="733"/>
        <w:gridCol w:w="146"/>
        <w:gridCol w:w="146"/>
        <w:gridCol w:w="211"/>
        <w:gridCol w:w="421"/>
        <w:gridCol w:w="146"/>
        <w:gridCol w:w="146"/>
        <w:gridCol w:w="146"/>
        <w:gridCol w:w="466"/>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Cost of revenue from Banzai Operating, OpenReel and Vidello decreased by approximately $4, $33, and $152, respectively, for the six months ended June 30, 2026.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 Analysis</w:t>
      </w:r>
    </w:p>
    <w:p>
      <w:pPr>
        <w:pStyle w:val="TextBody"/>
        <w:bidi w:val="0"/>
        <w:jc w:val="both"/>
        <w:rPr/>
      </w:pPr>
      <w:r>
        <w:rPr/>
        <w:t> </w:t>
      </w:r>
    </w:p>
    <w:tbl>
      <w:tblPr>
        <w:tblW w:w="6316" w:type="dxa"/>
        <w:jc w:val="left"/>
        <w:tblInd w:w="0" w:type="dxa"/>
        <w:tblLayout w:type="fixed"/>
        <w:tblCellMar>
          <w:top w:w="28" w:type="dxa"/>
          <w:left w:w="28" w:type="dxa"/>
          <w:bottom w:w="28" w:type="dxa"/>
          <w:right w:w="28" w:type="dxa"/>
        </w:tblCellMar>
      </w:tblPr>
      <w:tblGrid>
        <w:gridCol w:w="1486"/>
        <w:gridCol w:w="146"/>
        <w:gridCol w:w="249"/>
        <w:gridCol w:w="674"/>
        <w:gridCol w:w="172"/>
        <w:gridCol w:w="172"/>
        <w:gridCol w:w="249"/>
        <w:gridCol w:w="674"/>
        <w:gridCol w:w="146"/>
        <w:gridCol w:w="146"/>
        <w:gridCol w:w="211"/>
        <w:gridCol w:w="63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from Banzai Operating, OpenReel and Vidello decreased by approximately $131, $383 and $834, respectively, for the six months ended June 30,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Operating Expense Analysis </w:t>
      </w:r>
    </w:p>
    <w:p>
      <w:pPr>
        <w:pStyle w:val="TextBody"/>
        <w:bidi w:val="0"/>
        <w:jc w:val="both"/>
        <w:rPr/>
      </w:pPr>
      <w:r>
        <w:rPr/>
        <w:t> </w:t>
      </w:r>
    </w:p>
    <w:tbl>
      <w:tblPr>
        <w:tblW w:w="6602" w:type="dxa"/>
        <w:jc w:val="left"/>
        <w:tblInd w:w="0" w:type="dxa"/>
        <w:tblLayout w:type="fixed"/>
        <w:tblCellMar>
          <w:top w:w="28" w:type="dxa"/>
          <w:left w:w="28" w:type="dxa"/>
          <w:bottom w:w="28" w:type="dxa"/>
          <w:right w:w="28" w:type="dxa"/>
        </w:tblCellMar>
      </w:tblPr>
      <w:tblGrid>
        <w:gridCol w:w="2161"/>
        <w:gridCol w:w="146"/>
        <w:gridCol w:w="223"/>
        <w:gridCol w:w="716"/>
        <w:gridCol w:w="154"/>
        <w:gridCol w:w="154"/>
        <w:gridCol w:w="223"/>
        <w:gridCol w:w="716"/>
        <w:gridCol w:w="146"/>
        <w:gridCol w:w="146"/>
        <w:gridCol w:w="221"/>
        <w:gridCol w:w="441"/>
        <w:gridCol w:w="153"/>
        <w:gridCol w:w="153"/>
        <w:gridCol w:w="153"/>
        <w:gridCol w:w="380"/>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remained essentially flat compared to the prior period. Salaries, taxes and benefits, as well as stock-based compensation expense increased during the six months ended June 30, 2026 driven by Banzai Operating and OpenReel. These were partially offset by decreases in marketing expenses and technology expenses during six months ended June 30, 2026 at Banzai Operating and OpenReel, respectively.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Analysis</w:t>
      </w:r>
    </w:p>
    <w:p>
      <w:pPr>
        <w:pStyle w:val="TextBody"/>
        <w:bidi w:val="0"/>
        <w:jc w:val="both"/>
        <w:rPr/>
      </w:pPr>
      <w:r>
        <w:rPr/>
        <w:t> </w:t>
      </w:r>
    </w:p>
    <w:tbl>
      <w:tblPr>
        <w:tblW w:w="6976" w:type="dxa"/>
        <w:jc w:val="left"/>
        <w:tblInd w:w="0" w:type="dxa"/>
        <w:tblLayout w:type="fixed"/>
        <w:tblCellMar>
          <w:top w:w="28" w:type="dxa"/>
          <w:left w:w="28" w:type="dxa"/>
          <w:bottom w:w="28" w:type="dxa"/>
          <w:right w:w="28" w:type="dxa"/>
        </w:tblCellMar>
      </w:tblPr>
      <w:tblGrid>
        <w:gridCol w:w="2146"/>
        <w:gridCol w:w="146"/>
        <w:gridCol w:w="249"/>
        <w:gridCol w:w="674"/>
        <w:gridCol w:w="172"/>
        <w:gridCol w:w="172"/>
        <w:gridCol w:w="249"/>
        <w:gridCol w:w="674"/>
        <w:gridCol w:w="146"/>
        <w:gridCol w:w="146"/>
        <w:gridCol w:w="211"/>
        <w:gridCol w:w="631"/>
        <w:gridCol w:w="166"/>
        <w:gridCol w:w="146"/>
        <w:gridCol w:w="146"/>
        <w:gridCol w:w="526"/>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we reported total other expenses, net of approximately $3.3 million. The change in other expenses, net was primarily driven by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interest expense of approximately $0.5 million recognized during the six months ended June 30, 2026 compared to $0.9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extinguishment of liabilities of approximately $0.7 million recognized during the six months ended June 30, 2026 compared to $4.5 million recognized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issuance of debt of approximately $0.2 million during the six months ended June 30, 2026 compared to $0.4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Private Placement Issuance of debt of approximately $1.6 million during the six months ended June 30, 2026 compared to $0.8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debt, net of approximately $58 thousand during the six months ended June 30, 2026 compared to $1.8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change in fair value of financial instruments and convertible notes of approximately $0.7 million (loss) during the six months ended June 30, 2026 compared to $0.6 million (loss)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SEPA advances to Yorkville of approximately $0.2 million during the six months ended June 30, 2026 compared to $0.7 million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expense was approximately $0.8 million expense during the six months ended June 30, 2026 compared to approximately $1.2 million expense during the six months ended June 30, 2025.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tbl>
      <w:tblPr>
        <w:tblW w:w="6924" w:type="dxa"/>
        <w:jc w:val="left"/>
        <w:tblInd w:w="0" w:type="dxa"/>
        <w:tblLayout w:type="fixed"/>
        <w:tblCellMar>
          <w:top w:w="28" w:type="dxa"/>
          <w:left w:w="28" w:type="dxa"/>
          <w:bottom w:w="28" w:type="dxa"/>
          <w:right w:w="28" w:type="dxa"/>
        </w:tblCellMar>
      </w:tblPr>
      <w:tblGrid>
        <w:gridCol w:w="2461"/>
        <w:gridCol w:w="146"/>
        <w:gridCol w:w="272"/>
        <w:gridCol w:w="621"/>
        <w:gridCol w:w="214"/>
        <w:gridCol w:w="188"/>
        <w:gridCol w:w="272"/>
        <w:gridCol w:w="621"/>
        <w:gridCol w:w="166"/>
        <w:gridCol w:w="146"/>
        <w:gridCol w:w="221"/>
        <w:gridCol w:w="331"/>
        <w:gridCol w:w="153"/>
        <w:gridCol w:w="153"/>
        <w:gridCol w:w="153"/>
        <w:gridCol w:w="490"/>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we had no unrecognized tax benefits that would impact our effective tax rate if recognized.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critical accounting estimates are described in our Annual Report on Form 10</w:t>
        <w:noBreakHyphen/>
        <w:t>K for the year ended December 31, 2025. There were no material changes to those critical accounting estimates during the three months ended June 30, 2026.</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does not consider the potentially dilutive impact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impairment and restructuring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interest expense or other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income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audit, legal, incremental accounting and other expenses tied to M&amp;A or the Business Combination;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including companies in our own industry, may calculate Adjusted EBITDA differently from the way we do, limiting its usefulness as a comparative measure.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Adjusted EBITDA Analysis</w:t>
      </w:r>
    </w:p>
    <w:p>
      <w:pPr>
        <w:pStyle w:val="TextBody"/>
        <w:bidi w:val="0"/>
        <w:jc w:val="both"/>
        <w:rPr/>
      </w:pPr>
      <w:r>
        <w:rPr/>
        <w:t> </w:t>
      </w:r>
    </w:p>
    <w:tbl>
      <w:tblPr>
        <w:tblW w:w="7099" w:type="dxa"/>
        <w:jc w:val="left"/>
        <w:tblInd w:w="0" w:type="dxa"/>
        <w:tblLayout w:type="fixed"/>
        <w:tblCellMar>
          <w:top w:w="28" w:type="dxa"/>
          <w:left w:w="28" w:type="dxa"/>
          <w:bottom w:w="28" w:type="dxa"/>
          <w:right w:w="28" w:type="dxa"/>
        </w:tblCellMar>
      </w:tblPr>
      <w:tblGrid>
        <w:gridCol w:w="2146"/>
        <w:gridCol w:w="146"/>
        <w:gridCol w:w="231"/>
        <w:gridCol w:w="692"/>
        <w:gridCol w:w="182"/>
        <w:gridCol w:w="160"/>
        <w:gridCol w:w="231"/>
        <w:gridCol w:w="692"/>
        <w:gridCol w:w="166"/>
        <w:gridCol w:w="146"/>
        <w:gridCol w:w="211"/>
        <w:gridCol w:w="631"/>
        <w:gridCol w:w="166"/>
        <w:gridCol w:w="146"/>
        <w:gridCol w:w="146"/>
        <w:gridCol w:w="631"/>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Adjusted EBITDA decrease is primarily attributable to increased general and administrative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Income/(Loss) to Adjusted EBITDA Reconciliation</w:t>
      </w:r>
    </w:p>
    <w:p>
      <w:pPr>
        <w:pStyle w:val="TextBody"/>
        <w:bidi w:val="0"/>
        <w:jc w:val="both"/>
        <w:rPr/>
      </w:pPr>
      <w:r>
        <w:rPr/>
        <w:t> </w:t>
      </w:r>
    </w:p>
    <w:tbl>
      <w:tblPr>
        <w:tblW w:w="9922" w:type="dxa"/>
        <w:jc w:val="left"/>
        <w:tblInd w:w="0" w:type="dxa"/>
        <w:tblLayout w:type="fixed"/>
        <w:tblCellMar>
          <w:top w:w="28" w:type="dxa"/>
          <w:left w:w="28" w:type="dxa"/>
          <w:bottom w:w="28" w:type="dxa"/>
          <w:right w:w="28" w:type="dxa"/>
        </w:tblCellMar>
      </w:tblPr>
      <w:tblGrid>
        <w:gridCol w:w="4951"/>
        <w:gridCol w:w="146"/>
        <w:gridCol w:w="211"/>
        <w:gridCol w:w="736"/>
        <w:gridCol w:w="166"/>
        <w:gridCol w:w="146"/>
        <w:gridCol w:w="211"/>
        <w:gridCol w:w="736"/>
        <w:gridCol w:w="166"/>
        <w:gridCol w:w="146"/>
        <w:gridCol w:w="211"/>
        <w:gridCol w:w="631"/>
        <w:gridCol w:w="166"/>
        <w:gridCol w:w="146"/>
        <w:gridCol w:w="146"/>
        <w:gridCol w:w="631"/>
        <w:gridCol w:w="376"/>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Transaction related expenses consist of:</w:t>
      </w:r>
    </w:p>
    <w:p>
      <w:pPr>
        <w:pStyle w:val="TextBody"/>
        <w:bidi w:val="0"/>
        <w:jc w:val="both"/>
        <w:rPr/>
      </w:pPr>
      <w:r>
        <w:rPr/>
        <w:t> </w:t>
      </w:r>
    </w:p>
    <w:tbl>
      <w:tblPr>
        <w:tblW w:w="7546" w:type="dxa"/>
        <w:jc w:val="left"/>
        <w:tblInd w:w="0" w:type="dxa"/>
        <w:tblLayout w:type="fixed"/>
        <w:tblCellMar>
          <w:top w:w="28" w:type="dxa"/>
          <w:left w:w="28" w:type="dxa"/>
          <w:bottom w:w="28" w:type="dxa"/>
          <w:right w:w="28" w:type="dxa"/>
        </w:tblCellMar>
      </w:tblPr>
      <w:tblGrid>
        <w:gridCol w:w="2716"/>
        <w:gridCol w:w="146"/>
        <w:gridCol w:w="249"/>
        <w:gridCol w:w="674"/>
        <w:gridCol w:w="172"/>
        <w:gridCol w:w="172"/>
        <w:gridCol w:w="249"/>
        <w:gridCol w:w="674"/>
        <w:gridCol w:w="146"/>
        <w:gridCol w:w="146"/>
        <w:gridCol w:w="211"/>
        <w:gridCol w:w="631"/>
        <w:gridCol w:w="166"/>
        <w:gridCol w:w="146"/>
        <w:gridCol w:w="146"/>
        <w:gridCol w:w="526"/>
        <w:gridCol w:w="37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audit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study and M&amp;A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had cash of approximately $0.6 million. For the six months ended June 30, 2026, while we generated revenue of approximately $5.0 million, we used approximately $9.4 million in cash from operating activities and had a net loss of approximately $13.4 million. We have incurred recurring net losses from operations and negative cash flows from operating activities since inception. As of June 30, 2026, we had a working capital deficit of approximately $16.2 million and an accumulated deficit of approximately $114.2 million. These factors raise substantial doubt regarding the Company’s ability to continue as a going concern within one year of the date these financial statements were issued.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Parabolic will continue as a going concern, which contemplates the realization of assets and satisfaction of liabilities in the normal course of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plans and consider other means of creating value for our stockholders. See also </w:t>
      </w:r>
      <w:r>
        <w:rPr>
          <w:rFonts w:ascii="Times New Roman" w:hAnsi="Times New Roman"/>
          <w:i/>
          <w:color w:val="000000"/>
          <w:sz w:val="20"/>
        </w:rPr>
        <w:t xml:space="preserve">Note 2 – Going Concern </w:t>
      </w:r>
      <w:r>
        <w:rPr>
          <w:rFonts w:ascii="Times New Roman" w:hAnsi="Times New Roman"/>
          <w:color w:val="000000"/>
          <w:sz w:val="20"/>
        </w:rPr>
        <w:t>to our condensed consolidated financial statements in this Report.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structure and sources of liquidity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We may seek to raise additional capital through a combination of equity and debt financings, including continued use of our ATM facility and our SEPA to support our operations and expansion through acquisition. See </w:t>
      </w:r>
      <w:r>
        <w:rPr>
          <w:rFonts w:ascii="Times New Roman" w:hAnsi="Times New Roman"/>
          <w:i/>
          <w:color w:val="000000"/>
          <w:sz w:val="20"/>
        </w:rPr>
        <w:t>Note 11 – Debt</w:t>
      </w:r>
      <w:r>
        <w:rPr>
          <w:rFonts w:ascii="Times New Roman" w:hAnsi="Times New Roman"/>
          <w:color w:val="000000"/>
          <w:sz w:val="20"/>
        </w:rPr>
        <w:t xml:space="preserve"> and </w:t>
      </w:r>
      <w:r>
        <w:rPr>
          <w:rFonts w:ascii="Times New Roman" w:hAnsi="Times New Roman"/>
          <w:i/>
          <w:color w:val="000000"/>
          <w:sz w:val="20"/>
        </w:rPr>
        <w:t>Note 14 – Equity</w:t>
      </w:r>
      <w:r>
        <w:rPr>
          <w:rFonts w:ascii="Times New Roman" w:hAnsi="Times New Roman"/>
          <w:color w:val="000000"/>
          <w:sz w:val="20"/>
        </w:rPr>
        <w:t xml:space="preserve"> to our condensed consolidated financial statements in this Report for further discussion of these arrangements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hAnsi="Times New Roman"/>
          <w:i/>
          <w:color w:val="000000"/>
          <w:sz w:val="20"/>
        </w:rPr>
        <w:t>Risk Factors</w:t>
      </w:r>
      <w:r>
        <w:rPr>
          <w:rFonts w:ascii="Times New Roman" w:hAnsi="Times New Roman"/>
          <w:color w:val="000000"/>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certain information related to our cash flows for the six months ended June 30, 2026 and 2025. See also our unaudited condensed consolidated statements of cash flows in this Report:</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36"/>
        <w:gridCol w:w="166"/>
        <w:gridCol w:w="146"/>
        <w:gridCol w:w="211"/>
        <w:gridCol w:w="631"/>
        <w:gridCol w:w="166"/>
        <w:gridCol w:w="146"/>
        <w:gridCol w:w="146"/>
        <w:gridCol w:w="571"/>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six months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cash used in operating activities was primarily driven by the net loss, and by working capital adjustments totaling $1.4 million (unfavorable), partially offset by adjustments for non-cash items totaling $5.4 million (favorable). The non-cash items primarily consisted of addbacks for stock-based compensation expense of approximately $2.5 million and depreciation and amortization of approximately $0.6 million, the net impact of debt-related transactions (loss on issuance of debt and non-cash interest expense) totaling $1.7 million favorable, and the net impact of change in fair value adjustments (including debt under the fair value option, warrants and derivatives) totaling $0.7 million favorable.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primarily driven by proceeds from issuance of shares under the SEPA totaling approximately $5.5 million, proceeds from issuances of debt (both convertible and term) totaling approximately $3.7 million, proceeds from issuances of shares and warrants totaling $2.7 million, partially offset by repayments of debt totaling $2.2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six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approximately $9.0 million for the six months ended June 30, 2025. Net cash used in operating activities consists of net loss of approximately $11.4 million, offset by total adjustments of approximately $2.4 million for non-cash items and the effect of changes in working capital. Non-cash adjustments primarily included stock compensation expense of approximately $1.1 million, gain on extinguishment of liability of approximately $4.5 million, loss on issuances of debt of approximately $1.3 million, loss on extinguishment of term notes of approximately $1.8 million, non-cash interest expense of approximately $1.2 million, fair value adjustment of convertible promissory notes of approximately $0.2 million, fair value adjustment of term notes of approximately $0.3 million, consulting expenses paid via share issuance of approximately $0.2 million, depreciation and amortization of intangible assets of approximately $0.5 million and net of change in operating assets and liabilities of approximately $0.3 million.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investing activities was approximately $2.7 million for the six months ended June 30, 2025 and was related to the net cash paid in the acquisition of 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approximately $12.9 million for the six months ended June 30, 2025, and was primarily related to proceeds from convertible debt financing of approximately $5.3 million, net proceeds from the issuance of term notes of approximately $4.3 million, proceeds from issuance of shares under the SEPA agreement of approximately $13.6 million, repayment of term notes of approximately $5.9 million, partial repayment of convertible notes with a related party of approximately $0.9 million, repayment of Yorkville convertible notes of approximately $3.6 million, and payment of the GEM commitment fee promissory note of approximately $0.2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Structure, Debt Maturity Profile, Contractual Obligations and Commitments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31"/>
        <w:gridCol w:w="146"/>
        <w:gridCol w:w="211"/>
        <w:gridCol w:w="676"/>
        <w:gridCol w:w="146"/>
        <w:gridCol w:w="146"/>
        <w:gridCol w:w="255"/>
        <w:gridCol w:w="690"/>
        <w:gridCol w:w="146"/>
        <w:gridCol w:w="146"/>
        <w:gridCol w:w="345"/>
        <w:gridCol w:w="1108"/>
        <w:gridCol w:w="146"/>
        <w:gridCol w:w="146"/>
        <w:gridCol w:w="264"/>
        <w:gridCol w:w="848"/>
        <w:gridCol w:w="183"/>
        <w:gridCol w:w="183"/>
        <w:gridCol w:w="264"/>
        <w:gridCol w:w="528"/>
        <w:gridCol w:w="197"/>
      </w:tblGrid>
      <w:tr>
        <w:trPr/>
        <w:tc>
          <w:tcPr>
            <w:tcW w:w="3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Total Principal and Accrued Interest due in:</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Total Principal and 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Less than 1 year</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1 - 3 Years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Agile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Private Placement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Boot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TVT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 commitments and financing requirements arising subsequent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Closing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First Deferred Cash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ConnectAndSell acquisition – Second Deferred Cash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C&amp;S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Agile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UCAP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1800 Diagonal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 3i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Deferred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an operating lease for office space. The lease term expires in October 2027. The lease liability balance as of June 30, 2026 represents the future minimum lease payments under non-cancellable leases as liabilities.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Contingent Items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Company has contingent obligations related to the ConnectAndSell acquisition, including earn-out payments of an undeterminable amount based on ConnectAndSell's revenue performance through July 2027, and a potential cash payment of up to approximately $5.9 million if stockholder approval for the related share issuance is not obtained by approximately October 30, 2026, payable within 30 days thereafter.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Parabolic had no off-balance sheet arrangements as of June 30, 2026.</w:t>
      </w:r>
    </w:p>
    <w:p>
      <w:pPr>
        <w:pStyle w:val="TextBody"/>
        <w:bidi w:val="0"/>
        <w:jc w:val="both"/>
        <w:rPr/>
      </w:pPr>
      <w:r>
        <w:rPr/>
        <w:t> </w:t>
      </w:r>
    </w:p>
    <w:p>
      <w:pPr>
        <w:pStyle w:val="TextBody"/>
        <w:bidi w:val="0"/>
        <w:jc w:val="left"/>
        <w:rPr>
          <w:rFonts w:ascii="Times New Roman" w:hAnsi="Times New Roman"/>
          <w:b/>
          <w:color w:val="000000"/>
          <w:sz w:val="20"/>
        </w:rPr>
      </w:pPr>
      <w:bookmarkStart w:id="10" w:name="item3_marketrisk"/>
      <w:bookmarkEnd w:id="10"/>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is not applicable as we are a smaller reporting company. </w:t>
      </w:r>
    </w:p>
    <w:p>
      <w:pPr>
        <w:pStyle w:val="TextBody"/>
        <w:bidi w:val="0"/>
        <w:jc w:val="both"/>
        <w:rPr/>
      </w:pPr>
      <w:r>
        <w:rPr/>
        <w:t> </w:t>
      </w:r>
    </w:p>
    <w:p>
      <w:pPr>
        <w:pStyle w:val="TextBody"/>
        <w:bidi w:val="0"/>
        <w:jc w:val="left"/>
        <w:rPr>
          <w:rFonts w:ascii="Times New Roman" w:hAnsi="Times New Roman"/>
          <w:b/>
          <w:color w:val="000000"/>
          <w:sz w:val="20"/>
        </w:rPr>
      </w:pPr>
      <w:bookmarkStart w:id="11" w:name="item4_controls"/>
      <w:bookmarkEnd w:id="11"/>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under the supervision and with the participation of our management, including our Chief Executive Officer and Chief Financial Officer, we carried out an evaluation of the effectiveness of the design and operation of our disclosure controls and procedures (as defined in Rules 13a</w:t>
        <w:noBreakHyphen/>
        <w:t>15(e) and 15d</w:t>
        <w:noBreakHyphen/>
        <w:t>15(e) under the Securities Exchange Act of 1934, as amended) as of the end of the period covered by this Quarterly Report on Form 10</w:t>
        <w:noBreakHyphen/>
        <w:t>Q. Based upon that evaluation, our Chief Executive Officer and Chief Financial Officer concluded that our disclosure controls and procedures were not effective as of June 30, 2026, due to the previously disclosed material weaknesses in our internal control over financial reporting related to IT general controls, entity</w:t>
        <w:noBreakHyphen/>
        <w:t>level controls in accordance with the COSO Integrated Framework, and the period</w:t>
        <w:noBreakHyphen/>
        <w:t>end financial close and reporting process, as described in our Annual Report on Form 10</w:t>
        <w:noBreakHyphen/>
        <w:t>K for the year ended December 31, 2025 filed with the SEC on March 31, 2026 (the “2025 Form 10</w:t>
        <w:noBreakHyphen/>
        <w:t xml:space="preserve">K”).We remain committed to remediating the material weaknesses and improving our internal control over financial reporting.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March 31, 2026, we implemented a new enterprise resource planning (“ERP”) system. We believe the ERP implementation, along with related process enhancements and controls implemented in connection with the new system, is an important step in our remediation efforts and in strengthening our overall control environment. However, our remediation efforts are ongoing, and the material weaknesses will not be considered remediated until the applicable controls have operated for a sufficient period of time and management has concluded, through testing, that such controls are designed and operating effectively. As we continue our evaluation and improve our internal control over financial reporting, management may identify and take additional measures to address control deficiencies. We cannot provide assurance that we will be successful in remediating the material weaknesses in a timely manner.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Rule 13a</w:t>
        <w:noBreakHyphen/>
        <w:t>15(d) of the Exchange Act, our management, including our Chief Executive Officer and our Chief Financial Officer, evaluated whether any change in our internal control over financial reporting (as defined in Rules 13a</w:t>
        <w:noBreakHyphen/>
        <w:t>15(f) and 15d</w:t>
        <w:noBreakHyphen/>
        <w:t>15(f) under the Exchange Act) occurred during the quarter ended June 30, 2026 that has materially affected, or is reasonably likely to materially affect, our internal control over financial reporting. During the quarter ended March 31, 2026, we implemented a new ERP system, which resulted in changes to our information technology environment, business processes, and certain controls within our financial reporting processes. We have designed and implemented controls related to the new ERP system, including controls related to user access and segregation of duties, change management, and controls supporting transaction processing and period</w:t>
        <w:noBreakHyphen/>
        <w:t>end financial reporting. We believe these changes are expected to enhance our internal control environment and support our ongoing remediation efforts. Other than the foregoing, and our ongoing remediation activities related to the previously disclosed material weaknesses, there were no other changes in our internal control over financial reporting during the quarter ended June 30, 2026 that have materially affected, or are reasonably likely to materially affect, our internal control over financial reporting.</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b/>
          <w:color w:val="000000"/>
          <w:sz w:val="20"/>
        </w:rPr>
      </w:pPr>
      <w:bookmarkStart w:id="12" w:name="partii_otherinformation"/>
      <w:bookmarkEnd w:id="12"/>
      <w:r>
        <w:rPr>
          <w:rFonts w:ascii="Times New Roman" w:hAnsi="Times New Roman"/>
          <w:b/>
          <w:color w:val="000000"/>
          <w:sz w:val="20"/>
        </w:rPr>
        <w:t>PART II—OTHER INFORMATION</w:t>
      </w:r>
    </w:p>
    <w:p>
      <w:pPr>
        <w:pStyle w:val="TextBody"/>
        <w:bidi w:val="0"/>
        <w:jc w:val="left"/>
        <w:rPr>
          <w:rFonts w:ascii="Times New Roman" w:hAnsi="Times New Roman"/>
          <w:b/>
          <w:color w:val="000000"/>
          <w:sz w:val="20"/>
        </w:rPr>
      </w:pPr>
      <w:bookmarkStart w:id="13" w:name="part2_item1_legalproceedings"/>
      <w:bookmarkEnd w:id="13"/>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jc w:val="both"/>
        <w:rPr/>
      </w:pPr>
      <w:r>
        <w:rPr/>
        <w:t> </w:t>
      </w:r>
    </w:p>
    <w:p>
      <w:pPr>
        <w:pStyle w:val="TextBody"/>
        <w:bidi w:val="0"/>
        <w:jc w:val="left"/>
        <w:rPr>
          <w:rFonts w:ascii="Times New Roman" w:hAnsi="Times New Roman"/>
          <w:b/>
          <w:color w:val="000000"/>
          <w:sz w:val="20"/>
        </w:rPr>
      </w:pPr>
      <w:bookmarkStart w:id="14" w:name="part2_item1a_riskfactors"/>
      <w:bookmarkEnd w:id="14"/>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2025 as supplemented and updated by subsequent current reports on Form 8-K that we have filed or will file with the SEC. </w:t>
      </w:r>
    </w:p>
    <w:p>
      <w:pPr>
        <w:pStyle w:val="TextBody"/>
        <w:bidi w:val="0"/>
        <w:jc w:val="both"/>
        <w:rPr/>
      </w:pPr>
      <w:r>
        <w:rPr/>
        <w:t> </w:t>
      </w:r>
    </w:p>
    <w:p>
      <w:pPr>
        <w:pStyle w:val="TextBody"/>
        <w:bidi w:val="0"/>
        <w:jc w:val="left"/>
        <w:rPr>
          <w:rFonts w:ascii="Times New Roman" w:hAnsi="Times New Roman"/>
          <w:b/>
          <w:color w:val="000000"/>
          <w:sz w:val="20"/>
        </w:rPr>
      </w:pPr>
      <w:bookmarkStart w:id="15" w:name="part2_item2_unregisteredsales"/>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1800 Diagonal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May 5, 2026 and May 11, 2026, the Company issued an aggregate of 36,448 shares of Class A Common Stock pursuant to conversion notices received from 1800 Diagonal to convert an aggregate of approximately $142 thousand in notes the Company previously issued to them; the conversion prices ranged from $3.303 to $4.52 per share.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Agile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the Company entered into multiple exchange agreements with Agile on substantially similar terms as the Agile Exchange Agreement pursuant to which the Company issued an aggregate of 274,145 shares of its Class A common stock at conversion prices per share ranging from $2.95 to $12.40 in exchange for a reduction of $1.2 million in the outstanding balance of the March Agile Note. Following these exchanges, the outstanding balance of the March Agile Note was fully extinguished.</w:t>
      </w:r>
    </w:p>
    <w:p>
      <w:pPr>
        <w:pStyle w:val="TextBody"/>
        <w:bidi w:val="0"/>
        <w:jc w:val="left"/>
        <w:rPr/>
      </w:pPr>
      <w:r>
        <w:rPr/>
        <w:t> </w:t>
      </w:r>
    </w:p>
    <w:p>
      <w:pPr>
        <w:pStyle w:val="TextBody"/>
        <w:bidi w:val="0"/>
        <w:jc w:val="left"/>
        <w:rPr>
          <w:rFonts w:ascii="Times New Roman" w:hAnsi="Times New Roman"/>
          <w:b/>
          <w:color w:val="000000"/>
          <w:sz w:val="20"/>
        </w:rPr>
      </w:pPr>
      <w:bookmarkStart w:id="16" w:name="part2_item3_default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7" w:name="part2_item4_minesafety"/>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8" w:name="part2_item5_otherinfo"/>
      <w:bookmarkEnd w:id="18"/>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these terms are defined in Item 408(a) of Regulation 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the following did not occur during the period covered by this Report, we are reporting it here due to its significance to investors or potential investors. 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exhibits"/>
      <w:bookmarkStart w:id="20" w:name="part2_item6_exhibits"/>
      <w:bookmarkEnd w:id="19"/>
      <w:bookmarkEnd w:id="20"/>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included as exhibits to this 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At the Market Offering Agreement, dated August 27, 2025 by and between Banzai and H.C. Wainwright &amp; Co., LLC (incorporated by reference to the Current Report on Form 8-K filed on August 28,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"rom441541_40"</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dated December 8, 2022, by and among Banzai, 7GC, First Merger Sub and Second Merger Sub (incorporated by reference to Annex A-1 to the Registration Statement on Form S-4 filed on August 31, 2023).</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"https://www.sec.gov/Archives/edgar/data/1826011/000119312523225201/d441541ds4.htm" \l "rom441541_40"</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to Agreement and Plan of Merger, dated August 4, 2023, by and among the Company and 7GC (incorporated by reference to Annex A-2 to the Registration Statement on Form S-4 filed on August 31, 2023).</w:t>
            </w:r>
            <w:r>
              <w:rPr>
                <w:rStyle w:val="InternetLink"/>
                <w:sz w:val="20"/>
                <w:u w:val="single"/>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December 10, 2024, by and among Banzai International, Inc., Banzai Reel Acquisition, Inc. ClearDoc, Inc., and certain stockholders of ClearDoc, Inc. (incorporated by reference to Exhibit 2.1 to the Current Report on Form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Acquisition Agreement, dated December 19, 2024, by and among Banzai International, Inc., Vidello Limited, and the Shareholders of Vidello Limited (incorporated by reference to Exhibit 2.1 to the Current Report on Form 8-K filed on December 20,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dated January 22, 2025 by and between Banzai International, Inc. and Act-On Software, Inc. (incorporated by reference to the Current Report on Form 8-K filed on January 23,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Asset Purchase Agreement, dated as of July 2, 2026, by and between Banzai International, Inc. and ConnectAndSell, Inc. (incorporated by reference to Exhibit 2.1 to the Current Report on Form 8-K filed on July 7, 2026).</w:t>
              </w:r>
            </w:hyperlink>
          </w:p>
        </w:tc>
      </w:tr>
      <w:tr>
        <w:trPr/>
        <w:tc>
          <w:tcPr>
            <w:tcW w:w="8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Amended and Restated Certificate of Incorporation of the Company, dated December 14, 2023. (incorporated by reference to Exhibit 3.1 to the Current Report on Form 8-K filed on December 20, 2023).</w:t>
              </w:r>
            </w:hyperlink>
            <w:hyperlink r:id="rId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Second Amended and Restated Bylaws of the Company, dated December 14, 2023 (incorporated by reference to Exhibit 3.2 to the Current Report on Form 8-K filed on December 20, 2023).</w:t>
              </w:r>
            </w:hyperlink>
            <w:hyperlink r:id="rId10">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Third Amended and Restated Bylaws of the Company, dated March 3, 2025 (incorporated by reference to Exhibit 3.2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to Second Amended and Restated Certificate of Incorporation of the Company, dated September 11, 2024. (incorporated by reference to Exhibit 3.1 to the Current Report on Form 8-K filed on September 16,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to Second Amended and Restated Certificate of Incorporation of the Company, dated March 3, 2025. (incorporated by reference to Exhibit 3.1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Amendment (2025 Stock Split) to Certificate of Incorporation of the Company, dated June 24, 2025. (incorporated by reference to Exhibit 3.1 to the Current Report on Form 8-K filed on June 27,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Amendment to Second Amended and Restated Certificate of Incorporation of the Company (incorporated by reference to Exhibit 3.1 to the Current Report on Form 8-K filed on April 28,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Specimen Class A Common Stock Certificate of the Company (incorporated by reference to Exhibit 4.1 to the Current Report on Form 8-K filed on December 20, 2023).</w:t>
              </w:r>
            </w:hyperlink>
            <w:hyperlink r:id="rId1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Specimen Class B Common Stock Certificate of the Company (incorporated by reference to Exhibit 4.2 to the Current Report on Form 8-K filed on December 20, 2023).</w:t>
              </w:r>
            </w:hyperlink>
            <w:hyperlink r:id="rId1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Specimen Warrant Certificate of the Company (incorporated by reference to Exhibit 4.3 to the Current Report on Form 8-K filed on December 20, 2023).</w:t>
              </w:r>
            </w:hyperlink>
            <w:hyperlink r:id="rId21">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Warrant Agreement, dated December 22, 2020, by and between 7GC and Continental Stock Transfer &amp; Trust Company, as warrant agent (incorporated by reference to Exhibit 4.1 to the Current Report on Form 8-K filed by 7GC on December 28, 2020).</w:t>
              </w:r>
            </w:hyperlink>
            <w:hyperlink r:id="rId23">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Amended and Restated Convertible Promissory Note, by and among Banzai and CP BF Lending, LLC (incorporated by reference to Exhibit 4.7 to the Registration Statement on Form S-4 filed by 7GC on August 30, 2023).</w:t>
              </w:r>
            </w:hyperlink>
            <w:hyperlink r:id="rId25">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Subordinated Promissory Note, dated December 13, 2023, issued by the Company to Alco Investment Company (incorporated by reference to Exhibit 4.5 to the Current Report on Form 8-K filed on December 20, 2023).</w:t>
              </w:r>
            </w:hyperlink>
            <w:hyperlink r:id="rId2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Warrant to Purchase Shares of Common Stock of Banzai International, Inc., dated December 15, 2023, issued by the Company to GEM Yield Bahamas Limited (incorporated by reference to Exhibit 4.7 to the Current Report on Form 8-K filed on December 20, 2023).</w:t>
              </w:r>
            </w:hyperlink>
            <w:hyperlink r:id="rId2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Promissory Note, dated as of December 14, 2023, issued by Banzai International, Inc. to YA II PN, LTD (incorporated by reference to Exhibit 10.2 to the Current Report on Form 8-K filed on December 18, 2023).</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9316"/>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Promissory Note, dated as of February 5, 2024, issued by Banzai International, Inc. to YA II PN, LTD (incorporated by reference to Exhibit 4.11 to the Registration Statement on Form S-1 filed on February 5, 2024).</w:t>
              </w:r>
            </w:hyperlink>
            <w:hyperlink r:id="rId32">
              <w:r>
                <w:rPr>
                  <w:rStyle w:val="InternetLink"/>
                  <w:rFonts w:ascii="Times New Roman" w:hAnsi="Times New Roman"/>
                  <w:color w:val="0000FF"/>
                  <w:sz w:val="20"/>
                </w:rPr>
                <w:t xml:space="preserve"> </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Promissory Note Agreement, dated as of March 26, 2024, issued by Banzai International, Inc. to YA II PN, LTD (incorporated by reference to Exhibit 4.10 to the Annual Report on Form 10-K filed on April 15,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Certificate of Designation of Series FE Preferred Stock (incorporated by reference to the 8-K filed on December 19, 2024).</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Senior Secured Convertible Note (incorporated by reference to the Current Report on Form 8-K filed on July 3,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Warrant (incorporated by reference to the Current Report on Form 8-K filed on July 3,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Additional Note (incorporated by reference to Exhibit 4.3 to the Current Report on Form 8-K filed on August 22,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Additional Warrant (incorporated by reference to Exhibit 4.4 to the Current Report on Form 8-k filed on August 22, 2025).</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Senior Secured Convertible Note (incorporated by reference to Exhibit 4.3 to the Current Report on Form 8-K filed on February 13,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Warrant To Purchase Common Stock (incorporated by reference to Exhibit 4.4 to the Current Report on Form 8-K filed on February 13,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Pre-Funded Warrant (incorporated by reference to Exhibit 4.1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Employee Indebtedness Note (incorporated by reference to Exhibit 4.2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Exchange Agreement (incorporated by reference to Exhibit 10.3 to the Current Report on Form 8-K filed on May 5,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Side Letter to Loan Agreement with CP BF Lending, LLC, dated May 15, 2026 (incorporated by reference to Exhibit 10.7 to the Current Report on Form 8-K/A filed on May 18,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Registration Rights Agreement (incorporated by reference to Exhibit 10.1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Assignment and Bill of Sale (incorporated by reference to Exhibit 10.2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 of Voting and Support Agreement (incorporated by reference to Exhibit 10.3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Reverse Services Agreement (incorporated by reference to Exhibit 10.4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Subordinated Business Loan and Security Agreement, dated July 1, 2026, by and among Agile Capital Funding, LLC, as Collateral Agent, Agile Lending, LLC, as Lead Lender, Banzai International, Inc., and the other Borrowers party thereto (incorporated by reference to Exhibit 10.5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Subordinated Secured Promissory Note, dated July 1, 2026, by Banzai International, Inc. and the other Borrowers in favor of Agile Lending, LLC (incorporated by reference to Exhibit 10.6 to the Current Report on Form 8-K filed on July 7,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 (incorporated by reference to Exhibit 31.1 to the Quarterly Report on Form 10-Q filed on August 14,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 (incorporated by reference to Exhibit 31.2 to the Quarterly Report on Form 10-Q filed on August 14,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 (incorporated by reference to Exhibit 32.1 to the Quarterly Report on Form 10-Q filed on August 14,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 (incorporated by reference to Exhibit 32.2 to the Quarterly Report on Form 10-Q filed on August 14, 2026).</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
        <w:gridCol w:w="146"/>
        <w:gridCol w:w="9659"/>
      </w:tblGrid>
      <w:tr>
        <w:trPr/>
        <w:tc>
          <w:tcPr>
            <w:tcW w:w="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9" w:type="dxa"/>
            <w:tcBorders/>
            <w:vAlign w:val="center"/>
          </w:tcPr>
          <w:p>
            <w:pPr>
              <w:pStyle w:val="TableContents"/>
              <w:bidi w:val="0"/>
              <w:spacing w:before="0" w:after="283"/>
              <w:jc w:val="left"/>
              <w:rPr>
                <w:sz w:val="4"/>
                <w:szCs w:val="4"/>
              </w:rPr>
            </w:pPr>
            <w:r>
              <w:rPr>
                <w:sz w:val="4"/>
                <w:szCs w:val="4"/>
              </w:rPr>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 or arrangement.</w:t>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schedules and exhibits to this agreement have been omitted pursuant to Item 601(b)(2) of Regulation S-K. A copy of any omitted schedule and/or exhibit will be furnished to the SEC upon request.</w:t>
            </w:r>
          </w:p>
          <w:p>
            <w:pPr>
              <w:pStyle w:val="TableContents"/>
              <w:bidi w:val="0"/>
              <w:spacing w:before="0" w:after="283"/>
              <w:jc w:val="left"/>
              <w:rPr/>
            </w:pPr>
            <w:r>
              <w:rPr/>
              <w:t> </w:t>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XBRL Instance Document and Cover Page Interactive Data File do not appear in the Interactive Data File because their XBRL tags are embedded within the Inline XBRL document.</w:t>
            </w:r>
          </w:p>
        </w:tc>
      </w:tr>
      <w:tr>
        <w:trPr/>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electronically herewith.</w:t>
            </w:r>
          </w:p>
        </w:tc>
      </w:tr>
    </w:tbl>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Securities Exchange Act of 1934, the registrant has duly caused this report to be signed on its behalf by the undersigned, thereunto duly authorized, on August 14, 2026.</w:t>
      </w:r>
    </w:p>
    <w:p>
      <w:pPr>
        <w:pStyle w:val="TextBody"/>
        <w:bidi w:val="0"/>
        <w:jc w:val="left"/>
        <w:rPr/>
      </w:pPr>
      <w:r>
        <w:rPr/>
        <w:t> </w:t>
      </w:r>
    </w:p>
    <w:tbl>
      <w:tblPr>
        <w:tblW w:w="5172" w:type="dxa"/>
        <w:jc w:val="left"/>
        <w:tblInd w:w="0" w:type="dxa"/>
        <w:tblLayout w:type="fixed"/>
        <w:tblCellMar>
          <w:top w:w="28" w:type="dxa"/>
          <w:left w:w="28" w:type="dxa"/>
          <w:bottom w:w="28" w:type="dxa"/>
          <w:right w:w="28" w:type="dxa"/>
        </w:tblCellMar>
      </w:tblPr>
      <w:tblGrid>
        <w:gridCol w:w="1951"/>
        <w:gridCol w:w="146"/>
        <w:gridCol w:w="492"/>
        <w:gridCol w:w="2583"/>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BANZAI INTERNATIONAL,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5012412/ex1-1.htm" TargetMode="External"/><Relationship Id="rId3" Type="http://schemas.openxmlformats.org/officeDocument/2006/relationships/hyperlink" Target="https://www.sec.gov/Archives/edgar/data/1826011/000149315224049374/ex2-1.htm" TargetMode="External"/><Relationship Id="rId4" Type="http://schemas.openxmlformats.org/officeDocument/2006/relationships/hyperlink" Target="https://www.sec.gov/Archives/edgar/data/1826011/000149315224050891/ex2-1.htm" TargetMode="External"/><Relationship Id="rId5" Type="http://schemas.openxmlformats.org/officeDocument/2006/relationships/hyperlink" Target="https://www.sec.gov/Archives/edgar/data/1826011/000149315225003319/ex2-1.htm" TargetMode="External"/><Relationship Id="rId6" Type="http://schemas.openxmlformats.org/officeDocument/2006/relationships/hyperlink" Target="https://www.sec.gov/Archives/edgar/data/1826011/000119312526297663/bnzi-ex2_1.htm" TargetMode="External"/><Relationship Id="rId7" Type="http://schemas.openxmlformats.org/officeDocument/2006/relationships/hyperlink" Target="https://www.sec.gov/Archives/edgar/data/1826011/000119312523300033/d449527dex31.htm" TargetMode="External"/><Relationship Id="rId8" Type="http://schemas.openxmlformats.org/officeDocument/2006/relationships/hyperlink" Target="https://www.sec.gov/Archives/edgar/data/1826011/000119312523300033/d449527dex31.htm" TargetMode="External"/><Relationship Id="rId9" Type="http://schemas.openxmlformats.org/officeDocument/2006/relationships/hyperlink" Target="https://www.sec.gov/Archives/edgar/data/1826011/000119312523300033/d449527dex32.htm" TargetMode="External"/><Relationship Id="rId10" Type="http://schemas.openxmlformats.org/officeDocument/2006/relationships/hyperlink" Target="https://www.sec.gov/Archives/edgar/data/1826011/000119312523300033/d449527dex32.htm" TargetMode="External"/><Relationship Id="rId11" Type="http://schemas.openxmlformats.org/officeDocument/2006/relationships/hyperlink" Target="https://www.sec.gov/Archives/edgar/data/1826011/000149315225009079/ex3-2.htm" TargetMode="External"/><Relationship Id="rId12" Type="http://schemas.openxmlformats.org/officeDocument/2006/relationships/hyperlink" Target="https://www.sec.gov/Archives/edgar/data/1826011/000149315224036413/ex3-1.htm" TargetMode="External"/><Relationship Id="rId13" Type="http://schemas.openxmlformats.org/officeDocument/2006/relationships/hyperlink" Target="https://www.sec.gov/Archives/edgar/data/1826011/000149315225009079/ex3-1.htm" TargetMode="External"/><Relationship Id="rId14" Type="http://schemas.openxmlformats.org/officeDocument/2006/relationships/hyperlink" Target="https://www.sec.gov/Archives/edgar/data/1826011/000164117225016949/ex3-1.htm" TargetMode="External"/><Relationship Id="rId15" Type="http://schemas.openxmlformats.org/officeDocument/2006/relationships/hyperlink" Target="https://www.sec.gov/Archives/edgar/data/1826011/000119312526187087/bnzi-ex3_1.htm" TargetMode="External"/><Relationship Id="rId16" Type="http://schemas.openxmlformats.org/officeDocument/2006/relationships/hyperlink" Target="https://www.sec.gov/Archives/edgar/data/1826011/000119312523300033/d449527dex41.htm" TargetMode="External"/><Relationship Id="rId17" Type="http://schemas.openxmlformats.org/officeDocument/2006/relationships/hyperlink" Target="https://www.sec.gov/Archives/edgar/data/1826011/000119312523300033/d449527dex41.htm" TargetMode="External"/><Relationship Id="rId18" Type="http://schemas.openxmlformats.org/officeDocument/2006/relationships/hyperlink" Target="https://www.sec.gov/Archives/edgar/data/1826011/000119312523300033/d449527dex42.htm" TargetMode="External"/><Relationship Id="rId19" Type="http://schemas.openxmlformats.org/officeDocument/2006/relationships/hyperlink" Target="https://www.sec.gov/Archives/edgar/data/1826011/000119312523300033/d449527dex42.htm" TargetMode="External"/><Relationship Id="rId20" Type="http://schemas.openxmlformats.org/officeDocument/2006/relationships/hyperlink" Target="https://www.sec.gov/Archives/edgar/data/1826011/000119312523300033/d449527dex43.htm" TargetMode="External"/><Relationship Id="rId21" Type="http://schemas.openxmlformats.org/officeDocument/2006/relationships/hyperlink" Target="https://www.sec.gov/Archives/edgar/data/1826011/000119312523300033/d449527dex43.htm" TargetMode="External"/><Relationship Id="rId22" Type="http://schemas.openxmlformats.org/officeDocument/2006/relationships/hyperlink" Target="https://www.sec.gov/Archives/edgar/data/1826011/000121390020044825/ea132294ex4-1_7gcholdings.htm" TargetMode="External"/><Relationship Id="rId23" Type="http://schemas.openxmlformats.org/officeDocument/2006/relationships/hyperlink" Target="https://www.sec.gov/Archives/edgar/data/1826011/000121390020044825/ea132294ex4-1_7gcholdings.htm" TargetMode="External"/><Relationship Id="rId24" Type="http://schemas.openxmlformats.org/officeDocument/2006/relationships/hyperlink" Target="https://www.sec.gov/Archives/edgar/data/1826011/000119312523225201/d441541dex47.htm" TargetMode="External"/><Relationship Id="rId25" Type="http://schemas.openxmlformats.org/officeDocument/2006/relationships/hyperlink" Target="https://www.sec.gov/Archives/edgar/data/1826011/000119312523225201/d441541dex47.htm" TargetMode="External"/><Relationship Id="rId26" Type="http://schemas.openxmlformats.org/officeDocument/2006/relationships/hyperlink" Target="https://www.sec.gov/Archives/edgar/data/1826011/000119312523300033/d449527dex45.htm" TargetMode="External"/><Relationship Id="rId27" Type="http://schemas.openxmlformats.org/officeDocument/2006/relationships/hyperlink" Target="https://www.sec.gov/Archives/edgar/data/1826011/000119312523300033/d449527dex45.htm" TargetMode="External"/><Relationship Id="rId28" Type="http://schemas.openxmlformats.org/officeDocument/2006/relationships/hyperlink" Target="https://www.sec.gov/Archives/edgar/data/1826011/000119312523300033/d449527dex47.htm" TargetMode="External"/><Relationship Id="rId29" Type="http://schemas.openxmlformats.org/officeDocument/2006/relationships/hyperlink" Target="https://www.sec.gov/Archives/edgar/data/1826011/000119312523300033/d449527dex47.htm" TargetMode="External"/><Relationship Id="rId30" Type="http://schemas.openxmlformats.org/officeDocument/2006/relationships/hyperlink" Target="https://www.sec.gov/Archives/edgar/data/1826011/000119312523297160/d564833dex102.htm" TargetMode="External"/><Relationship Id="rId31" Type="http://schemas.openxmlformats.org/officeDocument/2006/relationships/hyperlink" Target="https://www.sec.gov/Archives/edgar/data/1826011/000119312524023808/d567008dex411.htm" TargetMode="External"/><Relationship Id="rId32" Type="http://schemas.openxmlformats.org/officeDocument/2006/relationships/hyperlink" Target="https://www.sec.gov/Archives/edgar/data/1826011/000119312524023808/d567008dex411.htm" TargetMode="External"/><Relationship Id="rId33" Type="http://schemas.openxmlformats.org/officeDocument/2006/relationships/hyperlink" Target="https://www.sec.gov/Archives/edgar/data/1826011/000095017025054303/bnzi-ex4_10.htm" TargetMode="External"/><Relationship Id="rId34" Type="http://schemas.openxmlformats.org/officeDocument/2006/relationships/hyperlink" Target="https://www.sec.gov/Archives/edgar/data/1826011/000149315224050696/ex3-1.htm" TargetMode="External"/><Relationship Id="rId35" Type="http://schemas.openxmlformats.org/officeDocument/2006/relationships/hyperlink" Target="https://www.sec.gov/Archives/edgar/data/1826011/000164117225017861/ex4-1.htm" TargetMode="External"/><Relationship Id="rId36" Type="http://schemas.openxmlformats.org/officeDocument/2006/relationships/hyperlink" Target="https://www.sec.gov/Archives/edgar/data/1826011/000164117225017861/ex4-2.htm" TargetMode="External"/><Relationship Id="rId37" Type="http://schemas.openxmlformats.org/officeDocument/2006/relationships/hyperlink" Target="https://www.sec.gov/Archives/edgar/data/1826011/000149315225012268/ex4-3.htm" TargetMode="External"/><Relationship Id="rId38" Type="http://schemas.openxmlformats.org/officeDocument/2006/relationships/hyperlink" Target="https://www.sec.gov/Archives/edgar/data/1826011/000149315225012268/ex4-4.htm" TargetMode="External"/><Relationship Id="rId39" Type="http://schemas.openxmlformats.org/officeDocument/2006/relationships/hyperlink" Target="https://www.sec.gov/Archives/edgar/data/1826011/000149315226006807/ex4-3.htm" TargetMode="External"/><Relationship Id="rId40" Type="http://schemas.openxmlformats.org/officeDocument/2006/relationships/hyperlink" Target="https://www.sec.gov/Archives/edgar/data/1826011/000149315226006807/ex4-4.htm" TargetMode="External"/><Relationship Id="rId41" Type="http://schemas.openxmlformats.org/officeDocument/2006/relationships/hyperlink" Target="https://www.sec.gov/Archives/edgar/data/1826011/000119312526297663/bnzi-ex4_1.htm" TargetMode="External"/><Relationship Id="rId42" Type="http://schemas.openxmlformats.org/officeDocument/2006/relationships/hyperlink" Target="https://www.sec.gov/Archives/edgar/data/1826011/000119312526297663/bnzi-ex4_2.htm" TargetMode="External"/><Relationship Id="rId43" Type="http://schemas.openxmlformats.org/officeDocument/2006/relationships/hyperlink" Target="https://www.sec.gov/Archives/edgar/data/1826011/000119312526206397/bnzi-ex10_3.htm" TargetMode="External"/><Relationship Id="rId44" Type="http://schemas.openxmlformats.org/officeDocument/2006/relationships/hyperlink" Target="https://www.sec.gov/Archives/edgar/data/1826011/000119312526227353/bnzi-ex10_7.htm" TargetMode="External"/><Relationship Id="rId45" Type="http://schemas.openxmlformats.org/officeDocument/2006/relationships/hyperlink" Target="https://www.sec.gov/Archives/edgar/data/0001826011/000119312526297663/bnzi-ex10_1.htm" TargetMode="External"/><Relationship Id="rId46" Type="http://schemas.openxmlformats.org/officeDocument/2006/relationships/hyperlink" Target="https://www.sec.gov/Archives/edgar/data/1826011/000119312526297663/bnzi-ex10_2.htm" TargetMode="External"/><Relationship Id="rId47" Type="http://schemas.openxmlformats.org/officeDocument/2006/relationships/hyperlink" Target="https://www.sec.gov/Archives/edgar/data/1826011/000119312526297663/bnzi-ex10_3.htm" TargetMode="External"/><Relationship Id="rId48" Type="http://schemas.openxmlformats.org/officeDocument/2006/relationships/hyperlink" Target="https://www.sec.gov/Archives/edgar/data/1826011/000119312526297663/bnzi-ex10_4.htm" TargetMode="External"/><Relationship Id="rId49" Type="http://schemas.openxmlformats.org/officeDocument/2006/relationships/hyperlink" Target="https://www.sec.gov/Archives/edgar/data/1826011/000119312526297663/bnzi-ex10_5.htm" TargetMode="External"/><Relationship Id="rId50" Type="http://schemas.openxmlformats.org/officeDocument/2006/relationships/hyperlink" Target="https://www.sec.gov/Archives/edgar/data/1826011/000119312526297663/bnzi-ex10_6.htm" TargetMode="External"/><Relationship Id="rId51" Type="http://schemas.openxmlformats.org/officeDocument/2006/relationships/hyperlink" Target="https://www.sec.gov/Archives/edgar/data/1826011/000119312526352362/para-ex31_1.htm" TargetMode="External"/><Relationship Id="rId52" Type="http://schemas.openxmlformats.org/officeDocument/2006/relationships/hyperlink" Target="https://www.sec.gov/Archives/edgar/data/1826011/000119312526352362/para-ex31_2.htm" TargetMode="External"/><Relationship Id="rId53" Type="http://schemas.openxmlformats.org/officeDocument/2006/relationships/hyperlink" Target="https://www.sec.gov/Archives/edgar/data/1826011/000119312526352362/para-ex32_1.htm" TargetMode="External"/><Relationship Id="rId54" Type="http://schemas.openxmlformats.org/officeDocument/2006/relationships/hyperlink" Target="https://www.sec.gov/Archives/edgar/data/1826011/000119312526352362/para-ex32_2.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39648</Words>
  <Characters>209121</Characters>
  <CharactersWithSpaces>251469</CharactersWithSpaces>
  <Paragraphs>10529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