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813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13,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Banzai International,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60813"/>
            <w:bookmarkEnd w:id="6"/>
            <w:r>
              <w:rPr>
                <w:rFonts w:ascii="Times New Roman;Times;Serif" w:hAnsi="Times New Roman;Times;Serif"/>
                <w:b/>
                <w:i w:val="false"/>
                <w:caps w:val="false"/>
                <w:smallCaps w:val="false"/>
                <w:sz w:val="20"/>
              </w:rPr>
              <w:t>001-39826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85-3118980</w:t>
            </w:r>
          </w:p>
        </w:tc>
      </w:tr>
      <w:tr>
        <w:trPr/>
        <w:tc>
          <w:tcPr>
            <w:tcW w:w="227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435 Ericksen Ave, </w:t>
            </w:r>
            <w:bookmarkStart w:id="9" w:name="xdx_905_edei--EntityAddressAddressLine2_"/>
            <w:bookmarkEnd w:id="9"/>
            <w:r>
              <w:rPr>
                <w:rFonts w:ascii="Times New Roman;Times;Serif" w:hAnsi="Times New Roman;Times;Serif"/>
                <w:b/>
                <w:i w:val="false"/>
                <w:caps w:val="false"/>
                <w:smallCaps w:val="false"/>
                <w:sz w:val="20"/>
              </w:rPr>
              <w:t>Suite 250</w:t>
            </w:r>
          </w:p>
          <w:p>
            <w:pPr>
              <w:pStyle w:val="TableContents"/>
              <w:bidi w:val="0"/>
              <w:spacing w:before="0" w:after="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Bainbridge Island, </w:t>
            </w:r>
            <w:bookmarkStart w:id="11" w:name="xdx_90A_edei--EntityAddressStateOrProvin"/>
            <w:bookmarkEnd w:id="11"/>
            <w:r>
              <w:rPr>
                <w:rFonts w:ascii="Times New Roman;Times;Serif" w:hAnsi="Times New Roman;Times;Serif"/>
                <w:b/>
                <w:i w:val="false"/>
                <w:caps w:val="false"/>
                <w:smallCaps w:val="false"/>
                <w:sz w:val="20"/>
              </w:rPr>
              <w:t>Washington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C_edei--EntityAddressPostalZipCode"/>
            <w:bookmarkEnd w:id="12"/>
            <w:r>
              <w:rPr>
                <w:rFonts w:ascii="Times New Roman;Times;Serif" w:hAnsi="Times New Roman;Times;Serif"/>
                <w:b/>
                <w:i w:val="false"/>
                <w:caps w:val="false"/>
                <w:smallCaps w:val="false"/>
                <w:sz w:val="20"/>
              </w:rPr>
              <w:t>98110</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3_edei--CityAreaCode_c20260813__20"/>
      <w:bookmarkEnd w:id="13"/>
      <w:r>
        <w:rPr>
          <w:rFonts w:ascii="Times New Roman;Times;Serif" w:hAnsi="Times New Roman;Times;Serif"/>
          <w:b/>
          <w:i w:val="false"/>
          <w:caps w:val="false"/>
          <w:smallCaps w:val="false"/>
          <w:sz w:val="20"/>
        </w:rPr>
        <w:t xml:space="preserve">(206) </w:t>
      </w:r>
      <w:bookmarkStart w:id="14" w:name="xdx_907_edei--LocalPhoneNumber_c20260813"/>
      <w:bookmarkEnd w:id="14"/>
      <w:r>
        <w:rPr>
          <w:rFonts w:ascii="Times New Roman;Times;Serif" w:hAnsi="Times New Roman;Times;Serif"/>
          <w:b/>
          <w:i w:val="false"/>
          <w:caps w:val="false"/>
          <w:smallCaps w:val="false"/>
          <w:sz w:val="20"/>
        </w:rPr>
        <w:t>414-1777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6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F_edei--SolicitingMaterial_c2026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0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6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78"/>
        <w:gridCol w:w="60"/>
        <w:gridCol w:w="1224"/>
        <w:gridCol w:w="60"/>
        <w:gridCol w:w="2483"/>
      </w:tblGrid>
      <w:tr>
        <w:trPr/>
        <w:tc>
          <w:tcPr>
            <w:tcW w:w="637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37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Security12bTitle_c20260813"/>
            <w:bookmarkEnd w:id="19"/>
            <w:r>
              <w:rPr>
                <w:rFonts w:ascii="Times New Roman;Times;Serif" w:hAnsi="Times New Roman;Times;Serif"/>
                <w:b w:val="false"/>
                <w:i w:val="false"/>
                <w:caps w:val="false"/>
                <w:smallCaps w:val="false"/>
                <w:sz w:val="20"/>
              </w:rPr>
              <w:t>Class A common stock,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TradingSymbol_c20260813__2"/>
            <w:bookmarkEnd w:id="20"/>
            <w:r>
              <w:rPr>
                <w:rFonts w:ascii="Times New Roman;Times;Serif" w:hAnsi="Times New Roman;Times;Serif"/>
                <w:b w:val="false"/>
                <w:i w:val="false"/>
                <w:caps w:val="false"/>
                <w:smallCaps w:val="false"/>
                <w:sz w:val="20"/>
              </w:rPr>
              <w:t>PARA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A_edei--SecurityExchangeName_c2026"/>
            <w:bookmarkEnd w:id="21"/>
            <w:r>
              <w:rPr>
                <w:rFonts w:ascii="Times New Roman;Times;Serif" w:hAnsi="Times New Roman;Times;Serif"/>
                <w:b w:val="false"/>
                <w:i w:val="false"/>
                <w:caps w:val="false"/>
                <w:smallCaps w:val="false"/>
                <w:sz w:val="20"/>
              </w:rPr>
              <w:t>Nasdaq Capital Market</w:t>
            </w:r>
          </w:p>
        </w:tc>
      </w:tr>
      <w:tr>
        <w:trPr/>
        <w:tc>
          <w:tcPr>
            <w:tcW w:w="637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637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D_edei--Security12bTitle_c20260813"/>
            <w:bookmarkEnd w:id="22"/>
            <w:r>
              <w:rPr>
                <w:rFonts w:ascii="Times New Roman;Times;Serif" w:hAnsi="Times New Roman;Times;Serif"/>
                <w:b w:val="false"/>
                <w:i w:val="false"/>
                <w:caps w:val="false"/>
                <w:smallCaps w:val="false"/>
                <w:sz w:val="20"/>
              </w:rPr>
              <w:t>Redeemable Warrants, each whole warrant exercisable for one share of Class A common stock at an exercise price of $115,000.00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D_edei--TradingSymbol_c20260813__2"/>
            <w:bookmarkEnd w:id="23"/>
            <w:r>
              <w:rPr>
                <w:rFonts w:ascii="Times New Roman;Times;Serif" w:hAnsi="Times New Roman;Times;Serif"/>
                <w:b w:val="false"/>
                <w:i w:val="false"/>
                <w:caps w:val="false"/>
                <w:smallCaps w:val="false"/>
                <w:sz w:val="20"/>
              </w:rPr>
              <w:t>PARAW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9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B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previously reported that it entered into a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on June 27, 2025, with an institutional investor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for the issuance and sale in a private placement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of senior secured convertible notes of the Company, of up to an aggregate original principal amount of $11,000,000 which shall be convertible into shares of common stock, par value $0.0001, of the Company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(the shares of Common Stock issuable pursuant to the terms of the convertible notes, including, without limitation, upon conversion or otherwise, collectively,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in accordance with the terms of the Purchase Agreement. The Buyer purchased (i) an Initial Note in the aggregate original principal amount of $2,200,000 (the “</w:t>
      </w:r>
      <w:r>
        <w:rPr>
          <w:rFonts w:ascii="Times New Roman;Times;Serif" w:hAnsi="Times New Roman;Times;Serif"/>
          <w:b/>
          <w:i w:val="false"/>
          <w:caps w:val="false"/>
          <w:smallCaps w:val="false"/>
          <w:sz w:val="20"/>
        </w:rPr>
        <w:t>Initial Notes</w:t>
      </w:r>
      <w:r>
        <w:rPr>
          <w:rFonts w:ascii="Times New Roman;Times;Serif" w:hAnsi="Times New Roman;Times;Serif"/>
          <w:b w:val="false"/>
          <w:i w:val="false"/>
          <w:caps w:val="false"/>
          <w:smallCaps w:val="false"/>
          <w:sz w:val="20"/>
        </w:rPr>
        <w:t>”) and (ii) a warrant to acquire up to 161,100 shares of Common Stock, as adjusted (the “</w:t>
      </w:r>
      <w:r>
        <w:rPr>
          <w:rFonts w:ascii="Times New Roman;Times;Serif" w:hAnsi="Times New Roman;Times;Serif"/>
          <w:b/>
          <w:i w:val="false"/>
          <w:caps w:val="false"/>
          <w:smallCaps w:val="false"/>
          <w:sz w:val="20"/>
        </w:rPr>
        <w:t>Initial Buyer Warrants</w:t>
      </w:r>
      <w:r>
        <w:rPr>
          <w:rFonts w:ascii="Times New Roman;Times;Serif" w:hAnsi="Times New Roman;Times;Serif"/>
          <w:b w:val="false"/>
          <w:i w:val="false"/>
          <w:caps w:val="false"/>
          <w:smallCaps w:val="false"/>
          <w:sz w:val="20"/>
        </w:rPr>
        <w:t>”) (as exercised, collectively,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In connection with the Offering, the Company has also entered into a letter agreement dated April 30, 2025 (the “</w:t>
      </w:r>
      <w:r>
        <w:rPr>
          <w:rFonts w:ascii="Times New Roman;Times;Serif" w:hAnsi="Times New Roman;Times;Serif"/>
          <w:b/>
          <w:i w:val="false"/>
          <w:caps w:val="false"/>
          <w:smallCaps w:val="false"/>
          <w:sz w:val="20"/>
        </w:rPr>
        <w:t>Letter Agreement</w:t>
      </w:r>
      <w:r>
        <w:rPr>
          <w:rFonts w:ascii="Times New Roman;Times;Serif" w:hAnsi="Times New Roman;Times;Serif"/>
          <w:b w:val="false"/>
          <w:i w:val="false"/>
          <w:caps w:val="false"/>
          <w:smallCaps w:val="false"/>
          <w:sz w:val="20"/>
        </w:rPr>
        <w:t>”) with Rodman &amp; Renshaw LLC as the exclusive financial advisor (the “</w:t>
      </w:r>
      <w:r>
        <w:rPr>
          <w:rFonts w:ascii="Times New Roman;Times;Serif" w:hAnsi="Times New Roman;Times;Serif"/>
          <w:b/>
          <w:i w:val="false"/>
          <w:caps w:val="false"/>
          <w:smallCaps w:val="false"/>
          <w:sz w:val="20"/>
        </w:rPr>
        <w:t>Financial Advisor</w:t>
      </w:r>
      <w:r>
        <w:rPr>
          <w:rFonts w:ascii="Times New Roman;Times;Serif" w:hAnsi="Times New Roman;Times;Serif"/>
          <w:b w:val="false"/>
          <w:i w:val="false"/>
          <w:caps w:val="false"/>
          <w:smallCaps w:val="false"/>
          <w:sz w:val="20"/>
        </w:rPr>
        <w:t>”) pursuant to which the Company has agreed to issue financial advisor warrants to purchase up to an aggregate of 63,638 shares of Common Stock, as adjusted (the “</w:t>
      </w:r>
      <w:r>
        <w:rPr>
          <w:rFonts w:ascii="Times New Roman;Times;Serif" w:hAnsi="Times New Roman;Times;Serif"/>
          <w:b/>
          <w:i w:val="false"/>
          <w:caps w:val="false"/>
          <w:smallCaps w:val="false"/>
          <w:sz w:val="20"/>
        </w:rPr>
        <w:t>Financial Advisor Warrants</w:t>
      </w:r>
      <w:r>
        <w:rPr>
          <w:rFonts w:ascii="Times New Roman;Times;Serif" w:hAnsi="Times New Roman;Times;Serif"/>
          <w:b w:val="false"/>
          <w:i w:val="false"/>
          <w:caps w:val="false"/>
          <w:smallCaps w:val="false"/>
          <w:sz w:val="20"/>
        </w:rPr>
        <w:t>”, together with the Buyer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The Offering closed on June 30, 2025 (the “</w:t>
      </w:r>
      <w:r>
        <w:rPr>
          <w:rFonts w:ascii="Times New Roman;Times;Serif" w:hAnsi="Times New Roman;Times;Serif"/>
          <w:b/>
          <w:i w:val="false"/>
          <w:caps w:val="false"/>
          <w:smallCaps w:val="false"/>
          <w:sz w:val="20"/>
        </w:rPr>
        <w:t>Initial Closing Date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Initial Closing</w:t>
      </w:r>
      <w:r>
        <w:rPr>
          <w:rFonts w:ascii="Times New Roman;Times;Serif" w:hAnsi="Times New Roman;Times;Serif"/>
          <w:b w:val="false"/>
          <w:i w:val="false"/>
          <w:caps w:val="false"/>
          <w:smallCaps w:val="false"/>
          <w:sz w:val="20"/>
        </w:rPr>
        <w:t>”). Capitalized terms used but not otherwise defined herein shall have the meanings assigned to such terms in the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2025, the parties held an additional closing pursuant to the terms of the Purchase Agreement (the “</w:t>
      </w:r>
      <w:r>
        <w:rPr>
          <w:rFonts w:ascii="Times New Roman;Times;Serif" w:hAnsi="Times New Roman;Times;Serif"/>
          <w:b/>
          <w:i w:val="false"/>
          <w:caps w:val="false"/>
          <w:smallCaps w:val="false"/>
          <w:sz w:val="20"/>
        </w:rPr>
        <w:t>August Closing</w:t>
      </w:r>
      <w:r>
        <w:rPr>
          <w:rFonts w:ascii="Times New Roman;Times;Serif" w:hAnsi="Times New Roman;Times;Serif"/>
          <w:b w:val="false"/>
          <w:i w:val="false"/>
          <w:caps w:val="false"/>
          <w:smallCaps w:val="false"/>
          <w:sz w:val="20"/>
        </w:rPr>
        <w:t>”). The Company issued an additional note in the original principal amount of $2,200,000, with a current conversion price equal to $2.75 per share, as adjusted, and an issuance date of August 19, 2025 (the “</w:t>
      </w:r>
      <w:r>
        <w:rPr>
          <w:rFonts w:ascii="Times New Roman;Times;Serif" w:hAnsi="Times New Roman;Times;Serif"/>
          <w:b/>
          <w:i w:val="false"/>
          <w:caps w:val="false"/>
          <w:smallCaps w:val="false"/>
          <w:sz w:val="20"/>
        </w:rPr>
        <w:t>August Note</w:t>
      </w:r>
      <w:r>
        <w:rPr>
          <w:rFonts w:ascii="Times New Roman;Times;Serif" w:hAnsi="Times New Roman;Times;Serif"/>
          <w:b w:val="false"/>
          <w:i w:val="false"/>
          <w:caps w:val="false"/>
          <w:smallCaps w:val="false"/>
          <w:sz w:val="20"/>
        </w:rPr>
        <w:t>”), and additional warrants to purchase up to 160,001 shares of Common Stock, as adjusted, at a current exercise price equal to $2.75 per share, as adjusted (the “</w:t>
      </w:r>
      <w:r>
        <w:rPr>
          <w:rFonts w:ascii="Times New Roman;Times;Serif" w:hAnsi="Times New Roman;Times;Serif"/>
          <w:b/>
          <w:i w:val="false"/>
          <w:caps w:val="false"/>
          <w:smallCaps w:val="false"/>
          <w:sz w:val="20"/>
        </w:rPr>
        <w:t>August Warrants</w:t>
      </w:r>
      <w:r>
        <w:rPr>
          <w:rFonts w:ascii="Times New Roman;Times;Serif" w:hAnsi="Times New Roman;Times;Serif"/>
          <w:b w:val="false"/>
          <w:i w:val="false"/>
          <w:caps w:val="false"/>
          <w:smallCaps w:val="false"/>
          <w:sz w:val="20"/>
        </w:rPr>
        <w:t>”), in the August Closing. The August Note matures on August 19, 2026. Other than the maturity date and the conversion and exercise price of the August Note and August Warrants, respectively, the August Note and August Warrants have the same terms as those issued on the Initial Closing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2025, the parties held an additional closing pursuant to the terms of the Purchase Agreement (the “</w:t>
      </w:r>
      <w:r>
        <w:rPr>
          <w:rFonts w:ascii="Times New Roman;Times;Serif" w:hAnsi="Times New Roman;Times;Serif"/>
          <w:b/>
          <w:i w:val="false"/>
          <w:caps w:val="false"/>
          <w:smallCaps w:val="false"/>
          <w:sz w:val="20"/>
        </w:rPr>
        <w:t>October Closing</w:t>
      </w:r>
      <w:r>
        <w:rPr>
          <w:rFonts w:ascii="Times New Roman;Times;Serif" w:hAnsi="Times New Roman;Times;Serif"/>
          <w:b w:val="false"/>
          <w:i w:val="false"/>
          <w:caps w:val="false"/>
          <w:smallCaps w:val="false"/>
          <w:sz w:val="20"/>
        </w:rPr>
        <w:t>”). The Company issued an additional note in the original principal amount of $2,500,000, with a current conversion price equal to $2.75 per share, as adjusted, and issuance date of October 8, 2025 (the “</w:t>
      </w:r>
      <w:r>
        <w:rPr>
          <w:rFonts w:ascii="Times New Roman;Times;Serif" w:hAnsi="Times New Roman;Times;Serif"/>
          <w:b/>
          <w:i w:val="false"/>
          <w:caps w:val="false"/>
          <w:smallCaps w:val="false"/>
          <w:sz w:val="20"/>
        </w:rPr>
        <w:t>October Note</w:t>
      </w:r>
      <w:r>
        <w:rPr>
          <w:rFonts w:ascii="Times New Roman;Times;Serif" w:hAnsi="Times New Roman;Times;Serif"/>
          <w:b w:val="false"/>
          <w:i w:val="false"/>
          <w:caps w:val="false"/>
          <w:smallCaps w:val="false"/>
          <w:sz w:val="20"/>
        </w:rPr>
        <w:t>”), and additional warrants to purchase up to 181,819 shares of Common Stock, as adjusted, at a current exercise price equal to $2.75 per share, as adjusted (the “</w:t>
      </w:r>
      <w:r>
        <w:rPr>
          <w:rFonts w:ascii="Times New Roman;Times;Serif" w:hAnsi="Times New Roman;Times;Serif"/>
          <w:b/>
          <w:i w:val="false"/>
          <w:caps w:val="false"/>
          <w:smallCaps w:val="false"/>
          <w:sz w:val="20"/>
        </w:rPr>
        <w:t>October Warrants</w:t>
      </w:r>
      <w:r>
        <w:rPr>
          <w:rFonts w:ascii="Times New Roman;Times;Serif" w:hAnsi="Times New Roman;Times;Serif"/>
          <w:b w:val="false"/>
          <w:i w:val="false"/>
          <w:caps w:val="false"/>
          <w:smallCaps w:val="false"/>
          <w:sz w:val="20"/>
        </w:rPr>
        <w:t>”), in the October Closing. The October Note matures on October 8, 2026. Other than the maturity date and the conversion and exercise price of the October Note and October Warrants, respectively, the October Note and October Warrants have the same terms as those issued on the August Closing and the Initial Closing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parties held an additional closing pursuant to the terms of the Purchase Agreement (the “</w:t>
      </w:r>
      <w:r>
        <w:rPr>
          <w:rFonts w:ascii="Times New Roman;Times;Serif" w:hAnsi="Times New Roman;Times;Serif"/>
          <w:b/>
          <w:i w:val="false"/>
          <w:caps w:val="false"/>
          <w:smallCaps w:val="false"/>
          <w:sz w:val="20"/>
        </w:rPr>
        <w:t>February Closing</w:t>
      </w:r>
      <w:r>
        <w:rPr>
          <w:rFonts w:ascii="Times New Roman;Times;Serif" w:hAnsi="Times New Roman;Times;Serif"/>
          <w:b w:val="false"/>
          <w:i w:val="false"/>
          <w:caps w:val="false"/>
          <w:smallCaps w:val="false"/>
          <w:sz w:val="20"/>
        </w:rPr>
        <w:t>”). The Company issued an additional note in the original principal amount of $2,333,333.33, with an initial conversion price equal to $2.75 per share and issuance date of February 13, 2026 (the “</w:t>
      </w:r>
      <w:r>
        <w:rPr>
          <w:rFonts w:ascii="Times New Roman;Times;Serif" w:hAnsi="Times New Roman;Times;Serif"/>
          <w:b/>
          <w:i w:val="false"/>
          <w:caps w:val="false"/>
          <w:smallCaps w:val="false"/>
          <w:sz w:val="20"/>
        </w:rPr>
        <w:t>February Note</w:t>
      </w:r>
      <w:r>
        <w:rPr>
          <w:rFonts w:ascii="Times New Roman;Times;Serif" w:hAnsi="Times New Roman;Times;Serif"/>
          <w:b w:val="false"/>
          <w:i w:val="false"/>
          <w:caps w:val="false"/>
          <w:smallCaps w:val="false"/>
          <w:sz w:val="20"/>
        </w:rPr>
        <w:t>”, together with the October Note, the August Note, and the Initial Note, are collectively referred to herein as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additional warrants to purchase up to 169,689 shares of Common Stock, at an initial exercise price equal to $2.75 per share (the “</w:t>
      </w:r>
      <w:r>
        <w:rPr>
          <w:rFonts w:ascii="Times New Roman;Times;Serif" w:hAnsi="Times New Roman;Times;Serif"/>
          <w:b/>
          <w:i w:val="false"/>
          <w:caps w:val="false"/>
          <w:smallCaps w:val="false"/>
          <w:sz w:val="20"/>
        </w:rPr>
        <w:t>February Warrants</w:t>
      </w:r>
      <w:r>
        <w:rPr>
          <w:rFonts w:ascii="Times New Roman;Times;Serif" w:hAnsi="Times New Roman;Times;Serif"/>
          <w:b w:val="false"/>
          <w:i w:val="false"/>
          <w:caps w:val="false"/>
          <w:smallCaps w:val="false"/>
          <w:sz w:val="20"/>
        </w:rPr>
        <w:t>”), in the February Closing. The February Note matures on February 13, 2027. Other than the maturity date and the conversion and exercise price of the February Note and February Warrants, respectively, the February Note and February Warrants have the same terms as those issued on the October Closing, the August Closing, and the Initial Closing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the parties held an additional closing pursuant to the terms of the Purchase Agreement (the “</w:t>
      </w:r>
      <w:r>
        <w:rPr>
          <w:rFonts w:ascii="Times New Roman;Times;Serif" w:hAnsi="Times New Roman;Times;Serif"/>
          <w:b/>
          <w:i w:val="false"/>
          <w:caps w:val="false"/>
          <w:smallCaps w:val="false"/>
          <w:sz w:val="20"/>
        </w:rPr>
        <w:t>August 2026 Closing</w:t>
      </w:r>
      <w:r>
        <w:rPr>
          <w:rFonts w:ascii="Times New Roman;Times;Serif" w:hAnsi="Times New Roman;Times;Serif"/>
          <w:b w:val="false"/>
          <w:i w:val="false"/>
          <w:caps w:val="false"/>
          <w:smallCaps w:val="false"/>
          <w:sz w:val="20"/>
        </w:rPr>
        <w:t>”). The Company issued an additional note in the original principal amount of $1,099,989.00, with an initial conversion price equal to $1.96 per share and issuance date of August 12, 2026 (the “</w:t>
      </w:r>
      <w:r>
        <w:rPr>
          <w:rFonts w:ascii="Times New Roman;Times;Serif" w:hAnsi="Times New Roman;Times;Serif"/>
          <w:b/>
          <w:i w:val="false"/>
          <w:caps w:val="false"/>
          <w:smallCaps w:val="false"/>
          <w:sz w:val="20"/>
        </w:rPr>
        <w:t>August 2026 Note</w:t>
      </w:r>
      <w:r>
        <w:rPr>
          <w:rFonts w:ascii="Times New Roman;Times;Serif" w:hAnsi="Times New Roman;Times;Serif"/>
          <w:b w:val="false"/>
          <w:i w:val="false"/>
          <w:caps w:val="false"/>
          <w:smallCaps w:val="false"/>
          <w:sz w:val="20"/>
        </w:rPr>
        <w:t>”, together with the February Note, October Note, the August Note, and the Initial Note, are collectively referred to herein as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additional warrants to purchase up to 112,531 shares of Common Stock, at an initial exercise price equal to $1.96 per share (the “</w:t>
      </w:r>
      <w:r>
        <w:rPr>
          <w:rFonts w:ascii="Times New Roman;Times;Serif" w:hAnsi="Times New Roman;Times;Serif"/>
          <w:b/>
          <w:i w:val="false"/>
          <w:caps w:val="false"/>
          <w:smallCaps w:val="false"/>
          <w:sz w:val="20"/>
        </w:rPr>
        <w:t>August 2026 Warrants</w:t>
      </w:r>
      <w:r>
        <w:rPr>
          <w:rFonts w:ascii="Times New Roman;Times;Serif" w:hAnsi="Times New Roman;Times;Serif"/>
          <w:b w:val="false"/>
          <w:i w:val="false"/>
          <w:caps w:val="false"/>
          <w:smallCaps w:val="false"/>
          <w:sz w:val="20"/>
        </w:rPr>
        <w:t>”, together with the February Warrants, October Warrants, the August Warrants, and the Initial Buyer Warrants, are collectively referred to herein as the “</w:t>
      </w:r>
      <w:r>
        <w:rPr>
          <w:rFonts w:ascii="Times New Roman;Times;Serif" w:hAnsi="Times New Roman;Times;Serif"/>
          <w:b/>
          <w:i w:val="false"/>
          <w:caps w:val="false"/>
          <w:smallCaps w:val="false"/>
          <w:sz w:val="20"/>
        </w:rPr>
        <w:t>Buyer Warrants</w:t>
      </w:r>
      <w:r>
        <w:rPr>
          <w:rFonts w:ascii="Times New Roman;Times;Serif" w:hAnsi="Times New Roman;Times;Serif"/>
          <w:b w:val="false"/>
          <w:i w:val="false"/>
          <w:caps w:val="false"/>
          <w:smallCaps w:val="false"/>
          <w:sz w:val="20"/>
        </w:rPr>
        <w:t>”), in the August 2026 Closing. The August 2026 Note matures on August 12, 2027. Other than the maturity date and the conversion and exercise price of the August 2026 Note and August 2026 Warrants, respectively, the August 2026 Note and August 2026 Warrants have the same terms as those issued on the February Closing, the October Closing, the August Closing, and the Initial Closing Date.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2026 Note was issued with an original issue discount of 10.0% (the “</w:t>
      </w:r>
      <w:r>
        <w:rPr>
          <w:rFonts w:ascii="Times New Roman;Times;Serif" w:hAnsi="Times New Roman;Times;Serif"/>
          <w:b/>
          <w:i w:val="false"/>
          <w:caps w:val="false"/>
          <w:smallCaps w:val="false"/>
          <w:sz w:val="20"/>
        </w:rPr>
        <w:t>OID</w:t>
      </w:r>
      <w:r>
        <w:rPr>
          <w:rFonts w:ascii="Times New Roman;Times;Serif" w:hAnsi="Times New Roman;Times;Serif"/>
          <w:b w:val="false"/>
          <w:i w:val="false"/>
          <w:caps w:val="false"/>
          <w:smallCaps w:val="false"/>
          <w:sz w:val="20"/>
        </w:rPr>
        <w:t>”), as were the other Notes issued in the February Closing, the October Closing, the August Closing, and the Initial Closing Date and accrue interest at a rate of 10.0% per annum. The Notes mature 12 months from the date of issuance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unless extended pursuant to the terms thereof. The Notes are convertible (in whole or in part) at any time prior to the Maturity Date into the number of shares of Common Stock equal to quotient of the Conversion Amount divided by (y) the Conversion Price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At no time may the Buyer hold more than 4.99% (or up to 9.99% at the election of the Buyers pursuant to the Notes) of the outstanding Common Stock. The conversion price of the August 2026 Note is subject to a floor price of $0.35.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 Event of Default (as defined in the Notes) has occurred under the Notes, the Buyer may elect convert (each, an “</w:t>
      </w:r>
      <w:r>
        <w:rPr>
          <w:rFonts w:ascii="Times New Roman;Times;Serif" w:hAnsi="Times New Roman;Times;Serif"/>
          <w:b/>
          <w:i w:val="false"/>
          <w:caps w:val="false"/>
          <w:smallCaps w:val="false"/>
          <w:sz w:val="20"/>
        </w:rPr>
        <w:t>Alternate Conversion</w:t>
      </w:r>
      <w:r>
        <w:rPr>
          <w:rFonts w:ascii="Times New Roman;Times;Serif" w:hAnsi="Times New Roman;Times;Serif"/>
          <w:b w:val="false"/>
          <w:i w:val="false"/>
          <w:caps w:val="false"/>
          <w:smallCaps w:val="false"/>
          <w:sz w:val="20"/>
        </w:rPr>
        <w:t>”, and the date of such Alternate Conversion, each, an “</w:t>
      </w:r>
      <w:r>
        <w:rPr>
          <w:rFonts w:ascii="Times New Roman;Times;Serif" w:hAnsi="Times New Roman;Times;Serif"/>
          <w:b/>
          <w:i w:val="false"/>
          <w:caps w:val="false"/>
          <w:smallCaps w:val="false"/>
          <w:sz w:val="20"/>
        </w:rPr>
        <w:t>Alternate Conversion Date</w:t>
      </w:r>
      <w:r>
        <w:rPr>
          <w:rFonts w:ascii="Times New Roman;Times;Serif" w:hAnsi="Times New Roman;Times;Serif"/>
          <w:b w:val="false"/>
          <w:i w:val="false"/>
          <w:caps w:val="false"/>
          <w:smallCaps w:val="false"/>
          <w:sz w:val="20"/>
        </w:rPr>
        <w:t>”) all, or any part of, the Conversion Amount (such portion of the Conversion Amount subject to such Alternate Conversion, the “</w:t>
      </w:r>
      <w:r>
        <w:rPr>
          <w:rFonts w:ascii="Times New Roman;Times;Serif" w:hAnsi="Times New Roman;Times;Serif"/>
          <w:b/>
          <w:i w:val="false"/>
          <w:caps w:val="false"/>
          <w:smallCaps w:val="false"/>
          <w:sz w:val="20"/>
        </w:rPr>
        <w:t>Alternate Conversion Amount</w:t>
      </w:r>
      <w:r>
        <w:rPr>
          <w:rFonts w:ascii="Times New Roman;Times;Serif" w:hAnsi="Times New Roman;Times;Serif"/>
          <w:b w:val="false"/>
          <w:i w:val="false"/>
          <w:caps w:val="false"/>
          <w:smallCaps w:val="false"/>
          <w:sz w:val="20"/>
        </w:rPr>
        <w:t>”) into shares of Common Stock at a conversion rate equal to the quotient of (x) the product of (A) the Redemption Premium and (B) the Alternate Conversion Amount, divided by (y) the Alternate Conversion Price (the “</w:t>
      </w:r>
      <w:r>
        <w:rPr>
          <w:rFonts w:ascii="Times New Roman;Times;Serif" w:hAnsi="Times New Roman;Times;Serif"/>
          <w:b/>
          <w:i w:val="false"/>
          <w:caps w:val="false"/>
          <w:smallCaps w:val="false"/>
          <w:sz w:val="20"/>
        </w:rPr>
        <w:t>Alternate Conversion Rate</w:t>
      </w:r>
      <w:r>
        <w:rPr>
          <w:rFonts w:ascii="Times New Roman;Times;Serif" w:hAnsi="Times New Roman;Times;Serif"/>
          <w:b w:val="false"/>
          <w:i w:val="false"/>
          <w:caps w:val="false"/>
          <w:smallCaps w:val="false"/>
          <w:sz w:val="20"/>
        </w:rPr>
        <w:t>”). Upon the occurrence of an Event of Default, the Company is required to deliver written notice to the Buyer within one (1) business day (an “</w:t>
      </w:r>
      <w:r>
        <w:rPr>
          <w:rFonts w:ascii="Times New Roman;Times;Serif" w:hAnsi="Times New Roman;Times;Serif"/>
          <w:b/>
          <w:i w:val="false"/>
          <w:caps w:val="false"/>
          <w:smallCaps w:val="false"/>
          <w:sz w:val="20"/>
        </w:rPr>
        <w:t>Event of Default Notice</w:t>
      </w:r>
      <w:r>
        <w:rPr>
          <w:rFonts w:ascii="Times New Roman;Times;Serif" w:hAnsi="Times New Roman;Times;Serif"/>
          <w:b w:val="false"/>
          <w:i w:val="false"/>
          <w:caps w:val="false"/>
          <w:smallCaps w:val="false"/>
          <w:sz w:val="20"/>
        </w:rPr>
        <w:t>”).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w:t>
      </w:r>
      <w:r>
        <w:rPr>
          <w:rFonts w:ascii="Times New Roman;Times;Serif" w:hAnsi="Times New Roman;Times;Serif"/>
          <w:b/>
          <w:i w:val="false"/>
          <w:caps w:val="false"/>
          <w:smallCaps w:val="false"/>
          <w:sz w:val="20"/>
        </w:rPr>
        <w:t>Installment Date</w:t>
      </w:r>
      <w:r>
        <w:rPr>
          <w:rFonts w:ascii="Times New Roman;Times;Serif" w:hAnsi="Times New Roman;Times;Serif"/>
          <w:b w:val="false"/>
          <w:i w:val="false"/>
          <w:caps w:val="false"/>
          <w:smallCaps w:val="false"/>
          <w:sz w:val="20"/>
        </w:rPr>
        <w:t>”) until the Maturity Date, the Company shall repay the Buyer $183,333.33 towards the principal balance of the Notes, plus any then-accrued and unpaid interest in cash or, provided certain conditions are satisfied, shares of Common Stock, at the Company’s option (collectively, the “</w:t>
      </w:r>
      <w:r>
        <w:rPr>
          <w:rFonts w:ascii="Times New Roman;Times;Serif" w:hAnsi="Times New Roman;Times;Serif"/>
          <w:b/>
          <w:i w:val="false"/>
          <w:caps w:val="false"/>
          <w:smallCaps w:val="false"/>
          <w:sz w:val="20"/>
        </w:rPr>
        <w:t>Installment Amount</w:t>
      </w:r>
      <w:r>
        <w:rPr>
          <w:rFonts w:ascii="Times New Roman;Times;Serif" w:hAnsi="Times New Roman;Times;Serif"/>
          <w:b w:val="false"/>
          <w:i w:val="false"/>
          <w:caps w:val="false"/>
          <w:smallCaps w:val="false"/>
          <w:sz w:val="20"/>
        </w:rPr>
        <w: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Leak-Out Agreement that the Buyer entered in the Initial Closing remains effective. That agreement governs the sale of Company shares until the earlier to occur of (i) such date as the Buyer no longer holds any Notes, (ii) the date of any Redemption Notice (as defined in the Notes) of any Notes then outstanding, (iii) such date upon which any breach by the Company of any term of the Purchase Agreement occurs, regardless of whether such breach is subsequently cured and (iv) such date any Event of Default (as defined in the Notes) occurs, regardless of whether such Event of Default is subsequently cured (such period, the “</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with sale limitations tied to the Company’s daily trading volume, as detailed in the Leak-Out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2026 Warrants are to purchase up to 112,531 shares of Common Stock, at an exercise price of $1.96 per share. The Buyer Warrants are exercisable immediately upon issuance and have a term of exercise equal to three years from the date of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Buyer Warrants may not exercise any portion of such holder’s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a Change of Control, holders of the Warrants will have the right to receive the Black Scholes Value of their Warrants calculated pursuant to a formula set forth in the Warrants, payable in cash.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Common Stock underlying the August 2026 Note and the August 2026 Warrants are registered in the registration statement on Form S-1 (File No. 333-296516). Accordingly, the initial net proceeds to the Company from the August 2026 Closing were approximately $1,000,000, after deducting financial advisory fees and estimated offering expenses payable by the Company. The Company intends to use the net proceeds received from the August 2026 Closing for general corporate purposes and working capital.</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Rodman &amp; Renshaw LLC (“</w:t>
      </w:r>
      <w:r>
        <w:rPr>
          <w:rFonts w:ascii="Times New Roman;Times;Serif" w:hAnsi="Times New Roman;Times;Serif"/>
          <w:b/>
          <w:i w:val="false"/>
          <w:caps w:val="false"/>
          <w:smallCaps w:val="false"/>
          <w:sz w:val="20"/>
        </w:rPr>
        <w:t>Rodman</w:t>
      </w:r>
      <w:r>
        <w:rPr>
          <w:rFonts w:ascii="Times New Roman;Times;Serif" w:hAnsi="Times New Roman;Times;Serif"/>
          <w:b w:val="false"/>
          <w:i w:val="false"/>
          <w:caps w:val="false"/>
          <w:smallCaps w:val="false"/>
          <w:sz w:val="20"/>
        </w:rPr>
        <w:t>”) acted as the Company’s exclusive financial advisor in connection with the August 2026 Closing, pursuant to that certain Letter Agreement, dated as of April 30, 2025, as amended, between the Company and Rodman. Pursuant to the Letter Agreement, the Company paid Rodman (i) a total cash fee equal to 7% of the aggregate gross proceeds of the August 2026 Closing (inclusive of the gross proceeds to be received from the exercise of any Buyer Warrants issued in the August 2026 Closing) and (ii) a management fee of 1.0% of the aggregate gross proceeds of the August 2026 Closing (inclusive of the gross proceeds to be received from the exercise of any Buyer Warrants issued in the August 2026 Closing). In addition, the Company issued to Rodman or its designees the Financial Advisor Warrants to purchase up to an aggregate of 63,062 shares of Common Stock at an exercise price equal to $2.45 per share, which represents 125% of the Offering price of the August 2026 Closing. The Financial Advisor Warrants have substantially the same terms as the August 2026 Warrants issued in the August 2026 Closing, are exercisable immediately upon issuance and have a term of exercise equal to five (5) years from the date of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not to issue any Notes (other than to the Buyers as contemplated hereby) without the prior written consent of the Required Holders (as defined in the Purchase Agreement), issue any other securities that would cause a breach or default under the Notes or the Warrants, or to file any other registration statement with the SEC (in each case, subject to certain exceptions) until after the effective date of the Registration Statement. The Company has also agreed not to effect any Variable Rate Transaction (as defined in the Purchase Agreement), other than a Permitted ATM (as defined in the Purchase Agreement) until the later of (x) the 180th calendar day after the August 2026 Closing (the “</w:t>
      </w:r>
      <w:r>
        <w:rPr>
          <w:rFonts w:ascii="Times New Roman;Times;Serif" w:hAnsi="Times New Roman;Times;Serif"/>
          <w:b/>
          <w:i w:val="false"/>
          <w:caps w:val="false"/>
          <w:smallCaps w:val="false"/>
          <w:sz w:val="20"/>
        </w:rPr>
        <w:t>August 2026 Expiration Date</w:t>
      </w:r>
      <w:r>
        <w:rPr>
          <w:rFonts w:ascii="Times New Roman;Times;Serif" w:hAnsi="Times New Roman;Times;Serif"/>
          <w:b w:val="false"/>
          <w:i w:val="false"/>
          <w:caps w:val="false"/>
          <w:smallCaps w:val="false"/>
          <w:sz w:val="20"/>
        </w:rPr>
        <w:t>”) and (y) such date as no Notes remain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herein, all of the terms of the previous closings apply to the August 2026 Closing.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 Agreement and Purchase Agreement contain customary representations and warranties and agreements and obligations, conditions to closing and termination provisions. The foregoing descriptions of terms and conditions of the Purchase Agreement, the Notes, the Warrants, the Registration Rights Agreement, and the Leak-Out Agreement do not purport to be complete and are qualified in their entirety by the full text of the form of the Purchase Agreement, the Notes, the Warrant, form of the Registration Rights Agreement, and Leak-Out Agreement which are attached hereto as Exhibits 4.1, 4.2, 10.1, 10.2, and 10.3 respectively.</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6"/>
        <w:gridCol w:w="60"/>
        <w:gridCol w:w="9219"/>
      </w:tblGrid>
      <w:tr>
        <w:trPr/>
        <w:tc>
          <w:tcPr>
            <w:tcW w:w="92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2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Form of Senior Secured Convertible Note (incorporated by reference to Exhibit 4.1 to the Current Report on Form 8-K filed on July 3, 2025)</w:t>
              </w:r>
            </w:hyperlink>
          </w:p>
        </w:tc>
      </w:tr>
      <w:tr>
        <w:trPr/>
        <w:tc>
          <w:tcPr>
            <w:tcW w:w="92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Form of Warrant (incorporated by reference to Exhibit 4.2 to the Current Report on Form 8-K filed on July 3, 2025)</w:t>
              </w:r>
            </w:hyperlink>
          </w:p>
        </w:tc>
      </w:tr>
      <w:tr>
        <w:trPr/>
        <w:tc>
          <w:tcPr>
            <w:tcW w:w="92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tcMar>
              <w:bottom w:w="0" w:type="dxa"/>
            </w:tcMar>
            <w:vAlign w:val="center"/>
          </w:tcPr>
          <w:p>
            <w:pPr>
              <w:pStyle w:val="TableContents"/>
              <w:bidi w:val="0"/>
              <w:spacing w:before="0" w:after="283"/>
              <w:jc w:val="both"/>
              <w:rPr/>
            </w:pPr>
            <w:hyperlink w:anchor="ex4-3.htm">
              <w:r>
                <w:rPr>
                  <w:rStyle w:val="InternetLink"/>
                  <w:rFonts w:ascii="Times New Roman;Times;Serif" w:hAnsi="Times New Roman;Times;Serif"/>
                  <w:b w:val="false"/>
                  <w:i w:val="false"/>
                  <w:caps w:val="false"/>
                  <w:smallCaps w:val="false"/>
                  <w:sz w:val="20"/>
                </w:rPr>
                <w:t>Form of August 2026 Note (Filed Herewith)</w:t>
              </w:r>
            </w:hyperlink>
          </w:p>
        </w:tc>
      </w:tr>
      <w:tr>
        <w:trPr/>
        <w:tc>
          <w:tcPr>
            <w:tcW w:w="92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tcMar>
              <w:bottom w:w="0" w:type="dxa"/>
            </w:tcMar>
            <w:vAlign w:val="center"/>
          </w:tcPr>
          <w:p>
            <w:pPr>
              <w:pStyle w:val="TableContents"/>
              <w:bidi w:val="0"/>
              <w:spacing w:before="0" w:after="283"/>
              <w:jc w:val="both"/>
              <w:rPr/>
            </w:pPr>
            <w:hyperlink w:anchor="ex4-4.htm">
              <w:r>
                <w:rPr>
                  <w:rStyle w:val="InternetLink"/>
                  <w:rFonts w:ascii="Times New Roman;Times;Serif" w:hAnsi="Times New Roman;Times;Serif"/>
                  <w:b w:val="false"/>
                  <w:i w:val="false"/>
                  <w:caps w:val="false"/>
                  <w:smallCaps w:val="false"/>
                  <w:sz w:val="20"/>
                </w:rPr>
                <w:t>Form of August 2026 Warrant (Filed Herewith)</w:t>
              </w:r>
            </w:hyperlink>
          </w:p>
        </w:tc>
      </w:tr>
      <w:tr>
        <w:trPr/>
        <w:tc>
          <w:tcPr>
            <w:tcW w:w="92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Securities Purchase Agreement (incorporated by reference to Exhibit 10.1 to the Current Report on Form 8-K filed on July 3, 2025)</w:t>
              </w:r>
            </w:hyperlink>
          </w:p>
        </w:tc>
      </w:tr>
      <w:tr>
        <w:trPr/>
        <w:tc>
          <w:tcPr>
            <w:tcW w:w="92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Registration Rights Agreement (incorporated by reference to Exhibit 10.2 to the Current Report on Form 8-K filed on July 3, 2025)</w:t>
              </w:r>
            </w:hyperlink>
          </w:p>
        </w:tc>
      </w:tr>
      <w:tr>
        <w:trPr/>
        <w:tc>
          <w:tcPr>
            <w:tcW w:w="92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Leak-Out Agreement (incorporated by reference to Exhibit 10.3 to the Current Report on Form 8-K filed on July 3, 2025)</w:t>
              </w:r>
            </w:hyperlink>
          </w:p>
        </w:tc>
      </w:tr>
      <w:tr>
        <w:trPr/>
        <w:tc>
          <w:tcPr>
            <w:tcW w:w="92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2026</w:t>
      </w:r>
    </w:p>
    <w:p>
      <w:pPr>
        <w:pStyle w:val="TextBody"/>
        <w:bidi w:val="0"/>
        <w:spacing w:before="0" w:after="0"/>
        <w:jc w:val="center"/>
        <w:rPr>
          <w:caps w:val="false"/>
          <w:smallCaps w:val="false"/>
        </w:rPr>
      </w:pPr>
      <w:r>
        <w:rPr>
          <w:caps w:val="false"/>
          <w:smallCaps w:val="false"/>
        </w:rPr>
        <w:t> </w:t>
      </w:r>
    </w:p>
    <w:tbl>
      <w:tblPr>
        <w:tblW w:w="3034" w:type="dxa"/>
        <w:jc w:val="left"/>
        <w:tblInd w:w="0" w:type="dxa"/>
        <w:tblLayout w:type="fixed"/>
        <w:tblCellMar>
          <w:top w:w="0" w:type="dxa"/>
          <w:left w:w="0" w:type="dxa"/>
          <w:bottom w:w="0" w:type="dxa"/>
          <w:right w:w="0" w:type="dxa"/>
        </w:tblCellMar>
      </w:tblPr>
      <w:tblGrid>
        <w:gridCol w:w="75"/>
        <w:gridCol w:w="416"/>
        <w:gridCol w:w="25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25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Davy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25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25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6" w:name="ex4-3.htm"/>
      <w:bookmarkStart w:id="27" w:name="ksex43"/>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SECTIONS 3(c)(iii) AND 20(a) HEREOF. THE PRINCIPAL AMOUNT REPRESENTED BY THIS NOTE AND, ACCORDINGLY, THE SECURITIES ISSUABLE UPON CONVERSION HEREOF MAY BE LESS THAN THE AMOUNTS SET FORTH ON THE FACE HEREOF PURSUANT TO SECTION 3(c)(iii) OF THIS NOTE.</w:t>
      </w:r>
    </w:p>
    <w:p>
      <w:pPr>
        <w:pStyle w:val="TextBody"/>
        <w:bidi w:val="0"/>
        <w:spacing w:before="0" w:after="0"/>
        <w:ind w:left="100" w:right="153"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HAS BEEN ISSUED WITH ORIGINAL ISSUE DISCOUNT (“OID”). PURSUANT TO TREASURY REGULATION §1.1275-3(b)(1), JOSEPH DAVY, A REPRESENTATIVE OF THE COMPANY HEREOF WILL, BEGINNING TEN DAYS AFTER THE ISSUANCE DATE OF THIS NOTE, PROMPTLY MAKE AVAILABLE TO THE HOLDER UPON REQUEST THE INFORMATION DESCRIBED IN TREASURY REGULATION §1.1275-3(b)(1)(i). JOSEPH DAVY MAY BE REACHED AT TELEPHONE NUMBER (206) 414 - 1777.</w:t>
      </w:r>
    </w:p>
    <w:p>
      <w:pPr>
        <w:pStyle w:val="TextBody"/>
        <w:bidi w:val="0"/>
        <w:spacing w:before="0" w:after="0"/>
        <w:ind w:left="100" w:right="154"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Banzai International, Inc.</w:t>
      </w:r>
    </w:p>
    <w:p>
      <w:pPr>
        <w:pStyle w:val="TextBody"/>
        <w:bidi w:val="0"/>
        <w:spacing w:before="0" w:after="0"/>
        <w:ind w:left="2169" w:right="2229"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Senior Secured Convertible Note</w:t>
      </w:r>
    </w:p>
    <w:p>
      <w:pPr>
        <w:pStyle w:val="TextBody"/>
        <w:bidi w:val="0"/>
        <w:spacing w:before="0" w:after="0"/>
        <w:ind w:left="2170" w:right="2226" w:hanging="0"/>
        <w:jc w:val="center"/>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2600"/>
        <w:gridCol w:w="2630"/>
      </w:tblGrid>
      <w:tr>
        <w:trPr/>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August 12, 2026</w:t>
            </w:r>
          </w:p>
        </w:tc>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 Principal Amount: U.S.</w:t>
            </w:r>
          </w:p>
        </w:tc>
      </w:tr>
      <w:tr>
        <w:trPr/>
        <w:tc>
          <w:tcPr>
            <w:tcW w:w="2600" w:type="dxa"/>
            <w:tcBorders/>
            <w:vAlign w:val="center"/>
          </w:tcPr>
          <w:p>
            <w:pPr>
              <w:pStyle w:val="TableContents"/>
              <w:bidi w:val="0"/>
              <w:spacing w:before="0" w:after="283"/>
              <w:jc w:val="left"/>
              <w:rPr>
                <w:caps w:val="false"/>
                <w:smallCaps w:val="false"/>
              </w:rPr>
            </w:pPr>
            <w:r>
              <w:rPr>
                <w:caps w:val="false"/>
                <w:smallCaps w:val="false"/>
              </w:rPr>
              <w:t> </w:t>
            </w:r>
          </w:p>
        </w:tc>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$1,099,989.00</w:t>
            </w:r>
          </w:p>
        </w:tc>
      </w:tr>
    </w:tbl>
    <w:p>
      <w:pPr>
        <w:pStyle w:val="TextBody"/>
        <w:bidi w:val="0"/>
        <w:spacing w:before="0" w:after="0"/>
        <w:ind w:left="2170" w:right="2226"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FOR VALUE RECEIVED, </w:t>
      </w:r>
      <w:r>
        <w:rPr>
          <w:rFonts w:ascii="Times New Roman;Times;Serif" w:hAnsi="Times New Roman;Times;Serif"/>
          <w:b w:val="false"/>
          <w:i w:val="false"/>
          <w:caps w:val="false"/>
          <w:smallCaps w:val="false"/>
          <w:sz w:val="20"/>
        </w:rPr>
        <w:t>Banzai International,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promises to pay to the order of [ ] or its registered assigns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the amount set forth above as the Original Principal Amount (as reduced pursuant to the terms hereof pursuant to redemption, conversion or otherwise, the “</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when due, whether upon the Maturity Date, on any Installment Date with respect to the Installment Amount due on such Installment Date (each as defined below), or upon acceleration, redemption or otherwise (in each case in accordance with the terms hereof) and to pay interest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on any outstanding Principal at the applicable Interest Rate (as defined below) from the date set forth above as the Issuance Date (the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 until the same becomes due and payable, whether upon the Maturity Date, on any Installment Date with respect to the Installment Amount due on such Installment Date, or upon acceleration, conversion, redemption or otherwise (in each case in accordance with the terms hereof). This Senior Secured Convertible Note (including all Senior Secured Convertible Notes issued in exchange, transfer or replacement hereof, this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 one of an issue of Senior Secured Convertible Notes issued pursuant to the Securities Purchase Agreement, dated as of June 27, 2025 (the “</w:t>
      </w:r>
      <w:r>
        <w:rPr>
          <w:rFonts w:ascii="Times New Roman;Times;Serif" w:hAnsi="Times New Roman;Times;Serif"/>
          <w:b/>
          <w:i w:val="false"/>
          <w:caps w:val="false"/>
          <w:smallCaps w:val="false"/>
          <w:sz w:val="20"/>
        </w:rPr>
        <w:t>Subscription Date</w:t>
      </w:r>
      <w:r>
        <w:rPr>
          <w:rFonts w:ascii="Times New Roman;Times;Serif" w:hAnsi="Times New Roman;Times;Serif"/>
          <w:b w:val="false"/>
          <w:i w:val="false"/>
          <w:caps w:val="false"/>
          <w:smallCaps w:val="false"/>
          <w:sz w:val="20"/>
        </w:rPr>
        <w:t>”), by and among the Company and the investors (the “</w:t>
      </w:r>
      <w:r>
        <w:rPr>
          <w:rFonts w:ascii="Times New Roman;Times;Serif" w:hAnsi="Times New Roman;Times;Serif"/>
          <w:b/>
          <w:i w:val="false"/>
          <w:caps w:val="false"/>
          <w:smallCaps w:val="false"/>
          <w:sz w:val="20"/>
        </w:rPr>
        <w:t>Buyers</w:t>
      </w:r>
      <w:r>
        <w:rPr>
          <w:rFonts w:ascii="Times New Roman;Times;Serif" w:hAnsi="Times New Roman;Times;Serif"/>
          <w:b w:val="false"/>
          <w:i w:val="false"/>
          <w:caps w:val="false"/>
          <w:smallCaps w:val="false"/>
          <w:sz w:val="20"/>
        </w:rPr>
        <w:t>”) referred to therein, as amended from time to time (collectively,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such other Senior Secured Convertible Notes, the “</w:t>
      </w:r>
      <w:r>
        <w:rPr>
          <w:rFonts w:ascii="Times New Roman;Times;Serif" w:hAnsi="Times New Roman;Times;Serif"/>
          <w:b/>
          <w:i w:val="false"/>
          <w:caps w:val="false"/>
          <w:smallCaps w:val="false"/>
          <w:sz w:val="20"/>
        </w:rPr>
        <w:t>Other Notes</w:t>
      </w:r>
      <w:r>
        <w:rPr>
          <w:rFonts w:ascii="Times New Roman;Times;Serif" w:hAnsi="Times New Roman;Times;Serif"/>
          <w:b w:val="false"/>
          <w:i w:val="false"/>
          <w:caps w:val="false"/>
          <w:smallCaps w:val="false"/>
          <w:sz w:val="20"/>
        </w:rPr>
        <w:t>”). Certain capitalized terms used herein are defined in Section 33.</w:t>
      </w:r>
    </w:p>
    <w:p>
      <w:pPr>
        <w:pStyle w:val="TextBody"/>
        <w:bidi w:val="0"/>
        <w:spacing w:before="0" w:after="0"/>
        <w:ind w:left="100" w:right="154"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0" w:right="154"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PAYMENTS OF PRINCIPAL</w:t>
      </w:r>
      <w:r>
        <w:rPr>
          <w:rFonts w:ascii="Times New Roman;Times;Serif" w:hAnsi="Times New Roman;Times;Serif"/>
          <w:b w:val="false"/>
          <w:i w:val="false"/>
          <w:caps w:val="false"/>
          <w:smallCaps w:val="false"/>
          <w:sz w:val="20"/>
        </w:rPr>
        <w:t>. On each Installment Date, the Company shall pay to the Holder an amount equal to the Installment Amount due on such Installment Date in accordance with Section 8. On the Maturity Date, the Company shall pay to the Holder an amount in cash (excluding any amounts paid in shares of Common Stock on the Maturity Date in accordance with Section 8) representing all outstanding Principal, Make-Whole Amount, accrued and unpaid Interest and accrued and unpaid Late Charges (as defined in Section 26(c)) on such Principal, Make-Whole Amount and Interest. Other than as specifically permitted by this Note, the Company may not prepay any portion of the outstanding Principal, Make-Whole Amount, accrued and unpaid Interest or accrued and unpaid Late Charges on Principal, Make-Whole Amount and Interest, if any.</w:t>
      </w:r>
    </w:p>
    <w:p>
      <w:pPr>
        <w:pStyle w:val="TextBody"/>
        <w:bidi w:val="0"/>
        <w:spacing w:before="0" w:after="0"/>
        <w:ind w:left="100" w:right="155"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INTEREST; INTEREST RATE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Interest on this Note shall commence accruing on the Issuance Date and shall be computed on the basis of a 360-day year and twelve 30-day months and shall be payable in arrears on each Interest Date and shall compound each calendar month and shall be payable in accordance with the terms of this Note. Interest shall be paid (i) on each Interest Date occurring on an Installment Date in accordance with Section 8 as part of the applicable Installment Amount due on the applicable Installment Date and (ii) with respect to each other Interest Date, on such Interest Date in cash.</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payment of Interest on an Interest Date, Interest on this Note shall accrue at the Interest Rate and be payable by way of inclusion of the Interest in the Conversion Amount on each Conversion Date in accordance with Section 3(b)(i) or upon any redemption in accordance with Section 13 or any required payment upon any Bankruptcy Event of Default. From and after the occurrence and during the continuance of any Event of Default, the Interest Rate in effect with respect to such determination shall automatically be increased to the Default Rate. In the event that such Event of Default is subsequently cured (and no other Event of Default then exists, including, without limitation, for the Company’s failure to pay such Interest at the Default Rate on the applicable Interest Date), the adjustment referred to in the preceding sentence shall cease to be effective as of the calendar day immediately following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such cure of such Event of Default.</w:t>
      </w:r>
    </w:p>
    <w:p>
      <w:pPr>
        <w:pStyle w:val="TextBody"/>
        <w:bidi w:val="0"/>
        <w:spacing w:before="0" w:after="0"/>
        <w:ind w:left="820" w:right="156"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820" w:right="156"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CONVERSION OF NOTES</w:t>
      </w:r>
      <w:r>
        <w:rPr>
          <w:rFonts w:ascii="Times New Roman;Times;Serif" w:hAnsi="Times New Roman;Times;Serif"/>
          <w:b w:val="false"/>
          <w:i w:val="false"/>
          <w:caps w:val="false"/>
          <w:smallCaps w:val="false"/>
          <w:sz w:val="20"/>
        </w:rPr>
        <w:t>. At any time after the Issuance Date, this Note shall be convertible into validly issued, fully paid and non-assessable shares of Common Stock (as defined below), on the terms and conditions set forth in this Section 3.</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Subject to the provisions of Section 3(d), at any time or times on or after the Issuance Date, the Holder shall be entitled to convert any portion of the outstanding and unpaid Conversion Amount (as defined below)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Conversion Amount.</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Conversion Rate</w:t>
      </w:r>
      <w:r>
        <w:rPr>
          <w:rFonts w:ascii="Times New Roman;Times;Serif" w:hAnsi="Times New Roman;Times;Serif"/>
          <w:b w:val="false"/>
          <w:i w:val="false"/>
          <w:caps w:val="false"/>
          <w:smallCaps w:val="false"/>
          <w:sz w:val="20"/>
        </w:rPr>
        <w:t>. The number of shares of Common Stock issuable upon conversion of any Conversion Amount pursuant to Section 3(a) shall be determined by dividing (x) such Conversion Amount by (y) the Conversion Price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w:t>
      </w:r>
    </w:p>
    <w:p>
      <w:pPr>
        <w:pStyle w:val="TextBody"/>
        <w:bidi w:val="0"/>
        <w:spacing w:before="0" w:after="0"/>
        <w:ind w:left="820" w:right="156" w:firstLine="72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Conversion Amount</w:t>
      </w:r>
      <w:r>
        <w:rPr>
          <w:rFonts w:ascii="Times New Roman;Times;Serif" w:hAnsi="Times New Roman;Times;Serif"/>
          <w:b w:val="false"/>
          <w:i w:val="false"/>
          <w:caps w:val="false"/>
          <w:smallCaps w:val="false"/>
          <w:sz w:val="20"/>
        </w:rPr>
        <w:t>” means the sum of (A) the portion of the Principal of this Note to be converted, redeemed or otherwise with respect to which this determination is being made, (B) accrued and unpaid Interest with respect to such Principal of this Note, (C) the Make-Whole Amount, if any, (D) accrued and unpaid Late Charges with respect to such Principal of this Note, Make-Whole Amount and Interest, and (E) any other unpaid amounts pursuant to the Transaction Documents, if any.</w:t>
      </w:r>
    </w:p>
    <w:p>
      <w:pPr>
        <w:pStyle w:val="TextBody"/>
        <w:bidi w:val="0"/>
        <w:spacing w:before="0" w:after="0"/>
        <w:ind w:left="118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means, as of any Conversion Date or other date of determination, $1.96, subject to adjustment as provided herein.</w:t>
      </w:r>
    </w:p>
    <w:p>
      <w:pPr>
        <w:pStyle w:val="TextBody"/>
        <w:bidi w:val="0"/>
        <w:spacing w:before="0" w:after="0"/>
        <w:ind w:left="1180" w:right="160" w:firstLine="108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Optional Conversion</w:t>
      </w:r>
      <w:r>
        <w:rPr>
          <w:rFonts w:ascii="Times New Roman;Times;Serif" w:hAnsi="Times New Roman;Times;Serif"/>
          <w:b w:val="false"/>
          <w:i w:val="false"/>
          <w:caps w:val="false"/>
          <w:smallCaps w:val="false"/>
          <w:sz w:val="20"/>
        </w:rPr>
        <w:t>. To convert any Conversion Amount into shares of Common Stock on any date (a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the Holder shall deliver (whether via electronic mail or otherwise), for receipt on or prior to 11:59 p.m., New York time, on such date, a copy of an executed notice of conversion in the form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xml:space="preserve">”) to the Company. If required by Section 3(c)(iii), within one (1) Trading Day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20(b)). On the date of receipt of a Conversion Notice, the Company shall transmit by electronic mail an acknowledgment, in the form attached hereto as </w:t>
      </w:r>
      <w:r>
        <w:rPr>
          <w:rFonts w:ascii="Times New Roman;Times;Serif" w:hAnsi="Times New Roman;Times;Serif"/>
          <w:b w:val="false"/>
          <w:i w:val="false"/>
          <w:caps w:val="false"/>
          <w:smallCaps w:val="false"/>
          <w:sz w:val="20"/>
          <w:u w:val="single"/>
        </w:rPr>
        <w:t>Exhibit II</w:t>
      </w:r>
      <w:r>
        <w:rPr>
          <w:rFonts w:ascii="Times New Roman;Times;Serif" w:hAnsi="Times New Roman;Times;Serif"/>
          <w:b w:val="false"/>
          <w:i w:val="false"/>
          <w:caps w:val="false"/>
          <w:smallCaps w:val="false"/>
          <w:sz w:val="20"/>
        </w:rPr>
        <w:t>, of confirmation of receipt of such Conversion Notice and representation as to whether such shares of Common Stock may then be resold pursuant to Rule 144 or an effective and available registration statement (each, an “</w:t>
      </w:r>
      <w:r>
        <w:rPr>
          <w:rFonts w:ascii="Times New Roman;Times;Serif" w:hAnsi="Times New Roman;Times;Serif"/>
          <w:b/>
          <w:i w:val="false"/>
          <w:caps w:val="false"/>
          <w:smallCaps w:val="false"/>
          <w:sz w:val="20"/>
        </w:rPr>
        <w:t>Acknowledgement</w:t>
      </w:r>
      <w:r>
        <w:rPr>
          <w:rFonts w:ascii="Times New Roman;Times;Serif" w:hAnsi="Times New Roman;Times;Serif"/>
          <w:b w:val="false"/>
          <w:i w:val="false"/>
          <w:caps w:val="false"/>
          <w:smallCaps w:val="false"/>
          <w:sz w:val="20"/>
        </w:rPr>
        <w:t>”) to the Holder and the Company’s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which confirmation shall constitute an instruction to the Transfer Agent to process such Conversion Notice in accordance with the terms herein. On or before the first (1st) Trading Day following the date on which the Company has received a Conversion Notice (or such earlier date as required pursuant to the 1934 Act or other applicable law, rule or regulation for the settlement of a trade initiated on the applicable Conversion Date of such shares of Common Stock issuable pursuant to such Conversion Notice) (the “</w:t>
      </w:r>
      <w:r>
        <w:rPr>
          <w:rFonts w:ascii="Times New Roman;Times;Serif" w:hAnsi="Times New Roman;Times;Serif"/>
          <w:b/>
          <w:i w:val="false"/>
          <w:caps w:val="false"/>
          <w:smallCaps w:val="false"/>
          <w:sz w:val="20"/>
        </w:rPr>
        <w:t>Share Delivery Deadline</w:t>
      </w:r>
      <w:r>
        <w:rPr>
          <w:rFonts w:ascii="Times New Roman;Times;Serif" w:hAnsi="Times New Roman;Times;Serif"/>
          <w:b w:val="false"/>
          <w:i w:val="false"/>
          <w:caps w:val="false"/>
          <w:smallCaps w:val="false"/>
          <w:sz w:val="20"/>
        </w:rPr>
        <w:t>”), the Company shall (1) provided that the Transfer Agent is participating in The Depository Trust Company’s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FAST, upon the request of the Holder, issue and deliver (via reputable overnight courier) to the address as specified in the Conversion Notice, a certificate, registered in the name of the Holder or its designee, for the number of shares of Common Stock to which the Holder shall be entitled pursuant to such conversion. If this Note is physically surrendered for conversion pursuant to Section 3(c)(iii) and the outstanding Principal of this Note is greater than the Principal portion of the Conversion Amount being converted, then the Company shall as soon as practicable and in no event later than one (1) Business Day after receipt of this Note and at its own expense, issue and deliver to the Holder (or its designee) a new Note (in accordance with Section 20(d)) representing the outstanding Principal not converted. The Person or Persons entitled to receive the shares of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issuable upon a conversion of this Note shall be treated for all purposes as the record holder or holders of such Conversion Shares on the Conversion Date; provided, that the Holder shall be deemed to have waived any voting rights of any such Conversion Shares during the period commencing on such Conversion Date, through, and including, such applicable Share Delivery Deadline (each, a “</w:t>
      </w:r>
      <w:r>
        <w:rPr>
          <w:rFonts w:ascii="Times New Roman;Times;Serif" w:hAnsi="Times New Roman;Times;Serif"/>
          <w:b/>
          <w:i w:val="false"/>
          <w:caps w:val="false"/>
          <w:smallCaps w:val="false"/>
          <w:sz w:val="20"/>
        </w:rPr>
        <w:t>Conversion Period</w:t>
      </w:r>
      <w:r>
        <w:rPr>
          <w:rFonts w:ascii="Times New Roman;Times;Serif" w:hAnsi="Times New Roman;Times;Serif"/>
          <w:b w:val="false"/>
          <w:i w:val="false"/>
          <w:caps w:val="false"/>
          <w:smallCaps w:val="false"/>
          <w:sz w:val="20"/>
        </w:rPr>
        <w:t>”), as necessary, such that the aggregate voting rights of any shares of Common Stock (including such Conversion Shares) beneficially owned by the Holder and/or any Attribution Parties, collectively, on any such date of determination shall not exceed the Maximum Percentage (as defined below) as a result of any such conversion of this Note. In the event of a partial conversion of this Note pursuant hereto, the Principal amount converted shall be deducted from the Installment Amount(s) relating to the Installment Date(s) as set forth in the applicable Conversion Notice. Notwithstanding anything to the contrary contained in this Note or the Registration 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unlegended shares of Common Stock to the Holder (or its designee) in connection with any sale of Registrable Securities (as defined in the Registration Rights Agreement) with respect to which the Holder has entered into a contract for sale, and delivered a copy of the prospectus included as part of the particular Registration Statement to the extent applicable, and for which the Holder has not yet settled.</w:t>
      </w:r>
    </w:p>
    <w:p>
      <w:pPr>
        <w:pStyle w:val="TextBody"/>
        <w:bidi w:val="0"/>
        <w:spacing w:before="0" w:after="0"/>
        <w:ind w:left="1180" w:right="152"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1180" w:right="152"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Company’s Failure to Timely Convert</w:t>
      </w:r>
      <w:r>
        <w:rPr>
          <w:rFonts w:ascii="Times New Roman;Times;Serif" w:hAnsi="Times New Roman;Times;Serif"/>
          <w:b w:val="false"/>
          <w:i w:val="false"/>
          <w:caps w:val="false"/>
          <w:smallCaps w:val="false"/>
          <w:sz w:val="20"/>
        </w:rPr>
        <w:t>. If the Company shall fail, for any reason or for no reason, on or prior to the applicable Share Delivery Deadline, either (I) if the Transfer Agent is not participating in FAST, to issue and deliver to the Holder (or its designee) a certificate for the number of shares of Common Stock to which the Holder is entitled and register such shares of Common Stock on the Company’s share register or, if the Transfer Agent is participating in FAST, to credit the balance account of the Holder or the Holder’s designee with DTC for such number of shares of Common Stock to which the Holder is entitled upon the Holder’s conversion of this Note (as the case may be) or (II) if the Registration Statement covering the resale of the shares of Common Stock that are the subject of the Conversion Notice (the “</w:t>
      </w:r>
      <w:r>
        <w:rPr>
          <w:rFonts w:ascii="Times New Roman;Times;Serif" w:hAnsi="Times New Roman;Times;Serif"/>
          <w:b/>
          <w:i w:val="false"/>
          <w:caps w:val="false"/>
          <w:smallCaps w:val="false"/>
          <w:sz w:val="20"/>
        </w:rPr>
        <w:t>Unavailable Conversion Shares</w:t>
      </w:r>
      <w:r>
        <w:rPr>
          <w:rFonts w:ascii="Times New Roman;Times;Serif" w:hAnsi="Times New Roman;Times;Serif"/>
          <w:b w:val="false"/>
          <w:i w:val="false"/>
          <w:caps w:val="false"/>
          <w:smallCaps w:val="false"/>
          <w:sz w:val="20"/>
        </w:rPr>
        <w:t>”) is not available for the resale of such Unavailable Conversion Shares and the Company fails to promptly, but in no event later than as required pursuant to the Registration Rights Agreement (x) so notify the Holder and (y) deliver the shares of Common Stock electronically without any restrictive legend by crediting such aggregate number of shares of Common Stock to which the Holder is entitled pursuant to such conversion to the Holder’s or its designee’s balance account with DTC through its Deposit/Withdrawal At Custodian system (the event described in the immediately foregoing clause (II) is hereinafter referred as a “</w:t>
      </w:r>
      <w:r>
        <w:rPr>
          <w:rFonts w:ascii="Times New Roman;Times;Serif" w:hAnsi="Times New Roman;Times;Serif"/>
          <w:b/>
          <w:i w:val="false"/>
          <w:caps w:val="false"/>
          <w:smallCaps w:val="false"/>
          <w:sz w:val="20"/>
        </w:rPr>
        <w:t>Notice Failure</w:t>
      </w:r>
      <w:r>
        <w:rPr>
          <w:rFonts w:ascii="Times New Roman;Times;Serif" w:hAnsi="Times New Roman;Times;Serif"/>
          <w:b w:val="false"/>
          <w:i w:val="false"/>
          <w:caps w:val="false"/>
          <w:smallCaps w:val="false"/>
          <w:sz w:val="20"/>
        </w:rPr>
        <w:t>” and together with the event described in clause (I) above, a “</w:t>
      </w:r>
      <w:r>
        <w:rPr>
          <w:rFonts w:ascii="Times New Roman;Times;Serif" w:hAnsi="Times New Roman;Times;Serif"/>
          <w:b/>
          <w:i w:val="false"/>
          <w:caps w:val="false"/>
          <w:smallCaps w:val="false"/>
          <w:sz w:val="20"/>
        </w:rPr>
        <w:t>Conversion Failure</w:t>
      </w:r>
      <w:r>
        <w:rPr>
          <w:rFonts w:ascii="Times New Roman;Times;Serif" w:hAnsi="Times New Roman;Times;Serif"/>
          <w:b w:val="false"/>
          <w:i w:val="false"/>
          <w:caps w:val="false"/>
          <w:smallCaps w:val="false"/>
          <w:sz w:val="20"/>
        </w:rPr>
        <w:t>”), then, in addition to all other remedies available to the Holder, (1) the Company shall pay in cash to the Holder on each day after such Share Delivery Deadline that the issuance of such shares of Common Stock is not timely effected an amount equal to 1% of the product of (A) the sum of the number of shares of Common Stock not issued to the Holder on or prior to the Share Delivery Deadline and to which the Holder is entitled, multiplied by (B) any trading price of the Common Stock selected by the Holder in writing as in effect at any time during the period beginning on the applicable Conversion Date and ending on the applicable Share Delivery Deadline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Section 3(c)(ii) or otherwise. In addition to the foregoing, if on or prior to the Share Delivery Deadline either (A) if the Transfer Agent is not participating in FAST, the Company shall fail to issue and deliver to the Holder (or its designee) a certificate and register such shares of Common Stock on the Company’s share register or, if the Transfer Agent is participating in FAST, the Transfer Agent shall fail to credit the balance account of the Holder or the Holder’s designee with DTC for the number of shares of Common Stock to which the Holder is entitled upon the Holder’s conversion hereunder or pursuant to the Company’s obligation pursuant to clause (II) below or (B) a Notice Failure occurs, and if on or after such Share Delivery Deadline the Holder acquires (in an open market transaction, stock loan or otherwise) shares of Common Stock corresponding to all or any portion of the number of shares of Common Stock issuable upon such conversion that the Holder is entitled to receive from the Company and has not received from the Company in connection with such Conversion Failure or Notice Failure, as applicable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two (2) Business Days after receipt of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shares of Common Stock to which the Holder is entitled upon the Holder’s conversion hereunder (as the case may be) (and to issue such shares of Common Stock) shall terminate, or (II) promptly honor its obligation to so issue and deliver to the Holder a certificate or certificates representing such shares of Common Stock or credit the balance account of such Holder or such Holder’s designee, as applicable, with DTC for the number of shares of Common Stock to which the Holder is entitled upon the Holder’s conversion hereunder (as the case may be) and pay cash to the Holder in an amount equal to the excess (if any) of the Buy-In Price over the product of (x) such number of shares of Common Stock multiplied by (y) the lowest Closing Sale Price of the Common Stock on any Trading Day during the period commencing on the date of the applicable Conversion Notice and ending on the date of such issuance and payment under this clause (II) (the “</w:t>
      </w:r>
      <w:r>
        <w:rPr>
          <w:rFonts w:ascii="Times New Roman;Times;Serif" w:hAnsi="Times New Roman;Times;Serif"/>
          <w:b/>
          <w:i w:val="false"/>
          <w:caps w:val="false"/>
          <w:smallCaps w:val="false"/>
          <w:sz w:val="20"/>
        </w:rPr>
        <w:t>Buy- In Payment Amount</w:t>
      </w:r>
      <w:r>
        <w:rPr>
          <w:rFonts w:ascii="Times New Roman;Times;Serif" w:hAnsi="Times New Roman;Times;Serif"/>
          <w:b w:val="false"/>
          <w:i w:val="false"/>
          <w:caps w:val="false"/>
          <w:smallCaps w:val="false"/>
          <w:sz w:val="20"/>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conversion of this Note as required pursuant to the terms hereof.</w:t>
      </w:r>
    </w:p>
    <w:p>
      <w:pPr>
        <w:pStyle w:val="TextBody"/>
        <w:bidi w:val="0"/>
        <w:spacing w:before="0" w:after="0"/>
        <w:ind w:left="1180" w:right="154"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1180" w:right="154"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Registration; Book-Entry</w:t>
      </w:r>
      <w:r>
        <w:rPr>
          <w:rFonts w:ascii="Times New Roman;Times;Serif" w:hAnsi="Times New Roman;Times;Serif"/>
          <w:b w:val="false"/>
          <w:i w:val="false"/>
          <w:caps w:val="false"/>
          <w:smallCaps w:val="false"/>
          <w:sz w:val="20"/>
        </w:rPr>
        <w:t>. The Company shall maintain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for the recordation of the names and addresses of the holders of each Note and the principal amount of the Notes held by such holders (the “</w:t>
      </w:r>
      <w:r>
        <w:rPr>
          <w:rFonts w:ascii="Times New Roman;Times;Serif" w:hAnsi="Times New Roman;Times;Serif"/>
          <w:b/>
          <w:i w:val="false"/>
          <w:caps w:val="false"/>
          <w:smallCaps w:val="false"/>
          <w:sz w:val="20"/>
        </w:rPr>
        <w:t>Registered Notes</w:t>
      </w:r>
      <w:r>
        <w:rPr>
          <w:rFonts w:ascii="Times New Roman;Times;Serif" w:hAnsi="Times New Roman;Times;Serif"/>
          <w:b w:val="false"/>
          <w:i w:val="false"/>
          <w:caps w:val="false"/>
          <w:smallCaps w:val="false"/>
          <w:sz w:val="20"/>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Make-Whole Amount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20,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Make-Whole Amount,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Make-Whole Amount,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pStyle w:val="TextBody"/>
        <w:bidi w:val="0"/>
        <w:spacing w:before="0" w:after="0"/>
        <w:ind w:left="1180" w:right="157"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Pro Rata Conversion; Disputes</w:t>
      </w:r>
      <w:r>
        <w:rPr>
          <w:rFonts w:ascii="Times New Roman;Times;Serif" w:hAnsi="Times New Roman;Times;Serif"/>
          <w:b w:val="false"/>
          <w:i w:val="false"/>
          <w:caps w:val="false"/>
          <w:smallCaps w:val="false"/>
          <w:sz w:val="20"/>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25.</w:t>
      </w:r>
    </w:p>
    <w:p>
      <w:pPr>
        <w:pStyle w:val="TextBody"/>
        <w:bidi w:val="0"/>
        <w:spacing w:before="0" w:after="0"/>
        <w:ind w:left="1180" w:right="0" w:firstLine="108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1180" w:right="0" w:firstLine="108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Limitations on Conversions</w:t>
      </w:r>
      <w:r>
        <w:rPr>
          <w:rFonts w:ascii="Times New Roman;Times;Serif" w:hAnsi="Times New Roman;Times;Serif"/>
          <w:b w:val="false"/>
          <w:i w:val="false"/>
          <w:caps w:val="false"/>
          <w:smallCaps w:val="false"/>
          <w:sz w:val="20"/>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shares of Common Stock outstanding immediately after giving effect to such conversion.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this Note with respect to which the determination of such sentence is being made, but shall exclude shares of Common Stock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stock or warrants, including, without limitation, the Warrants) beneficially owned by the Holder or any other Attribution Party subject to a limitation on conversion or exercise analogous to the limitation contained in this Section 3(d). For purposes of this Section 3(d), beneficial ownership shall be calculated in accordance with Section 13(d) of the 1934 Act. For purposes of determining the number of outstanding shares of Common Stock the Holder may acquire upon the conversion of this Note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 Conversion Notice from the Holder at a time when the actual number of outstanding shares of Common Stock is less than the Reported Outstanding Share Number, the Company shall notify the Holder in writing of the number of shares of Common Stock then outstanding and, to the extent that such Conversion Notice would otherwise cause the Holder’s beneficial ownership, as determined pursuant to this Section 3(d), to exceed the Maximum Percentage, the Holder must notify the Company of a reduced number of shares of Common Stock to be purchased pursuant to such Conversion Notice.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this Note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Upon delivery of a written notice to the Company, the Holder may from time to time increase (with such increase not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such notice is delivered to the Company and (ii) any such increase or decrease will apply only to the Holder and the other Attribution Parties and not to any other holder of Notes that is not an Attribution Party of the Holder. For purposes of clarity, the shares of Common Stock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3(d) to the extent necessary to correct this paragraph (or any portion of this paragraph) which may be defective or inconsistent with the intended beneficial ownership limitation contained in this Section 3(d) or to make changes or supplements necessary or desirable to properly give effect to such limitation. The limitation contained in this paragraph may not be amended, modified or waived and shall apply to a successor holder of this Note.</w:t>
      </w:r>
    </w:p>
    <w:p>
      <w:pPr>
        <w:pStyle w:val="TextBody"/>
        <w:bidi w:val="0"/>
        <w:spacing w:before="0" w:after="0"/>
        <w:ind w:left="820" w:right="157"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820" w:right="157"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Right of Alternate Conversion Upon an Event of Default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Subject to Section 3(d), at any time during an Event of Default Redemption Right Period (as defined below) (regardless of whether such Event of Default has been cured, or if the Company has delivered an Event of Default Redemption Notice to the Holder or if the Holder has delivered an Event of Default Redemption Notice to the Company or otherwise notified the Company that an Event of Default has occurred), the Holder may, at the Holder’s option, convert (each, an “</w:t>
      </w:r>
      <w:r>
        <w:rPr>
          <w:rFonts w:ascii="Times New Roman;Times;Serif" w:hAnsi="Times New Roman;Times;Serif"/>
          <w:b/>
          <w:i w:val="false"/>
          <w:caps w:val="false"/>
          <w:smallCaps w:val="false"/>
          <w:sz w:val="20"/>
        </w:rPr>
        <w:t>Alternate Conversion</w:t>
      </w:r>
      <w:r>
        <w:rPr>
          <w:rFonts w:ascii="Times New Roman;Times;Serif" w:hAnsi="Times New Roman;Times;Serif"/>
          <w:b w:val="false"/>
          <w:i w:val="false"/>
          <w:caps w:val="false"/>
          <w:smallCaps w:val="false"/>
          <w:sz w:val="20"/>
        </w:rPr>
        <w:t>”, and the date of such Alternate Conversion, each, an “</w:t>
      </w:r>
      <w:r>
        <w:rPr>
          <w:rFonts w:ascii="Times New Roman;Times;Serif" w:hAnsi="Times New Roman;Times;Serif"/>
          <w:b/>
          <w:i w:val="false"/>
          <w:caps w:val="false"/>
          <w:smallCaps w:val="false"/>
          <w:sz w:val="20"/>
        </w:rPr>
        <w:t>Alternate Conversion Date</w:t>
      </w:r>
      <w:r>
        <w:rPr>
          <w:rFonts w:ascii="Times New Roman;Times;Serif" w:hAnsi="Times New Roman;Times;Serif"/>
          <w:b w:val="false"/>
          <w:i w:val="false"/>
          <w:caps w:val="false"/>
          <w:smallCaps w:val="false"/>
          <w:sz w:val="20"/>
        </w:rPr>
        <w:t>”) all, or any part of, the Conversion Amount (such portion of the Conversion Amount subject to such Alternate Conversion, the “</w:t>
      </w:r>
      <w:r>
        <w:rPr>
          <w:rFonts w:ascii="Times New Roman;Times;Serif" w:hAnsi="Times New Roman;Times;Serif"/>
          <w:b/>
          <w:i w:val="false"/>
          <w:caps w:val="false"/>
          <w:smallCaps w:val="false"/>
          <w:sz w:val="20"/>
        </w:rPr>
        <w:t>Alternate Conversion Amount</w:t>
      </w:r>
      <w:r>
        <w:rPr>
          <w:rFonts w:ascii="Times New Roman;Times;Serif" w:hAnsi="Times New Roman;Times;Serif"/>
          <w:b w:val="false"/>
          <w:i w:val="false"/>
          <w:caps w:val="false"/>
          <w:smallCaps w:val="false"/>
          <w:sz w:val="20"/>
        </w:rPr>
        <w:t>”) into shares of Common Stock at a conversion rate equal to the quotient of (x) the product of (A) the Redemption Premium and (B) the Alternate Conversion Amount, divided by (y) the Alternate Conversion Price (the “</w:t>
      </w:r>
      <w:r>
        <w:rPr>
          <w:rFonts w:ascii="Times New Roman;Times;Serif" w:hAnsi="Times New Roman;Times;Serif"/>
          <w:b/>
          <w:i w:val="false"/>
          <w:caps w:val="false"/>
          <w:smallCaps w:val="false"/>
          <w:sz w:val="20"/>
        </w:rPr>
        <w:t>Alternate Conversion Rate</w:t>
      </w:r>
      <w:r>
        <w:rPr>
          <w:rFonts w:ascii="Times New Roman;Times;Serif" w:hAnsi="Times New Roman;Times;Serif"/>
          <w:b w:val="false"/>
          <w:i w:val="false"/>
          <w:caps w:val="false"/>
          <w:smallCaps w:val="false"/>
          <w:sz w:val="20"/>
        </w:rPr>
        <w:t>”).</w:t>
      </w:r>
    </w:p>
    <w:p>
      <w:pPr>
        <w:pStyle w:val="TextBody"/>
        <w:bidi w:val="0"/>
        <w:spacing w:before="0" w:after="0"/>
        <w:ind w:left="15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Mechanics of Alternate Conversion</w:t>
      </w:r>
      <w:r>
        <w:rPr>
          <w:rFonts w:ascii="Times New Roman;Times;Serif" w:hAnsi="Times New Roman;Times;Serif"/>
          <w:b w:val="false"/>
          <w:i w:val="false"/>
          <w:caps w:val="false"/>
          <w:smallCaps w:val="false"/>
          <w:sz w:val="20"/>
        </w:rPr>
        <w:t>. On any Alternate Conversion Date, the Holder may voluntarily convert any Alternate Conversion Amount pursuant to Section 3(c) at the Alternate Conversion Rate (for the avoidance of doubt, with “Alternate Conversion Price” replacing “Conversion Price” for all purposes hereunder with respect to such Alternate Conversion and, with “Redemption Premium of the Conversion Amount” replacing “Conversion Amount” in clause (x) of the definition of Conversion Rate above with respect to such Alternate Conversion) by designating in the Conversion Notice delivered pursuant to this Section 3(e) of this Note that the Holder is electing to use the Alternate Conversion Price for such conversion; provided that in the event of the Conversion Floor Price Condition, on the applicable Alternate Conversion Date the Company shall also deliver to the Holder the applicable Alternate Conversion Floor Amount. Notwithstanding anything to the contrary in this Section 3(e), but subject to Section 3(d), until the Company delivers shares of Common Stock representing the applicable Alternate Conversion Amount to the Holder, such Alternate Conversion Amount may be converted by the Holder into shares of Common Stock pursuant to Section 3(c) without regard to this Section 3(e). In the event of an Alternate Conversion pursuant to this Section 3(e) of all, or any portion, of this Note,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3(e), together the Alternate Conversion Price used in such Alternate Conversion, as applicable, is intended by the parties to be, and shall be deemed, a reasonable estimate of, the Holder’s actual loss of its investment opportunity and not as a penalty.</w:t>
      </w:r>
    </w:p>
    <w:p>
      <w:pPr>
        <w:pStyle w:val="TextBody"/>
        <w:bidi w:val="0"/>
        <w:spacing w:before="0" w:after="0"/>
        <w:ind w:left="1540" w:right="155"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1540" w:right="155"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RIGHTS UPON EVENT OF DEFAULT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Each of the following events shall constitute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and each of the events in clauses (ix), (x) and (xi) shall constitute a “</w:t>
      </w:r>
      <w:r>
        <w:rPr>
          <w:rFonts w:ascii="Times New Roman;Times;Serif" w:hAnsi="Times New Roman;Times;Serif"/>
          <w:b/>
          <w:i w:val="false"/>
          <w:caps w:val="false"/>
          <w:smallCaps w:val="false"/>
          <w:sz w:val="20"/>
        </w:rPr>
        <w:t>Bankruptcy Event of Default</w:t>
      </w:r>
      <w:r>
        <w:rPr>
          <w:rFonts w:ascii="Times New Roman;Times;Serif" w:hAnsi="Times New Roman;Times;Serif"/>
          <w:b w:val="false"/>
          <w:i w:val="false"/>
          <w:caps w:val="false"/>
          <w:smallCaps w:val="false"/>
          <w:sz w:val="20"/>
        </w:rPr>
        <w:t>”:</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failure of the applicable Registration Statement (as defined in the Registration Rights Agreement) to be filed with the SEC on or prior to the date that is five (5) days after the applicable Filing Deadline (as defined in the Registration Rights Agreement) or the failure of the applicable Registration Statement to be declared effective by the SEC on or prior to the date that is five (5) days after the applicable Effectiveness Deadline (as defined in the Registration Rights Agreement);</w:t>
      </w:r>
    </w:p>
    <w:p>
      <w:pPr>
        <w:pStyle w:val="TextBody"/>
        <w:bidi w:val="0"/>
        <w:spacing w:before="0" w:after="0"/>
        <w:ind w:left="1180" w:right="158"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(as defined in the Registration Rights Agreement) for sale of all of such holder’s Registrable Securities in accordance with the terms of the Registration Rights Agreement, and such lapse or unavailability continues for a period of five (5) consecutive days or for more than an aggregate of ten (10) days in any 365-day period (excluding days during an Allowable Grace Period (as defined in the Registration Rights Agreement));</w:t>
      </w:r>
    </w:p>
    <w:p>
      <w:pPr>
        <w:pStyle w:val="TextBody"/>
        <w:bidi w:val="0"/>
        <w:spacing w:before="0" w:after="0"/>
        <w:ind w:left="1180" w:right="155"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suspension from trading or the failure of the Common Stock to be trading or listed (as applicable) on an Eligible Market for a period of five (5) consecutive Trading Days;</w:t>
      </w:r>
    </w:p>
    <w:p>
      <w:pPr>
        <w:pStyle w:val="TextBody"/>
        <w:bidi w:val="0"/>
        <w:spacing w:before="0" w:after="0"/>
        <w:ind w:left="1180" w:right="156"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Company’s (A) failure to cure a Conversion Failure or a Delivery Failure (as defined in the Warrants) by delivery of the required number of shares of Common Stock within five (5) Trading Days after the applicable Conversion Date or exercise date (as the case may be) or (B) notice, written or oral, to any holder of the Notes or Warrants,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 or a request for exercise of any Warrants for shares of Common Stock in accordance with the provisions of the Warrants;</w:t>
      </w:r>
    </w:p>
    <w:p>
      <w:pPr>
        <w:pStyle w:val="TextBody"/>
        <w:bidi w:val="0"/>
        <w:spacing w:before="0" w:after="0"/>
        <w:ind w:left="1180" w:right="156"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except to the extent the Company is in compliance with Section 12(b) below, at any time following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consecutive day that the Holder’s Authorized Share Allocation (as defined in Section 12(a) below) is less than the sum of (A) the number of shares of Common Stock that the Holder would be entitled to receive upon a conversion of the full Conversion Amount of this Note (without regard to any limitations on conversion set forth in Section 3(d) or otherwise), and (B) the number of shares of Common Stock that the Holder would be entitled to receive upon exercise in full of the Holder’s Warrants (without regard to any limitations on exercise set forth in the Warrants);</w:t>
      </w:r>
    </w:p>
    <w:p>
      <w:pPr>
        <w:pStyle w:val="TextBody"/>
        <w:bidi w:val="0"/>
        <w:spacing w:before="0" w:after="0"/>
        <w:ind w:left="118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118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Company’s or any Subsidiary’s failure to pay to the Holder any amount of Principal, Make-Whole Amount, Interest, Late Charges or other amounts when and as due under this Note (including, without limitation, the Company’s or any Subsidiary’s failure to pay any redemption payments or amounts hereunder) or any other Transaction Document (as defined in the Securities Purchase Agreement) or any other agreement, document, certificate or other instrument delivered in connection with the transactions contemplated hereby and thereby, except, in the case of a failure to pay Interest and Late Charges when and as due, in which case only if such failure remains uncured for a period of at least two (2) Trading Days;</w:t>
      </w:r>
    </w:p>
    <w:p>
      <w:pPr>
        <w:pStyle w:val="TextBody"/>
        <w:bidi w:val="0"/>
        <w:spacing w:before="0" w:after="0"/>
        <w:ind w:left="1180" w:right="157"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Company fails to remove any restrictive legend on any certificate or any shares of Common Stock issued to the Holder upon conversion or exercise (as the case may be) of any Securities (as defined in the Securities Purchase Agreement) acquired by the Holder under the Securities Purchase Agreement (including this Note) as and when required by such Securities or the Securities Purchase Agreement, unless otherwise then prohibited by applicable federal securities laws, and any such failure remains uncured for at least five (5) days;</w:t>
      </w:r>
    </w:p>
    <w:p>
      <w:pPr>
        <w:pStyle w:val="TextBody"/>
        <w:bidi w:val="0"/>
        <w:spacing w:before="0" w:after="0"/>
        <w:ind w:left="1180" w:right="156"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occurrence of any default under, redemption of or acceleration prior to maturity of at least an aggregate of $500,000 of Indebtedness (as defined in the Securities Purchase Agreement) of the Company or any of its Subsidiaries, other than with respect to any Other Notes;</w:t>
      </w:r>
    </w:p>
    <w:p>
      <w:pPr>
        <w:pStyle w:val="TextBody"/>
        <w:bidi w:val="0"/>
        <w:spacing w:before="0" w:after="0"/>
        <w:ind w:left="1180" w:right="157"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bankruptcy, insolvency, reorganization or liquidation proceedings or other proceedings for the relief of debtors shall be instituted by or against the Company or any Subsidiary and, if instituted against the Company or any Subsidiary by a third party, shall not be dismissed within thirty (30) days of their initiation;</w:t>
      </w:r>
    </w:p>
    <w:p>
      <w:pPr>
        <w:pStyle w:val="TextBody"/>
        <w:bidi w:val="0"/>
        <w:spacing w:before="0" w:after="0"/>
        <w:ind w:left="1180" w:right="155"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w:t>
      </w:r>
    </w:p>
    <w:p>
      <w:pPr>
        <w:pStyle w:val="TextBody"/>
        <w:bidi w:val="0"/>
        <w:spacing w:before="0" w:after="0"/>
        <w:ind w:left="1180" w:right="157"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1180" w:right="157"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pStyle w:val="TextBody"/>
        <w:bidi w:val="0"/>
        <w:spacing w:before="0" w:after="0"/>
        <w:ind w:left="118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 final judgment or judgments for the payment of money aggregating in excess of $500,000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$500,000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pStyle w:val="TextBody"/>
        <w:bidi w:val="0"/>
        <w:spacing w:before="0" w:after="0"/>
        <w:ind w:left="1180" w:right="156"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Company and/or any Subsidiary, individually or in the aggregate, either (i) fails to pay, when due, or within any applicable grace period, any payment with respect to any Indebtedness in excess of $500,000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$500,000,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on the business, assets, operations (including results thereof), liabilities, properties, condition (including financial condition) or prospects of the Company or any of its Subsidiaries, individually or in the aggregate;</w:t>
      </w:r>
    </w:p>
    <w:p>
      <w:pPr>
        <w:pStyle w:val="TextBody"/>
        <w:bidi w:val="0"/>
        <w:spacing w:before="0" w:after="0"/>
        <w:ind w:left="118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118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other than as specifically set forth in another clause of this Section 4(a), the Company or any Subsidiary breaches any representation or warranty, in any material respect (other than representations or warranties subject to material adverse effect or materiality, which may not be breached in any respect) or any covenant or other term or condition of any Transaction Document, except, in the case of a breach of a covenant or other term or condition that is curable, only if such breach remains uncured for a period of two (2) consecutive Trading Days;</w:t>
      </w:r>
    </w:p>
    <w:p>
      <w:pPr>
        <w:pStyle w:val="TextBody"/>
        <w:bidi w:val="0"/>
        <w:spacing w:before="0" w:after="0"/>
        <w:ind w:left="1180" w:right="156"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 false or inaccurate certification (including a false or inaccurate deemed certification) by the Company that either (A) the Equity Conditions are satisfied, (B) there has been no Equity Conditions Failure, or (C) as to whether any Event of Default has occurred;</w:t>
      </w:r>
    </w:p>
    <w:p>
      <w:pPr>
        <w:pStyle w:val="TextBody"/>
        <w:bidi w:val="0"/>
        <w:spacing w:before="0" w:after="0"/>
        <w:ind w:left="1180" w:right="158"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breach or failure in any respect by the Company or any Subsidiary to comply with any provision of Section 15 of this Note;</w:t>
      </w:r>
    </w:p>
    <w:p>
      <w:pPr>
        <w:pStyle w:val="TextBody"/>
        <w:bidi w:val="0"/>
        <w:spacing w:before="0" w:after="0"/>
        <w:ind w:left="1180" w:right="158"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any Material Adverse Effect (as defined in the Securities Purchase Agreement) occurs;</w:t>
      </w:r>
    </w:p>
    <w:p>
      <w:pPr>
        <w:pStyle w:val="TextBody"/>
        <w:bidi w:val="0"/>
        <w:spacing w:before="0" w:after="0"/>
        <w:ind w:left="1180" w:right="159"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any provision of any Transaction Document (including, without limitation, the Security Documents and the Guaranties) shall at any time for any reason (other than pursuant to the express terms thereof) cease to be valid and binding on or enforceable against the parties thereto,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(including, without limitation, the Security Documents and the Guaranties);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any Security Document shall for any reason fail or cease to create a separate valid and perfected and, except to the extent permitted by the terms hereof or thereof, first priority Lien (as defined in the Securities Purchase Agreement) on the Collateral (as defined in the Security Documents) in favor of the Collateral Agent (as defined in the Securities Purchase Agreement) or any material provision of any Security Document shall at any time for any reason cease to be valid and binding on or enforceable against the Company or the validity or enforceability thereof shall be contested by any party thereto, or a proceeding shall be commenced by the Company or any governmental authority having jurisdiction over the Company, seeking to establish the invalidity or unenforceability thereof;</w:t>
      </w:r>
    </w:p>
    <w:p>
      <w:pPr>
        <w:pStyle w:val="TextBody"/>
        <w:bidi w:val="0"/>
        <w:spacing w:before="0" w:after="0"/>
        <w:ind w:left="1180" w:right="155"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any material damage to, or loss, theft or destruction of, any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the Company or any Subsidiary, if any such event or circumstance could have a Material Adverse Effect;</w:t>
      </w:r>
    </w:p>
    <w:p>
      <w:pPr>
        <w:pStyle w:val="TextBody"/>
        <w:bidi w:val="0"/>
        <w:spacing w:before="0" w:after="0"/>
        <w:ind w:left="1180" w:right="161"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1180" w:right="161"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any Event of Default (as defined in the Other Notes) occurs with respect to any Other Notes; or</w:t>
      </w:r>
    </w:p>
    <w:p>
      <w:pPr>
        <w:pStyle w:val="TextBody"/>
        <w:bidi w:val="0"/>
        <w:spacing w:before="0" w:after="0"/>
        <w:ind w:left="1180" w:right="161"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the failure of the Company to effect the issuance and sale of at least$ 1 million in gross proceeds of any Subsequent Placement (as defined in the Securities Purchase Agreement), including any ATM Sale (including any Permitted ATM (as defined in the Securities Purchase Agreement)), in any consecutive twenty (20) Trading Day period (less the net proceeds of any Subsequent Placement during such measuring period); provided, that, the Company shall not sell Common Stock pursuant to any ATM Sale in excess of 20% of the aggregate daily dollar trading volume (as reported on Bloomberg) of the Common Stock on the Principal Market on any Trading Day during such measuring period.</w:t>
      </w:r>
    </w:p>
    <w:p>
      <w:pPr>
        <w:pStyle w:val="TextBody"/>
        <w:bidi w:val="0"/>
        <w:spacing w:before="0" w:after="0"/>
        <w:ind w:left="1180" w:right="157"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an Event of Default; Redemption Right</w:t>
      </w:r>
      <w:r>
        <w:rPr>
          <w:rFonts w:ascii="Times New Roman;Times;Serif" w:hAnsi="Times New Roman;Times;Serif"/>
          <w:b w:val="false"/>
          <w:i w:val="false"/>
          <w:caps w:val="false"/>
          <w:smallCaps w:val="false"/>
          <w:sz w:val="20"/>
        </w:rPr>
        <w:t>. Upon the occurrence of an Event of Default with respect to this Note or any Other Note, the Company shall within one (1) Business Day deliver written notice thereof via electronic mail and overnight courier (with next day delivery specified) (an “</w:t>
      </w:r>
      <w:r>
        <w:rPr>
          <w:rFonts w:ascii="Times New Roman;Times;Serif" w:hAnsi="Times New Roman;Times;Serif"/>
          <w:b/>
          <w:i w:val="false"/>
          <w:caps w:val="false"/>
          <w:smallCaps w:val="false"/>
          <w:sz w:val="20"/>
        </w:rPr>
        <w:t>Event of Default Notice</w:t>
      </w:r>
      <w:r>
        <w:rPr>
          <w:rFonts w:ascii="Times New Roman;Times;Serif" w:hAnsi="Times New Roman;Times;Serif"/>
          <w:b w:val="false"/>
          <w:i w:val="false"/>
          <w:caps w:val="false"/>
          <w:smallCaps w:val="false"/>
          <w:sz w:val="20"/>
        </w:rPr>
        <w:t>”) to the Holder. At any time after the earlier of the Holder’s receipt of an Event of Default Notice and the Holder becoming aware of an Event of Default (such earlier date, the “</w:t>
      </w:r>
      <w:r>
        <w:rPr>
          <w:rFonts w:ascii="Times New Roman;Times;Serif" w:hAnsi="Times New Roman;Times;Serif"/>
          <w:b/>
          <w:i w:val="false"/>
          <w:caps w:val="false"/>
          <w:smallCaps w:val="false"/>
          <w:sz w:val="20"/>
        </w:rPr>
        <w:t>Event of Default Right Commencement Date</w:t>
      </w:r>
      <w:r>
        <w:rPr>
          <w:rFonts w:ascii="Times New Roman;Times;Serif" w:hAnsi="Times New Roman;Times;Serif"/>
          <w:b w:val="false"/>
          <w:i w:val="false"/>
          <w:caps w:val="false"/>
          <w:smallCaps w:val="false"/>
          <w:sz w:val="20"/>
        </w:rPr>
        <w:t>”) and ending (such ending date, the “</w:t>
      </w:r>
      <w:r>
        <w:rPr>
          <w:rFonts w:ascii="Times New Roman;Times;Serif" w:hAnsi="Times New Roman;Times;Serif"/>
          <w:b/>
          <w:i w:val="false"/>
          <w:caps w:val="false"/>
          <w:smallCaps w:val="false"/>
          <w:sz w:val="20"/>
        </w:rPr>
        <w:t>Event of Default Right Expiration Date</w:t>
      </w:r>
      <w:r>
        <w:rPr>
          <w:rFonts w:ascii="Times New Roman;Times;Serif" w:hAnsi="Times New Roman;Times;Serif"/>
          <w:b w:val="false"/>
          <w:i w:val="false"/>
          <w:caps w:val="false"/>
          <w:smallCaps w:val="false"/>
          <w:sz w:val="20"/>
        </w:rPr>
        <w:t>”, and each such period, an “</w:t>
      </w:r>
      <w:r>
        <w:rPr>
          <w:rFonts w:ascii="Times New Roman;Times;Serif" w:hAnsi="Times New Roman;Times;Serif"/>
          <w:b/>
          <w:i w:val="false"/>
          <w:caps w:val="false"/>
          <w:smallCaps w:val="false"/>
          <w:sz w:val="20"/>
        </w:rPr>
        <w:t>Event of Default Redemption Right Period</w:t>
      </w:r>
      <w:r>
        <w:rPr>
          <w:rFonts w:ascii="Times New Roman;Times;Serif" w:hAnsi="Times New Roman;Times;Serif"/>
          <w:b w:val="false"/>
          <w:i w:val="false"/>
          <w:caps w:val="false"/>
          <w:smallCaps w:val="false"/>
          <w:sz w:val="20"/>
        </w:rPr>
        <w:t>”) on the twentieth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after the later of (x) the date such Event of Default is cured and (y) the Holder’s receipt of an Event of Default Notice that includes (I) a reasonable description of the applicable Event of Default, (II) a certification as to whether, in the opinion of the Company, such Event of Default is capable of being cured and, if applicable, a reasonable description of any existing plans of the Company to cure such Event of Default and (III) a certification as to the date the Event of Default occurred and, if cured on or prior to the date of such Event of Default Notice, the applicable Event of Default Right Expiration Date, the Holder may require the Company to redeem (regardless of whether such Event of Default has been cured on or prior to the Event of Default Right Expiration Date) all or any portion of this Note by delivering written notice thereof (the “</w:t>
      </w:r>
      <w:r>
        <w:rPr>
          <w:rFonts w:ascii="Times New Roman;Times;Serif" w:hAnsi="Times New Roman;Times;Serif"/>
          <w:b/>
          <w:i w:val="false"/>
          <w:caps w:val="false"/>
          <w:smallCaps w:val="false"/>
          <w:sz w:val="20"/>
        </w:rPr>
        <w:t>Event of Default Redemption Notice</w:t>
      </w:r>
      <w:r>
        <w:rPr>
          <w:rFonts w:ascii="Times New Roman;Times;Serif" w:hAnsi="Times New Roman;Times;Serif"/>
          <w:b w:val="false"/>
          <w:i w:val="false"/>
          <w:caps w:val="false"/>
          <w:smallCaps w:val="false"/>
          <w:sz w:val="20"/>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product of (A) the Conversion Amount to be redeemed multiplied by (B) the Redemption Premium and (ii) the product of (X) the quotient of (a) the Conversion Amount to be redeemed divided by (b) the Alternate Conversion Price then in effect at such time as the Holder delivers an Event of Default Redemption Notice multiplied by (Y) the product of (1) the Redemption Premium multiplied by (2) the greatest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Times New Roman;Times;Serif" w:hAnsi="Times New Roman;Times;Serif"/>
          <w:b/>
          <w:i w:val="false"/>
          <w:caps w:val="false"/>
          <w:smallCaps w:val="false"/>
          <w:sz w:val="20"/>
        </w:rPr>
        <w:t>Event of Default Redemption Price</w:t>
      </w:r>
      <w:r>
        <w:rPr>
          <w:rFonts w:ascii="Times New Roman;Times;Serif" w:hAnsi="Times New Roman;Times;Serif"/>
          <w:b w:val="false"/>
          <w:i w:val="false"/>
          <w:caps w:val="false"/>
          <w:smallCaps w:val="false"/>
          <w:sz w:val="20"/>
        </w:rPr>
        <w:t>”). Redemptions required by this Section 4(b) shall be made in accordance with the provisions of Section 13.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3(e),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a partial redemption of this Note pursuant hereto, the Principal amount redeemed shall be deducted from the Installment Amount(s) relating to the applicable Installment Date(s) as set forth in the Event of Default Redemption Notice.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pStyle w:val="TextBody"/>
        <w:bidi w:val="0"/>
        <w:spacing w:before="0" w:after="0"/>
        <w:ind w:left="820" w:right="155"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820" w:right="155"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Mandatory Redemption upon Bankruptcy Event of Default</w:t>
      </w:r>
      <w:r>
        <w:rPr>
          <w:rFonts w:ascii="Times New Roman;Times;Serif" w:hAnsi="Times New Roman;Times;Serif"/>
          <w:b w:val="false"/>
          <w:i w:val="false"/>
          <w:caps w:val="false"/>
          <w:smallCaps w:val="false"/>
          <w:sz w:val="20"/>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(i) all outstanding Principal, Make-Whole Amount, accrued and unpaid Interest and accrued and unpaid Late Charges on such Principal, Make-Whole Amount and Interest, multiplied by (ii) the Redemption Premium,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RIGHTS UPON FUNDAMENTAL TRANSACTION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Assumption</w:t>
      </w:r>
      <w:r>
        <w:rPr>
          <w:rFonts w:ascii="Times New Roman;Times;Serif" w:hAnsi="Times New Roman;Times;Serif"/>
          <w:b w:val="false"/>
          <w:i w:val="false"/>
          <w:caps w:val="false"/>
          <w:smallCaps w:val="false"/>
          <w:sz w:val="20"/>
        </w:rPr>
        <w:t>. The Company shall not enter into or be party to a Fundamental Transaction unless (i) the Successor Entity assumes in writing all of the obligations of the Company under this Note and the other Transaction Documents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satisfactory to the Holder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shares of Common Stock (or other securities, cash, assets or other property (except such items still issuable under Sections 6 and 17,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p>
    <w:p>
      <w:pPr>
        <w:pStyle w:val="TextBody"/>
        <w:bidi w:val="0"/>
        <w:spacing w:before="0" w:after="0"/>
        <w:ind w:left="820" w:right="154"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820" w:right="154"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a Change of Control; Redemption Right</w:t>
      </w:r>
      <w:r>
        <w:rPr>
          <w:rFonts w:ascii="Times New Roman;Times;Serif" w:hAnsi="Times New Roman;Times;Serif"/>
          <w:b w:val="false"/>
          <w:i w:val="false"/>
          <w:caps w:val="false"/>
          <w:smallCaps w:val="false"/>
          <w:sz w:val="20"/>
        </w:rPr>
        <w:t>. No sooner than twenty( 20) Trading Days nor later than ten (10) Trading Days prior to the consummation of a Change of Control (the “</w:t>
      </w:r>
      <w:r>
        <w:rPr>
          <w:rFonts w:ascii="Times New Roman;Times;Serif" w:hAnsi="Times New Roman;Times;Serif"/>
          <w:b/>
          <w:i w:val="false"/>
          <w:caps w:val="false"/>
          <w:smallCaps w:val="false"/>
          <w:sz w:val="20"/>
        </w:rPr>
        <w:t>Change of Control Date</w:t>
      </w:r>
      <w:r>
        <w:rPr>
          <w:rFonts w:ascii="Times New Roman;Times;Serif" w:hAnsi="Times New Roman;Times;Serif"/>
          <w:b w:val="false"/>
          <w:i w:val="false"/>
          <w:caps w:val="false"/>
          <w:smallCaps w:val="false"/>
          <w:sz w:val="20"/>
        </w:rPr>
        <w:t>”), but not prior to the public announcement of such Change of Control, the Company shall deliver written notice thereof via electronic mail and overnight courier to the Holder (a “</w:t>
      </w:r>
      <w:r>
        <w:rPr>
          <w:rFonts w:ascii="Times New Roman;Times;Serif" w:hAnsi="Times New Roman;Times;Serif"/>
          <w:b/>
          <w:i w:val="false"/>
          <w:caps w:val="false"/>
          <w:smallCaps w:val="false"/>
          <w:sz w:val="20"/>
        </w:rPr>
        <w:t>Change of Control Notice</w:t>
      </w:r>
      <w:r>
        <w:rPr>
          <w:rFonts w:ascii="Times New Roman;Times;Serif" w:hAnsi="Times New Roman;Times;Serif"/>
          <w:b w:val="false"/>
          <w:i w:val="false"/>
          <w:caps w:val="false"/>
          <w:smallCaps w:val="false"/>
          <w:sz w:val="20"/>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twenty (20) Trading Days after the later of (A) the date of consummation of such Change of Control or (B) the date of receipt of such Change of Control Notice or (C) the date of the announcement of such Change of Control, the Holder may require the Company to redeem all or any portion of this Note by delivering written notice thereof (“</w:t>
      </w:r>
      <w:r>
        <w:rPr>
          <w:rFonts w:ascii="Times New Roman;Times;Serif" w:hAnsi="Times New Roman;Times;Serif"/>
          <w:b/>
          <w:i w:val="false"/>
          <w:caps w:val="false"/>
          <w:smallCaps w:val="false"/>
          <w:sz w:val="20"/>
        </w:rPr>
        <w:t>Change of Control Redemption Notice</w:t>
      </w:r>
      <w:r>
        <w:rPr>
          <w:rFonts w:ascii="Times New Roman;Times;Serif" w:hAnsi="Times New Roman;Times;Serif"/>
          <w:b w:val="false"/>
          <w:i w:val="false"/>
          <w:caps w:val="false"/>
          <w:smallCaps w:val="false"/>
          <w:sz w:val="20"/>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greatest of (i) the product of (w) the Change of Control Redemption Premium multiplied by (y) the Conversion Amount being redeemed, (ii) the product of (x) the Change of Control Redemption Premium multiplied by (y) the product of (A) the Conversion Amount being redeemed multiplied by (B) the quotient determined by dividing (I) the greatest Closing Sale Price of the shares of Common Stock during the period beginning on the date immediately preceding the earlier to occur of (1) the consummation of the applicable Change of Control and (2) the public announcement of such Change of Control and ending on the date the Holder delivers the Change of Control Redemption Notice by (II) the Conversion Price then in effect and (iii) the product of (y) the Change of Control Redemption Premium multiplied by (z) the product of (A) the Conversion Amount being redeemed multiplied by (B) the quotient of (I) the aggregate cash consideration and the aggregate cash value of any non-cash consideration per share of Common Stock to be paid to the holders of the shares of Common Stock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 (the “</w:t>
      </w:r>
      <w:r>
        <w:rPr>
          <w:rFonts w:ascii="Times New Roman;Times;Serif" w:hAnsi="Times New Roman;Times;Serif"/>
          <w:b/>
          <w:i w:val="false"/>
          <w:caps w:val="false"/>
          <w:smallCaps w:val="false"/>
          <w:sz w:val="20"/>
        </w:rPr>
        <w:t>Change of Control Redemption Price</w:t>
      </w:r>
      <w:r>
        <w:rPr>
          <w:rFonts w:ascii="Times New Roman;Times;Serif" w:hAnsi="Times New Roman;Times;Serif"/>
          <w:b w:val="false"/>
          <w:i w:val="false"/>
          <w:caps w:val="false"/>
          <w:smallCaps w:val="false"/>
          <w:sz w:val="20"/>
        </w:rPr>
        <w:t>”). Redemptions required by this Section 5 shall be made in accordance with the provisions of Section 13 and shall have priority to payments to stockholders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(together with any Late Charges thereon) is paid in full, the Conversion Amount submitted for redemption under this Section 5(b) (together with any Late Charges thereon) may be converted, in whole or in part, by the Holder into Common Stock pursuant to Section 3. In the event of a partial redemption of this Note pursuant hereto, the Principal amount redeemed shall be deducted from the Installment Amount(s) relating to the applicable Installment Date(s) as set forth in the Change of Control Redemption Notice.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RIGHTS UPON ISSUANCE OF PURCHASE RIGHTS AND OTHER CORPORATE EVENTS</w:t>
      </w:r>
      <w:r>
        <w:rPr>
          <w:rFonts w:ascii="Times New Roman;Times;Serif" w:hAnsi="Times New Roman;Times;Serif"/>
          <w:b w:val="false"/>
          <w:i w:val="false"/>
          <w:caps w:val="false"/>
          <w:smallCaps w:val="false"/>
          <w:sz w:val="20"/>
        </w:rPr>
        <w:t>.</w:t>
      </w:r>
    </w:p>
    <w:p>
      <w:pPr>
        <w:pStyle w:val="TextBody"/>
        <w:bidi w:val="0"/>
        <w:spacing w:before="0" w:after="0"/>
        <w:ind w:left="100" w:right="158"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Sections 7 or 17 below, if at any time the Company grants, issues or sells any Options, Convertible Securities or rights to purchase stock, warrants, securities or other property pro rata to all or substantially all of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pStyle w:val="TextBody"/>
        <w:bidi w:val="0"/>
        <w:spacing w:before="0" w:after="0"/>
        <w:ind w:left="820" w:right="153"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820" w:right="153"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Other Corporate Events</w:t>
      </w:r>
      <w:r>
        <w:rPr>
          <w:rFonts w:ascii="Times New Roman;Times;Serif" w:hAnsi="Times New Roman;Times;Serif"/>
          <w:b w:val="false"/>
          <w:i w:val="false"/>
          <w:caps w:val="false"/>
          <w:smallCaps w:val="false"/>
          <w:sz w:val="20"/>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ensure that the Holder will thereafter have the right to receive upon a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6 shall apply similarly and equally to successive Corporate Events and shall be applied without regard to any limitations on the conversion or redemption of this Note.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RIGHTS UPON ISSUANCE OF OTHER SECURITIES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 of Conversion Price upon Issuance of Common Stock</w:t>
      </w:r>
      <w:r>
        <w:rPr>
          <w:rFonts w:ascii="Times New Roman;Times;Serif" w:hAnsi="Times New Roman;Times;Serif"/>
          <w:b w:val="false"/>
          <w:i w:val="false"/>
          <w:caps w:val="false"/>
          <w:smallCaps w:val="false"/>
          <w:sz w:val="20"/>
        </w:rPr>
        <w:t>. If and whenever on or after the Subscription Date the Company grants, issues or sells (or enters into any agreement to grant, issue or sell), or in accordance with this Section 7(a) is deemed to have granted, issued or sold, any shares of Common Stock (including the granting, issuance or sale of shares of Common Stock owned or held by or for the account of the Company, but excluding any Excluded Securities granted, issued or sold or deemed to have been granted, issued or sold)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a price equal to the Conversion Price in effect immediately prior to such granting, issuance or sale or deemed granting, issuance or sale (such Conversion Price then in effect is referred to herein as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Conversion Price then in effect shall be reduced to an amount equal to the New Issuance Price. For all purposes of the foregoing (including, without limitation, determining the adjusted Conversion Price and the New Issuance Price under this Section 7(a)), the following shall be applicable:</w:t>
      </w:r>
    </w:p>
    <w:p>
      <w:pPr>
        <w:pStyle w:val="TextBody"/>
        <w:bidi w:val="0"/>
        <w:spacing w:before="0" w:after="0"/>
        <w:ind w:left="820" w:right="154" w:hanging="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of such Option for such price per share. For purposes of this Section 7(a)(i),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share of Common Stock upon the granting, issuance or sale of such Option, upon exercise of such Option and upon conversion, exercise or exchange of any Convertible Security issuable upon exercise of such Option or otherwise pursuant to the terms thereof plus the value of any other consideration (including, without limitation, consideration consisting of cash, debt forgiveness, assets or any other property) received or receivable by, or benefit conferred on, the holder of such Option (or any other Person). Except as contemplated below, no further adjustment of the Conversion Price shall be made upon the actual issuance of such share of Common Stock or of such Convertible Securities upon the exercise of such Options or otherwise pursuant to the terms thereof or upon the actual issuance of such shares of Common Stock upon conversion, exercise or exchange of such Convertible Securities.</w:t>
      </w:r>
    </w:p>
    <w:p>
      <w:pPr>
        <w:pStyle w:val="TextBody"/>
        <w:bidi w:val="0"/>
        <w:spacing w:before="0" w:after="0"/>
        <w:ind w:left="1180" w:right="0" w:firstLine="10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11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7(a)(ii),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share of Common Stock upon the issuance or sale (or the agreement to issue or sell, as applicable) of such Convertible Security plus the value of any other consideration received or receivable (including, without limitation, any consideration consisting of cash, debt forgiveness, assets or other property) by, or benefit conferred on, the holder of such Convertible Security (or any other Person). Except as contemplated below, no further adjustment of the Conversion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Section 7(a), except as contemplated below, no further adjustment of the Conversion Price shall be made by reason of such issuance or sale.</w:t>
      </w:r>
    </w:p>
    <w:p>
      <w:pPr>
        <w:pStyle w:val="TextBody"/>
        <w:bidi w:val="0"/>
        <w:spacing w:before="0" w:after="0"/>
        <w:ind w:left="11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7(b)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7(a)(iii), if the terms of any Option or Convertible Security (including, without limitation,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7(a) shall be made if such adjustment would result in an increase of the Conversion Price then in effect.</w:t>
      </w:r>
    </w:p>
    <w:p>
      <w:pPr>
        <w:pStyle w:val="TextBody"/>
        <w:bidi w:val="0"/>
        <w:spacing w:before="0" w:after="0"/>
        <w:ind w:left="1180" w:right="157"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1180" w:right="157" w:hanging="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equal to the difference of (x) the lowest price per share for which one share of Common Stock was issued (or was deemed to be issued pursuant to Section 7(a)(i) or 7(a)(ii) above, as applicable) in such integrated transaction solely with respect to such Primary Security, minus (y) with respect to such Secondary Securities, the sum of (I) the Black Scholes Consideration Value of each such Option, if any, (II) the fair market value (as determined by the Holder in good faith) or the Black Scholes Consideration Value, as applicable, of such Adjustment Right, if any, and (III) the fair market value (as determined by the Holder) of such Convertible Security, if any, in each case, as determined on a per share basis in accordance with this Section 7(a)(iv). If any shares of Common Stock, Options or Convertible Securities are issued or sold or deemed to have been issued or sold for cash, the consideration received therefor (for the purpose of determining the consideration paid for such Common Stock, Option or Convertible Security, but not for the purpose of the calculation of the Black Scholes Consideration Value) will be deemed to be the net amount of consideration received by the Company therefor. If any shares of Common Stock, Options or Convertible Securities are issued or sold for a consideration other than cash, the amount of such consideration received by the Company (for the purpose of determining the consideration paid for such Common Stock, Option or Convertible Security,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(for the purpose of determining the consideration paid for such Common Stock, Option or Convertible Security, but not for the purpose of the calculation of the Black Scholes Consideration Value)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Times;Serif" w:hAnsi="Times New Roman;Times;Serif"/>
          <w:b/>
          <w:i w:val="false"/>
          <w:caps w:val="false"/>
          <w:smallCaps w:val="false"/>
          <w:sz w:val="20"/>
        </w:rPr>
        <w:t>Valuation Event</w:t>
      </w:r>
      <w:r>
        <w:rPr>
          <w:rFonts w:ascii="Times New Roman;Times;Serif" w:hAnsi="Times New Roman;Times;Serif"/>
          <w:b w:val="false"/>
          <w:i w:val="false"/>
          <w:caps w:val="false"/>
          <w:smallCaps w:val="false"/>
          <w:sz w:val="20"/>
        </w:rPr>
        <w:t>”), the fair value of such consideration will be determined within five (5) Trading Days after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ind w:left="1180" w:right="156"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1180" w:right="156" w:hanging="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1180" w:right="0" w:firstLine="108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of Conversion Price upon Subdivision or Combination of Common Stock</w:t>
      </w:r>
      <w:r>
        <w:rPr>
          <w:rFonts w:ascii="Times New Roman;Times;Serif" w:hAnsi="Times New Roman;Times;Serif"/>
          <w:b w:val="false"/>
          <w:i w:val="false"/>
          <w:caps w:val="false"/>
          <w:smallCaps w:val="false"/>
          <w:sz w:val="20"/>
        </w:rPr>
        <w:t>. Without limiting any provision of Section 6, Section 17 or Section 7(a), if the Company at any time on or after the Subscription Date subdivides (by any stock split, stock dividend, stock combination, recapitalization or other similar transaction) one or more classes of its outstanding shares of Common Stock into a greater number of shares, the Conversion Price in effect immediately prior to such subdivision will be proportionately reduced. Without limiting any provision of Section 6, Section 17 or Section 7(a), if the Company at any time on or after the Subscription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7(b) shall become effective immediately after the effective date of such subdivision or combination. If any event requiring an adjustment under this Section 7(b) occurs during the period that a Conversion Price is calculated hereunder, then the calculation of such Conversion Price shall be adjusted appropriately to reflect such event.</w:t>
      </w:r>
    </w:p>
    <w:p>
      <w:pPr>
        <w:pStyle w:val="TextBody"/>
        <w:bidi w:val="0"/>
        <w:spacing w:before="0" w:after="0"/>
        <w:ind w:left="820" w:right="152"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Holder’s Right of Adjusted Conversion Price</w:t>
      </w:r>
      <w:r>
        <w:rPr>
          <w:rFonts w:ascii="Times New Roman;Times;Serif" w:hAnsi="Times New Roman;Times;Serif"/>
          <w:b w:val="false"/>
          <w:i w:val="false"/>
          <w:caps w:val="false"/>
          <w:smallCaps w:val="false"/>
          <w:sz w:val="20"/>
        </w:rPr>
        <w:t>. In addition to and not in limitation of the other provisions of this Section 7, if the Company in any manner issues or sells or enters into any agreement to issue or sell, any Common Stock, Options or Convertible Securities (other than a Permitted ATM (as defined in the Securities Purchase Agreement)) (any such securities, “</w:t>
      </w:r>
      <w:r>
        <w:rPr>
          <w:rFonts w:ascii="Times New Roman;Times;Serif" w:hAnsi="Times New Roman;Times;Serif"/>
          <w:b/>
          <w:i w:val="false"/>
          <w:caps w:val="false"/>
          <w:smallCaps w:val="false"/>
          <w:sz w:val="20"/>
        </w:rPr>
        <w:t>Variable Price Securities</w:t>
      </w:r>
      <w:r>
        <w:rPr>
          <w:rFonts w:ascii="Times New Roman;Times;Serif" w:hAnsi="Times New Roman;Times;Serif"/>
          <w:b w:val="false"/>
          <w:i w:val="false"/>
          <w:caps w:val="false"/>
          <w:smallCaps w:val="false"/>
          <w:sz w:val="20"/>
        </w:rPr>
        <w:t>”), after the Subscription Date that are issuable pursuant to such agreement or convertible into or exchangeable or exercisable for shares of Common Stock at a price which varies or may vary with the market price of the shares of Common Stock,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Times New Roman;Times;Serif" w:hAnsi="Times New Roman;Times;Serif"/>
          <w:b/>
          <w:i w:val="false"/>
          <w:caps w:val="false"/>
          <w:smallCaps w:val="false"/>
          <w:sz w:val="20"/>
        </w:rPr>
        <w:t>Variable Price</w:t>
      </w:r>
      <w:r>
        <w:rPr>
          <w:rFonts w:ascii="Times New Roman;Times;Serif" w:hAnsi="Times New Roman;Times;Serif"/>
          <w:b w:val="false"/>
          <w:i w:val="false"/>
          <w:caps w:val="false"/>
          <w:smallCaps w:val="false"/>
          <w:sz w:val="20"/>
        </w:rPr>
        <w:t>”), the Company shall provide written notice thereof via electronic mail and overnight courier to the Holder on the date of such agreement and the issuance of such Common Stock, Convertible Securities or Options. From and after the date the Company enters into such agreement or issues any such Variable Price Securities, the Holder shall have the right, but not the obligation, in its sole discretion to substitute the Variable Price for the Conversion Price upon conversion of this Note by designating in the Conversion Notice delivered upon any conversion of this Note that solely for purposes of such conversion the Holder is relying on the Variable Price rather than the Conversion Price then in effect. The Holder’s election to rely on a Variable Price for a particular conversion of this Note shall not obligate the Holder to rely on a Variable Price for any future conversion of this Note. In addition, from and after the date the Company enters into such agreement or issues any such Variable Price Securities, for purposes of calculating the Installment Conversion Price as of any time of determination, the “Conversion Price” as used therein shall mean the lower of (x) the Conversion Price as of such time of determination and (y) the Variable Price as of such time of determination.</w:t>
      </w:r>
    </w:p>
    <w:p>
      <w:pPr>
        <w:pStyle w:val="TextBody"/>
        <w:bidi w:val="0"/>
        <w:spacing w:before="0" w:after="0"/>
        <w:ind w:left="820" w:right="153"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820" w:right="153"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Stock Combination Event Adjustments</w:t>
      </w:r>
      <w:r>
        <w:rPr>
          <w:rFonts w:ascii="Times New Roman;Times;Serif" w:hAnsi="Times New Roman;Times;Serif"/>
          <w:b w:val="false"/>
          <w:i w:val="false"/>
          <w:caps w:val="false"/>
          <w:smallCaps w:val="false"/>
          <w:sz w:val="20"/>
        </w:rPr>
        <w:t>. If at any time and from time to time on or after the Subscription Date there occurs any stock split, stock dividend, stock combination recapitalization or other similar transaction involving the Common Stock (each, a “</w:t>
      </w:r>
      <w:r>
        <w:rPr>
          <w:rFonts w:ascii="Times New Roman;Times;Serif" w:hAnsi="Times New Roman;Times;Serif"/>
          <w:b/>
          <w:i w:val="false"/>
          <w:caps w:val="false"/>
          <w:smallCaps w:val="false"/>
          <w:sz w:val="20"/>
        </w:rPr>
        <w:t>Stock Combination Event</w:t>
      </w:r>
      <w:r>
        <w:rPr>
          <w:rFonts w:ascii="Times New Roman;Times;Serif" w:hAnsi="Times New Roman;Times;Serif"/>
          <w:b w:val="false"/>
          <w:i w:val="false"/>
          <w:caps w:val="false"/>
          <w:smallCaps w:val="false"/>
          <w:sz w:val="20"/>
        </w:rPr>
        <w:t>”, and such date thereof, the “</w:t>
      </w:r>
      <w:r>
        <w:rPr>
          <w:rFonts w:ascii="Times New Roman;Times;Serif" w:hAnsi="Times New Roman;Times;Serif"/>
          <w:b/>
          <w:i w:val="false"/>
          <w:caps w:val="false"/>
          <w:smallCaps w:val="false"/>
          <w:sz w:val="20"/>
        </w:rPr>
        <w:t>Stock Combination Event Date</w:t>
      </w:r>
      <w:r>
        <w:rPr>
          <w:rFonts w:ascii="Times New Roman;Times;Serif" w:hAnsi="Times New Roman;Times;Serif"/>
          <w:b w:val="false"/>
          <w:i w:val="false"/>
          <w:caps w:val="false"/>
          <w:smallCaps w:val="false"/>
          <w:sz w:val="20"/>
        </w:rPr>
        <w:t>”) and the Event Market Price is less than the Conversion Price then in effect (after giving effect to the adjustment in Section 7(b) above), then on the sixteenth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immediately following such Stock Combination Event Date, the Conversion Price then in effect on such sixteenth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(after giving effect to the adjustment in Section 7(b) above) shall be reduced (but in no event increased) to the Event Market Price. For the avoidance of doubt, if the adjustment in the immediately preceding sentence would otherwise result in an increase in the Conversion Price hereunder, no adjustment shall be made.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Other Events</w:t>
      </w:r>
      <w:r>
        <w:rPr>
          <w:rFonts w:ascii="Times New Roman;Times;Serif" w:hAnsi="Times New Roman;Times;Serif"/>
          <w:b w:val="false"/>
          <w:i w:val="false"/>
          <w:caps w:val="false"/>
          <w:smallCaps w:val="false"/>
          <w:sz w:val="20"/>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Conversion Price so as to protect the rights of the Holder, provided that no such adjustment pursuant to this Section 7(e)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7 shall be made by rounding to the nearest cent or the nearest 1/100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pStyle w:val="TextBody"/>
        <w:bidi w:val="0"/>
        <w:spacing w:before="0" w:after="0"/>
        <w:ind w:left="820" w:right="156"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during the term of this Note, with the prior written consent of the Required Holders (as defined in the Securities Purchase Agreement), reduce the then current Conversion Price of each of the Notes to any amount and for any period of time deemed appropriate by the board of directors of the Company.</w:t>
      </w:r>
    </w:p>
    <w:p>
      <w:pPr>
        <w:pStyle w:val="TextBody"/>
        <w:bidi w:val="0"/>
        <w:spacing w:before="0" w:after="0"/>
        <w:ind w:left="820" w:right="157"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820" w:right="157"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INSTALLMENT CONVERSION OR REDEMPTION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On each applicable Installment Date, provided there has been no Equity Conditions Failure, the Company shall pay to the Holder of this Note the applicable Installment Amount due on such date by converting such Installment Amount in accordance with this Section 8 (a “</w:t>
      </w:r>
      <w:r>
        <w:rPr>
          <w:rFonts w:ascii="Times New Roman;Times;Serif" w:hAnsi="Times New Roman;Times;Serif"/>
          <w:b/>
          <w:i w:val="false"/>
          <w:caps w:val="false"/>
          <w:smallCaps w:val="false"/>
          <w:sz w:val="20"/>
        </w:rPr>
        <w:t>Installment Conversion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may, at its option following notice to the Holder as set forth below, pay the Installment Amount by redeeming such Installment Amount in cash (a “</w:t>
      </w:r>
      <w:r>
        <w:rPr>
          <w:rFonts w:ascii="Times New Roman;Times;Serif" w:hAnsi="Times New Roman;Times;Serif"/>
          <w:b/>
          <w:i w:val="false"/>
          <w:caps w:val="false"/>
          <w:smallCaps w:val="false"/>
          <w:sz w:val="20"/>
        </w:rPr>
        <w:t>Installment Redemption</w:t>
      </w:r>
      <w:r>
        <w:rPr>
          <w:rFonts w:ascii="Times New Roman;Times;Serif" w:hAnsi="Times New Roman;Times;Serif"/>
          <w:b w:val="false"/>
          <w:i w:val="false"/>
          <w:caps w:val="false"/>
          <w:smallCaps w:val="false"/>
          <w:sz w:val="20"/>
        </w:rPr>
        <w:t>”) or by any combination of an Installment Conversion and an Installment Redemption so long as all of the outstanding applicable Installment Amount due on any Installment Date shall be converted and/or redeemed by the Company on the applicable Installment Date, subject to the provisions of this Section 8. On or prior to the date which is the sixth (6th) Trading Day prior to each Installment Date (each, an “</w:t>
      </w:r>
      <w:r>
        <w:rPr>
          <w:rFonts w:ascii="Times New Roman;Times;Serif" w:hAnsi="Times New Roman;Times;Serif"/>
          <w:b/>
          <w:i w:val="false"/>
          <w:caps w:val="false"/>
          <w:smallCaps w:val="false"/>
          <w:sz w:val="20"/>
        </w:rPr>
        <w:t>Installment Notice Due Date</w:t>
      </w:r>
      <w:r>
        <w:rPr>
          <w:rFonts w:ascii="Times New Roman;Times;Serif" w:hAnsi="Times New Roman;Times;Serif"/>
          <w:b w:val="false"/>
          <w:i w:val="false"/>
          <w:caps w:val="false"/>
          <w:smallCaps w:val="false"/>
          <w:sz w:val="20"/>
        </w:rPr>
        <w:t>”), the Company shall deliver written notice (each, a “</w:t>
      </w:r>
      <w:r>
        <w:rPr>
          <w:rFonts w:ascii="Times New Roman;Times;Serif" w:hAnsi="Times New Roman;Times;Serif"/>
          <w:b/>
          <w:i w:val="false"/>
          <w:caps w:val="false"/>
          <w:smallCaps w:val="false"/>
          <w:sz w:val="20"/>
        </w:rPr>
        <w:t>Installment Notice</w:t>
      </w:r>
      <w:r>
        <w:rPr>
          <w:rFonts w:ascii="Times New Roman;Times;Serif" w:hAnsi="Times New Roman;Times;Serif"/>
          <w:b w:val="false"/>
          <w:i w:val="false"/>
          <w:caps w:val="false"/>
          <w:smallCaps w:val="false"/>
          <w:sz w:val="20"/>
        </w:rPr>
        <w:t>” and the date all of the holders receive such notice is referred to as to the “</w:t>
      </w:r>
      <w:r>
        <w:rPr>
          <w:rFonts w:ascii="Times New Roman;Times;Serif" w:hAnsi="Times New Roman;Times;Serif"/>
          <w:b/>
          <w:i w:val="false"/>
          <w:caps w:val="false"/>
          <w:smallCaps w:val="false"/>
          <w:sz w:val="20"/>
        </w:rPr>
        <w:t>Installment Notice Date</w:t>
      </w:r>
      <w:r>
        <w:rPr>
          <w:rFonts w:ascii="Times New Roman;Times;Serif" w:hAnsi="Times New Roman;Times;Serif"/>
          <w:b w:val="false"/>
          <w:i w:val="false"/>
          <w:caps w:val="false"/>
          <w:smallCaps w:val="false"/>
          <w:sz w:val="20"/>
        </w:rPr>
        <w:t>”), to each holder of Notes and such Installment Notice shall (i) either (A) confirm that the applicable Installment Amount of such holder’s Note shall be converted in whole pursuant to an Installment Conversion or (B) (1) state that the Company elects to redeem for cash, or is required to redeem for cash in accordance with the provisions of the Notes, in whole or in part, the applicable Installment Amount pursuant to an Installment Redemption and (2) specify the portion of such Installment Amount which the Company elects or is required to redeem pursuant to an Installment Redemption (such amount to be redeemed in cash, the “</w:t>
      </w:r>
      <w:r>
        <w:rPr>
          <w:rFonts w:ascii="Times New Roman;Times;Serif" w:hAnsi="Times New Roman;Times;Serif"/>
          <w:b/>
          <w:i w:val="false"/>
          <w:caps w:val="false"/>
          <w:smallCaps w:val="false"/>
          <w:sz w:val="20"/>
        </w:rPr>
        <w:t>Installment Redemption Amount</w:t>
      </w:r>
      <w:r>
        <w:rPr>
          <w:rFonts w:ascii="Times New Roman;Times;Serif" w:hAnsi="Times New Roman;Times;Serif"/>
          <w:b w:val="false"/>
          <w:i w:val="false"/>
          <w:caps w:val="false"/>
          <w:smallCaps w:val="false"/>
          <w:sz w:val="20"/>
        </w:rPr>
        <w:t>”) and the portion of the applicable Installment Amount, if any, with respect to which the Company will, and is permitted to, effect an Installment Conversion (such amount of the applicable Installment Amount so specified to be so converted pursuant to this Section 8 is referred to herein as the “</w:t>
      </w:r>
      <w:r>
        <w:rPr>
          <w:rFonts w:ascii="Times New Roman;Times;Serif" w:hAnsi="Times New Roman;Times;Serif"/>
          <w:b/>
          <w:i w:val="false"/>
          <w:caps w:val="false"/>
          <w:smallCaps w:val="false"/>
          <w:sz w:val="20"/>
        </w:rPr>
        <w:t>Installment Conversion Amount</w:t>
      </w:r>
      <w:r>
        <w:rPr>
          <w:rFonts w:ascii="Times New Roman;Times;Serif" w:hAnsi="Times New Roman;Times;Serif"/>
          <w:b w:val="false"/>
          <w:i w:val="false"/>
          <w:caps w:val="false"/>
          <w:smallCaps w:val="false"/>
          <w:sz w:val="20"/>
        </w:rPr>
        <w:t>”), which amounts when added together, must at least equal the entire applicable Installment Amount and (ii) if the applicable Installment Amount is to be paid, in whole or in part, pursuant to an Installment Conversion, certify that there is not then an Equity Conditions Failure as of the applicable Installment Notice Date. Each Installment Notice shall be irrevocable. If the Company does not timely deliver an Installment Notice in accordance with this Section 8 with respect to a particular Installment Date, then the Company shall be deemed to have delivered an irrevocable Installment Notice confirming an Installment Conversion of the entire Installment Amount payable on such Installment Date and shall be deemed to have certified that there is not then an Equity Conditions Failure in connection with such Installment Conversion. Except as expressly provided in this Section 8(a), the Company shall convert and/or redeem the applicable Installment Amount of this Note pursuant to this Section 8 and the corresponding Installment Amounts of the Other Notes pursuant to the corresponding provisions of the Other Notes in the same ratio of the applicable Installment Amount being converted and/or redeemed hereunder. The applicable Installment Conversion Amount (whether set forth in the applicable Installment Notice or by operation of this Section 8) shall be converted in accordance with Section 8(b) and the applicable Installment Redemption Amount shall be redeemed in accordance with Section 8(c).</w:t>
      </w:r>
    </w:p>
    <w:p>
      <w:pPr>
        <w:pStyle w:val="TextBody"/>
        <w:bidi w:val="0"/>
        <w:spacing w:before="0" w:after="0"/>
        <w:ind w:left="820" w:right="154"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820" w:right="154"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Mechanics of Installment Conversion</w:t>
      </w:r>
      <w:r>
        <w:rPr>
          <w:rFonts w:ascii="Times New Roman;Times;Serif" w:hAnsi="Times New Roman;Times;Serif"/>
          <w:b w:val="false"/>
          <w:i w:val="false"/>
          <w:caps w:val="false"/>
          <w:smallCaps w:val="false"/>
          <w:sz w:val="20"/>
        </w:rPr>
        <w:t>. Subject to Section 3(d), if the Company delivers an Installment Notice or is deemed to have delivered an Installment Notice certifying that such Installment Amount is being paid, in whole or in part, in an Installment Conversion in accordance with Section 8(a), then the remainder of this Section 8(b) shall apply. The applicable Installment Conversion Amount, if any, shall be converted on the applicable Installment Date at the applicable Installment Conversion Price and the Company shall, on such Installment Date, (A) deliver to the Holder’s account with DTC such shares of Common Stock issued upon such conversion (subject to the reduction contemplated by the immediately following sentence and, if applicable, the penultimate sentence of this Section 8(b)) and (B) in the event of the Conversion Floor Price Condition, the Company shall deliver to the Holder the applicable Installment Conversion Floor Amount, provided that the Equity Conditions are then satisfied (or waived in writing by the Holder) on such Installment Date and an Installment Conversion is not otherwise prohibited under any other provision of this Note. If the Company confirmed (or is deemed to have confirmed by operation of Section 8(a)) the conversion of the applicable Installment Conversion Amount, in whole or in part, and there was no Equity Conditions Failure as of the applicable Installment Notice Date (or is deemed to have certified that the Equity Conditions in connection with any such conversion have been satisfied by operation of Section 8(a)) but an Equity Conditions Failure occurred between the applicable Installment Notice Date and any time through the applicable Installment Date (the “</w:t>
      </w:r>
      <w:r>
        <w:rPr>
          <w:rFonts w:ascii="Times New Roman;Times;Serif" w:hAnsi="Times New Roman;Times;Serif"/>
          <w:b/>
          <w:i w:val="false"/>
          <w:caps w:val="false"/>
          <w:smallCaps w:val="false"/>
          <w:sz w:val="20"/>
        </w:rPr>
        <w:t>Interim Installment Period</w:t>
      </w:r>
      <w:r>
        <w:rPr>
          <w:rFonts w:ascii="Times New Roman;Times;Serif" w:hAnsi="Times New Roman;Times;Serif"/>
          <w:b w:val="false"/>
          <w:i w:val="false"/>
          <w:caps w:val="false"/>
          <w:smallCaps w:val="false"/>
          <w:sz w:val="20"/>
        </w:rPr>
        <w:t>”), the Company shall provide the Holder a subsequent notice to that effect. If there is an Equity Conditions Failure (which is not waived in writing by the Holder) during such Interim Installment Period or an Installment Conversion is not otherwise permitted under any other provision of this Note, then, at the option of the Holder designated in writing to the Company, the Holder may require the Company to do any one or more of the following: (i) the Company shall redeem all or any part designated by the Holder of the unconverted Installment Conversion Amount (such designated amount is referred to as the “</w:t>
      </w:r>
      <w:r>
        <w:rPr>
          <w:rFonts w:ascii="Times New Roman;Times;Serif" w:hAnsi="Times New Roman;Times;Serif"/>
          <w:b/>
          <w:i w:val="false"/>
          <w:caps w:val="false"/>
          <w:smallCaps w:val="false"/>
          <w:sz w:val="20"/>
        </w:rPr>
        <w:t>Designated Redemption Amount</w:t>
      </w:r>
      <w:r>
        <w:rPr>
          <w:rFonts w:ascii="Times New Roman;Times;Serif" w:hAnsi="Times New Roman;Times;Serif"/>
          <w:b w:val="false"/>
          <w:i w:val="false"/>
          <w:caps w:val="false"/>
          <w:smallCaps w:val="false"/>
          <w:sz w:val="20"/>
        </w:rPr>
        <w:t>”) and the Company shall pay to the Holder within one (1) day of such Installment Date, by wire transfer of immediately available funds, an amount in cash equal to 125% of such Designated Redemption Amount, and/or (ii) the Installment Conversion shall be null and void with respect to all or any part designated by the Holder of the unconverted Installment Conversion Amount and the Holder shall be entitled to all the rights of a holder of this Note with respect to such designated part of the Installment Conversion Amount; provided, however, the Conversion Price for such designated part of such unconverted Installment Conversion Amount shall thereafter be adjusted to equal the lesser of (A) the Installment Conversion Price as in effect on the date on which the Holder voided the Installment Conversion and (B) the Installment Conversion Price that would be in effect on the date on which the Holder delivers a Conversion Notice relating thereto as if such date was an Installment Date. If the Company fails to redeem any Designated Redemption Amount by the second (2nd) day following the applicable Installment Date by payment of such amount by such date, then the Holder shall have the rights set forth in Section 13(a) as if the Company failed to pay the applicable Installment Redemption Price (as defined below) and all other rights under this Note (including, without limitation, such failure constituting an Event of Default described in Section 4(a)(vi)). Notwithstanding anything to the contrary in this Section 8(b), but subject to 3(d), until the Company delivers Common Stock representing the Installment Conversion Amount to the Holder, the Installment Conversion Amount may be converted by the Holder into Common Stock pursuant to Section 3. In the event that the Holder elects to convert the Installment Conversion Amount prior to the applicable Installment Date as set forth in the immediately preceding sentence, the Installment Conversion Amount so converted shall be deducted from the Installment Amount(s) relating to the applicable Installment Date(s) as set forth in the applicable Conversion Notice. The Company shall pay any and all taxes that may be payable with respect to the issuance and delivery of any shares of Common Stock in any Installment Conversion hereunder.</w:t>
      </w:r>
    </w:p>
    <w:p>
      <w:pPr>
        <w:pStyle w:val="TextBody"/>
        <w:bidi w:val="0"/>
        <w:spacing w:before="0" w:after="0"/>
        <w:ind w:left="820" w:right="156"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820" w:right="156"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Mechanics of Installment Redemption</w:t>
      </w:r>
      <w:r>
        <w:rPr>
          <w:rFonts w:ascii="Times New Roman;Times;Serif" w:hAnsi="Times New Roman;Times;Serif"/>
          <w:b w:val="false"/>
          <w:i w:val="false"/>
          <w:caps w:val="false"/>
          <w:smallCaps w:val="false"/>
          <w:sz w:val="20"/>
        </w:rPr>
        <w:t>. If the Company elects or is required to effect an Installment Redemption, in whole or in part, in accordance with Section 8(a), then the Installment Redemption Amount, if any, shall be redeemed by the Company in cash on the applicable Installment Date by wire transfer to the Holder of immediately available funds in an amount equal to 100% of the applicable Installment Redemption Amount (the “</w:t>
      </w:r>
      <w:r>
        <w:rPr>
          <w:rFonts w:ascii="Times New Roman;Times;Serif" w:hAnsi="Times New Roman;Times;Serif"/>
          <w:b/>
          <w:i w:val="false"/>
          <w:caps w:val="false"/>
          <w:smallCaps w:val="false"/>
          <w:sz w:val="20"/>
        </w:rPr>
        <w:t>Installment Redemption Price</w:t>
      </w:r>
      <w:r>
        <w:rPr>
          <w:rFonts w:ascii="Times New Roman;Times;Serif" w:hAnsi="Times New Roman;Times;Serif"/>
          <w:b w:val="false"/>
          <w:i w:val="false"/>
          <w:caps w:val="false"/>
          <w:smallCaps w:val="false"/>
          <w:sz w:val="20"/>
        </w:rPr>
        <w:t>”). If the Company fails to redeem such Installment Redemption Amount on such Installment Date by payment of the Installment Redemption Price, then, at the option of the Holder designated in writing to the Company (any such designation shall be a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for purposes of this Note), the Holder may require the Company to convert all or any part of the Installment Redemption Amount at the Installment Conversion Price (determined as of the date of such designation as if such date were an Installment Date). Conversions required by this Section 8(c) shall be made in accordance with the provisions of Section 3(c). Notwithstanding anything to the contrary in this Section 8(c), but subject to Section 3(d), until the Installment Redemption Price (together with any Late Charges thereon) is paid in full, the Installment Redemption Amount (together with any Late Charges thereon) may be converted, in whole or in part, by the Holder into Common Stock pursuant to Section 3. In the event the Holder elects to convert all or any portion of the Installment Redemption Amount prior to the applicable Installment Date as set forth in the immediately preceding sentence, the Installment Redemption Amount so converted shall be deducted from the Installment Amounts relating to the applicable Installment Date(s) as set forth in the applicable Conversion Notice. Redemptions required by this Section 8(c) shall be made in accordance with the provisions of Section 13.</w:t>
      </w:r>
    </w:p>
    <w:p>
      <w:pPr>
        <w:pStyle w:val="TextBody"/>
        <w:bidi w:val="0"/>
        <w:spacing w:before="0" w:after="0"/>
        <w:ind w:left="82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Deferred Installment Amount</w:t>
      </w:r>
      <w:r>
        <w:rPr>
          <w:rFonts w:ascii="Times New Roman;Times;Serif" w:hAnsi="Times New Roman;Times;Serif"/>
          <w:b w:val="false"/>
          <w:i w:val="false"/>
          <w:caps w:val="false"/>
          <w:smallCaps w:val="false"/>
          <w:sz w:val="20"/>
        </w:rPr>
        <w:t>. Notwithstanding any provision of this Section 8(d) to the contrary, the Holder may, at its option and in its sole discretion, deliver a written notice to the Company no later than the Trading Day immediately prior to the applicable Installment Date electing to have the payment of all or any portion of an Installment Amount payable on such Installment Date deferred (such amount deferred, the “</w:t>
      </w:r>
      <w:r>
        <w:rPr>
          <w:rFonts w:ascii="Times New Roman;Times;Serif" w:hAnsi="Times New Roman;Times;Serif"/>
          <w:b/>
          <w:i w:val="false"/>
          <w:caps w:val="false"/>
          <w:smallCaps w:val="false"/>
          <w:sz w:val="20"/>
        </w:rPr>
        <w:t>Deferral Amount</w:t>
      </w:r>
      <w:r>
        <w:rPr>
          <w:rFonts w:ascii="Times New Roman;Times;Serif" w:hAnsi="Times New Roman;Times;Serif"/>
          <w:b w:val="false"/>
          <w:i w:val="false"/>
          <w:caps w:val="false"/>
          <w:smallCaps w:val="false"/>
          <w:sz w:val="20"/>
        </w:rPr>
        <w:t>”, and such deferral, each a “</w:t>
      </w:r>
      <w:r>
        <w:rPr>
          <w:rFonts w:ascii="Times New Roman;Times;Serif" w:hAnsi="Times New Roman;Times;Serif"/>
          <w:b/>
          <w:i w:val="false"/>
          <w:caps w:val="false"/>
          <w:smallCaps w:val="false"/>
          <w:sz w:val="20"/>
        </w:rPr>
        <w:t>Deferral</w:t>
      </w:r>
      <w:r>
        <w:rPr>
          <w:rFonts w:ascii="Times New Roman;Times;Serif" w:hAnsi="Times New Roman;Times;Serif"/>
          <w:b w:val="false"/>
          <w:i w:val="false"/>
          <w:caps w:val="false"/>
          <w:smallCaps w:val="false"/>
          <w:sz w:val="20"/>
        </w:rPr>
        <w:t>”) until any subsequent Installment Date selected by the Holder, in its sole discretion, in which case, the Deferral Amount shall be added to, and become part of, such subsequent Installment Amount and such Deferral Amount shall continue to accrue Interest hereunder. Any notice delivered by the Holder pursuant to this Section 8(d) shall set forth (i) the Deferral Amount and (ii) the date that such Deferral Amount shall now be payable.</w:t>
      </w:r>
    </w:p>
    <w:p>
      <w:pPr>
        <w:pStyle w:val="TextBody"/>
        <w:bidi w:val="0"/>
        <w:spacing w:before="0" w:after="0"/>
        <w:ind w:left="820" w:right="157"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820" w:right="157"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Acceleration of Installment Amounts</w:t>
      </w:r>
      <w:r>
        <w:rPr>
          <w:rFonts w:ascii="Times New Roman;Times;Serif" w:hAnsi="Times New Roman;Times;Serif"/>
          <w:b w:val="false"/>
          <w:i w:val="false"/>
          <w:caps w:val="false"/>
          <w:smallCaps w:val="false"/>
          <w:sz w:val="20"/>
        </w:rPr>
        <w:t>. Notwithstanding any provision of this Section 8 to the contrary, but subject to Section 3(d), during the period commencing on an Installment Date (a “</w:t>
      </w:r>
      <w:r>
        <w:rPr>
          <w:rFonts w:ascii="Times New Roman;Times;Serif" w:hAnsi="Times New Roman;Times;Serif"/>
          <w:b/>
          <w:i w:val="false"/>
          <w:caps w:val="false"/>
          <w:smallCaps w:val="false"/>
          <w:sz w:val="20"/>
        </w:rPr>
        <w:t>Current Installment Date</w:t>
      </w:r>
      <w:r>
        <w:rPr>
          <w:rFonts w:ascii="Times New Roman;Times;Serif" w:hAnsi="Times New Roman;Times;Serif"/>
          <w:b w:val="false"/>
          <w:i w:val="false"/>
          <w:caps w:val="false"/>
          <w:smallCaps w:val="false"/>
          <w:sz w:val="20"/>
        </w:rPr>
        <w:t>”) and ending on the Trading Day immediately prior to the next Installment Date (each, an “</w:t>
      </w:r>
      <w:r>
        <w:rPr>
          <w:rFonts w:ascii="Times New Roman;Times;Serif" w:hAnsi="Times New Roman;Times;Serif"/>
          <w:b/>
          <w:i w:val="false"/>
          <w:caps w:val="false"/>
          <w:smallCaps w:val="false"/>
          <w:sz w:val="20"/>
        </w:rPr>
        <w:t>Installment Period</w:t>
      </w:r>
      <w:r>
        <w:rPr>
          <w:rFonts w:ascii="Times New Roman;Times;Serif" w:hAnsi="Times New Roman;Times;Serif"/>
          <w:b w:val="false"/>
          <w:i w:val="false"/>
          <w:caps w:val="false"/>
          <w:smallCaps w:val="false"/>
          <w:sz w:val="20"/>
        </w:rPr>
        <w:t>”), at the option of the Holder, at one or more times, the Holder may convert up to three (3) other Installment Amount in additional to any amounts Deferred with respect to such Current Installment Date (each, an “</w:t>
      </w:r>
      <w:r>
        <w:rPr>
          <w:rFonts w:ascii="Times New Roman;Times;Serif" w:hAnsi="Times New Roman;Times;Serif"/>
          <w:b/>
          <w:i w:val="false"/>
          <w:caps w:val="false"/>
          <w:smallCaps w:val="false"/>
          <w:sz w:val="20"/>
        </w:rPr>
        <w:t>Acceleration</w:t>
      </w:r>
      <w:r>
        <w:rPr>
          <w:rFonts w:ascii="Times New Roman;Times;Serif" w:hAnsi="Times New Roman;Times;Serif"/>
          <w:b w:val="false"/>
          <w:i w:val="false"/>
          <w:caps w:val="false"/>
          <w:smallCaps w:val="false"/>
          <w:sz w:val="20"/>
        </w:rPr>
        <w:t>”, and each such amount, an “</w:t>
      </w:r>
      <w:r>
        <w:rPr>
          <w:rFonts w:ascii="Times New Roman;Times;Serif" w:hAnsi="Times New Roman;Times;Serif"/>
          <w:b/>
          <w:i w:val="false"/>
          <w:caps w:val="false"/>
          <w:smallCaps w:val="false"/>
          <w:sz w:val="20"/>
        </w:rPr>
        <w:t>Acceleration Amount</w:t>
      </w:r>
      <w:r>
        <w:rPr>
          <w:rFonts w:ascii="Times New Roman;Times;Serif" w:hAnsi="Times New Roman;Times;Serif"/>
          <w:b w:val="false"/>
          <w:i w:val="false"/>
          <w:caps w:val="false"/>
          <w:smallCaps w:val="false"/>
          <w:sz w:val="20"/>
        </w:rPr>
        <w:t>”, and the Conversion Date of any such Acceleration, each an “</w:t>
      </w:r>
      <w:r>
        <w:rPr>
          <w:rFonts w:ascii="Times New Roman;Times;Serif" w:hAnsi="Times New Roman;Times;Serif"/>
          <w:b/>
          <w:i w:val="false"/>
          <w:caps w:val="false"/>
          <w:smallCaps w:val="false"/>
          <w:sz w:val="20"/>
        </w:rPr>
        <w:t>Acceleration Date</w:t>
      </w:r>
      <w:r>
        <w:rPr>
          <w:rFonts w:ascii="Times New Roman;Times;Serif" w:hAnsi="Times New Roman;Times;Serif"/>
          <w:b w:val="false"/>
          <w:i w:val="false"/>
          <w:caps w:val="false"/>
          <w:smallCaps w:val="false"/>
          <w:sz w:val="20"/>
        </w:rPr>
        <w:t xml:space="preserve">”), in whole or in part, at the Acceleration Conversion Price of such Acceleration Date in accordance with the conversion procedures set forth in Section 3 hereunder (with “Acceleration Conversion Price” replacing “Conversion Price” for all purposes therein),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provided, that if a Conversion Floor Price Condition exists with respect to such Acceleration Date, with each Acceleration the Company shall also deliver to the Holder the Acceleration Floor Amount on each applicable Share Delivery Deadline with respect thereto.</w:t>
      </w:r>
    </w:p>
    <w:p>
      <w:pPr>
        <w:pStyle w:val="TextBody"/>
        <w:bidi w:val="0"/>
        <w:spacing w:before="0" w:after="0"/>
        <w:ind w:left="820" w:right="155"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Reallocation of Installment Amounts</w:t>
      </w:r>
      <w:r>
        <w:rPr>
          <w:rFonts w:ascii="Times New Roman;Times;Serif" w:hAnsi="Times New Roman;Times;Serif"/>
          <w:b w:val="false"/>
          <w:i w:val="false"/>
          <w:caps w:val="false"/>
          <w:smallCaps w:val="false"/>
          <w:sz w:val="20"/>
        </w:rPr>
        <w:t>. Notwithstanding any provision of this Section 8 to the contrary, but subject to Section 3(d), at any time with respect to the applicable Installment Amount subject to an Installment Conversion with respect to any given Current Installment Date, the Holder may, at such Holder’s sole option, exercised by delivery of written notice to the Company (each, a “</w:t>
      </w:r>
      <w:r>
        <w:rPr>
          <w:rFonts w:ascii="Times New Roman;Times;Serif" w:hAnsi="Times New Roman;Times;Serif"/>
          <w:b/>
          <w:i w:val="false"/>
          <w:caps w:val="false"/>
          <w:smallCaps w:val="false"/>
          <w:sz w:val="20"/>
        </w:rPr>
        <w:t>Reallocation Notice</w:t>
      </w:r>
      <w:r>
        <w:rPr>
          <w:rFonts w:ascii="Times New Roman;Times;Serif" w:hAnsi="Times New Roman;Times;Serif"/>
          <w:b w:val="false"/>
          <w:i w:val="false"/>
          <w:caps w:val="false"/>
          <w:smallCaps w:val="false"/>
          <w:sz w:val="20"/>
        </w:rPr>
        <w:t>”) reallocate (each, a “</w:t>
      </w:r>
      <w:r>
        <w:rPr>
          <w:rFonts w:ascii="Times New Roman;Times;Serif" w:hAnsi="Times New Roman;Times;Serif"/>
          <w:b/>
          <w:i w:val="false"/>
          <w:caps w:val="false"/>
          <w:smallCaps w:val="false"/>
          <w:sz w:val="20"/>
        </w:rPr>
        <w:t>Reallocation</w:t>
      </w:r>
      <w:r>
        <w:rPr>
          <w:rFonts w:ascii="Times New Roman;Times;Serif" w:hAnsi="Times New Roman;Times;Serif"/>
          <w:b w:val="false"/>
          <w:i w:val="false"/>
          <w:caps w:val="false"/>
          <w:smallCaps w:val="false"/>
          <w:sz w:val="20"/>
        </w:rPr>
        <w:t>”) all, or any part, of the Installment Amount with respect to such Current Installment Date to another date during the applicable Installment Period (each, a “</w:t>
      </w:r>
      <w:r>
        <w:rPr>
          <w:rFonts w:ascii="Times New Roman;Times;Serif" w:hAnsi="Times New Roman;Times;Serif"/>
          <w:b/>
          <w:i w:val="false"/>
          <w:caps w:val="false"/>
          <w:smallCaps w:val="false"/>
          <w:sz w:val="20"/>
        </w:rPr>
        <w:t>Reallocation Date</w:t>
      </w:r>
      <w:r>
        <w:rPr>
          <w:rFonts w:ascii="Times New Roman;Times;Serif" w:hAnsi="Times New Roman;Times;Serif"/>
          <w:b w:val="false"/>
          <w:i w:val="false"/>
          <w:caps w:val="false"/>
          <w:smallCaps w:val="false"/>
          <w:sz w:val="20"/>
        </w:rPr>
        <w:t>”, and such portion of the applicable Installment Amount reallocated to a given Reallocation Date, each a “</w:t>
      </w:r>
      <w:r>
        <w:rPr>
          <w:rFonts w:ascii="Times New Roman;Times;Serif" w:hAnsi="Times New Roman;Times;Serif"/>
          <w:b/>
          <w:i w:val="false"/>
          <w:caps w:val="false"/>
          <w:smallCaps w:val="false"/>
          <w:sz w:val="20"/>
        </w:rPr>
        <w:t>Reallocation Amount</w:t>
      </w:r>
      <w:r>
        <w:rPr>
          <w:rFonts w:ascii="Times New Roman;Times;Serif" w:hAnsi="Times New Roman;Times;Serif"/>
          <w:b w:val="false"/>
          <w:i w:val="false"/>
          <w:caps w:val="false"/>
          <w:smallCaps w:val="false"/>
          <w:sz w:val="20"/>
        </w:rPr>
        <w:t xml:space="preserve">”); provided, that the sum of the remaining Installment Amount not subject to Reallocation and each Reallocation Amount with respect to each Reallocation Date in such applicable Installment Period shall not exceed the Installment Amount with respect to such Current Installment Date prior to such Reallocation. On each Reallocation Date, the Reallocation Amount with respect to such Reallocation Date shall automatically convert into shares of Common Stock at a conversion price equal to the applicable Reallocation Conversion Price as if the Holder delivered a Conversion Notice with a Share Delivery Deadline of such Reallocation Date (with “Reallocation Conversion Price” replacing “Conversion Price” for all purposes therein) in accordance with the conversion procedures set forth in Section 3 hereunder,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provided, that if a Conversion Floor Price Condition exists with respect to such Reallocation Date, the Company shall also deliver to the Holder the Reallocation Floor Amount on each applicable Share Delivery Deadline with respect thereto.</w:t>
      </w:r>
    </w:p>
    <w:p>
      <w:pPr>
        <w:pStyle w:val="TextBody"/>
        <w:bidi w:val="0"/>
        <w:spacing w:before="0" w:after="0"/>
        <w:ind w:left="8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820" w:right="0" w:firstLine="144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REDEMPTIONS AT THE COMPANY’S ELECTION.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Optional Redemption</w:t>
      </w:r>
      <w:r>
        <w:rPr>
          <w:rFonts w:ascii="Times New Roman;Times;Serif" w:hAnsi="Times New Roman;Times;Serif"/>
          <w:b w:val="false"/>
          <w:i w:val="false"/>
          <w:caps w:val="false"/>
          <w:smallCaps w:val="false"/>
          <w:sz w:val="20"/>
        </w:rPr>
        <w:t>. At any time the Company shall have the right to redeem all, but not less than all, of the Conversion Amount then remaining under this Note (the “</w:t>
      </w:r>
      <w:r>
        <w:rPr>
          <w:rFonts w:ascii="Times New Roman;Times;Serif" w:hAnsi="Times New Roman;Times;Serif"/>
          <w:b/>
          <w:i w:val="false"/>
          <w:caps w:val="false"/>
          <w:smallCaps w:val="false"/>
          <w:sz w:val="20"/>
        </w:rPr>
        <w:t>Company Optional Redemption Amount</w:t>
      </w:r>
      <w:r>
        <w:rPr>
          <w:rFonts w:ascii="Times New Roman;Times;Serif" w:hAnsi="Times New Roman;Times;Serif"/>
          <w:b w:val="false"/>
          <w:i w:val="false"/>
          <w:caps w:val="false"/>
          <w:smallCaps w:val="false"/>
          <w:sz w:val="20"/>
        </w:rPr>
        <w:t>”) on the Company Optional Redemption Date (each as defined below) (a “</w:t>
      </w:r>
      <w:r>
        <w:rPr>
          <w:rFonts w:ascii="Times New Roman;Times;Serif" w:hAnsi="Times New Roman;Times;Serif"/>
          <w:b/>
          <w:i w:val="false"/>
          <w:caps w:val="false"/>
          <w:smallCaps w:val="false"/>
          <w:sz w:val="20"/>
        </w:rPr>
        <w:t>Company Optional Redemption</w:t>
      </w:r>
      <w:r>
        <w:rPr>
          <w:rFonts w:ascii="Times New Roman;Times;Serif" w:hAnsi="Times New Roman;Times;Serif"/>
          <w:b w:val="false"/>
          <w:i w:val="false"/>
          <w:caps w:val="false"/>
          <w:smallCaps w:val="false"/>
          <w:sz w:val="20"/>
        </w:rPr>
        <w:t>”). The portion of this Note subject to redemption pursuant to this Section 9(a) shall be redeemed by the Company in cash at a price (the “</w:t>
      </w:r>
      <w:r>
        <w:rPr>
          <w:rFonts w:ascii="Times New Roman;Times;Serif" w:hAnsi="Times New Roman;Times;Serif"/>
          <w:b/>
          <w:i w:val="false"/>
          <w:caps w:val="false"/>
          <w:smallCaps w:val="false"/>
          <w:sz w:val="20"/>
        </w:rPr>
        <w:t>Company Optional Redemption Price</w:t>
      </w:r>
      <w:r>
        <w:rPr>
          <w:rFonts w:ascii="Times New Roman;Times;Serif" w:hAnsi="Times New Roman;Times;Serif"/>
          <w:b w:val="false"/>
          <w:i w:val="false"/>
          <w:caps w:val="false"/>
          <w:smallCaps w:val="false"/>
          <w:sz w:val="20"/>
        </w:rPr>
        <w:t>”) equal to the greater of (i) 115% of the Conversion Amount being redeemed as of the Company Optional Redemption Date and (ii) the product of (1) the quotient of (A) the Conversion Amount being redeemed divided by (b) the Alternate Conversion Price then in effect as of the Company Optional Redemption Date multiplied by (2) the greatest Closing Sale Price of the Common Stock on any Trading Day during the period commencing on the date immediately preceding such Company Optional Redemption Notice Date and ending on the Trading Day immediately prior to the date the Company makes the entire payment required to be made under this Section 9(a). The Company may exercise its right to require redemption under this Section 9(a) by delivering a written notice thereof by electronic mail and overnight courier to all, but not less than all, of the holders of Notes (the “</w:t>
      </w:r>
      <w:r>
        <w:rPr>
          <w:rFonts w:ascii="Times New Roman;Times;Serif" w:hAnsi="Times New Roman;Times;Serif"/>
          <w:b/>
          <w:i w:val="false"/>
          <w:caps w:val="false"/>
          <w:smallCaps w:val="false"/>
          <w:sz w:val="20"/>
        </w:rPr>
        <w:t>Company Optional Redemption Notice</w:t>
      </w:r>
      <w:r>
        <w:rPr>
          <w:rFonts w:ascii="Times New Roman;Times;Serif" w:hAnsi="Times New Roman;Times;Serif"/>
          <w:b w:val="false"/>
          <w:i w:val="false"/>
          <w:caps w:val="false"/>
          <w:smallCaps w:val="false"/>
          <w:sz w:val="20"/>
        </w:rPr>
        <w:t>” and the date all of the holders of Notes received such notice is referred to as the “</w:t>
      </w:r>
      <w:r>
        <w:rPr>
          <w:rFonts w:ascii="Times New Roman;Times;Serif" w:hAnsi="Times New Roman;Times;Serif"/>
          <w:b/>
          <w:i w:val="false"/>
          <w:caps w:val="false"/>
          <w:smallCaps w:val="false"/>
          <w:sz w:val="20"/>
        </w:rPr>
        <w:t>Company Optional Redemption Notice Date</w:t>
      </w:r>
      <w:r>
        <w:rPr>
          <w:rFonts w:ascii="Times New Roman;Times;Serif" w:hAnsi="Times New Roman;Times;Serif"/>
          <w:b w:val="false"/>
          <w:i w:val="false"/>
          <w:caps w:val="false"/>
          <w:smallCaps w:val="false"/>
          <w:sz w:val="20"/>
        </w:rPr>
        <w:t>”). The Company may deliver only one Company Optional Redemption Notice hereunder and such Company Optional Redemption Notice shall be irrevocable. The Company Optional Redemption Notice shall (x) state the date on which the Company Optional Redemption shall occur (the “</w:t>
      </w:r>
      <w:r>
        <w:rPr>
          <w:rFonts w:ascii="Times New Roman;Times;Serif" w:hAnsi="Times New Roman;Times;Serif"/>
          <w:b/>
          <w:i w:val="false"/>
          <w:caps w:val="false"/>
          <w:smallCaps w:val="false"/>
          <w:sz w:val="20"/>
        </w:rPr>
        <w:t>Company Optional Redemption Date</w:t>
      </w:r>
      <w:r>
        <w:rPr>
          <w:rFonts w:ascii="Times New Roman;Times;Serif" w:hAnsi="Times New Roman;Times;Serif"/>
          <w:b w:val="false"/>
          <w:i w:val="false"/>
          <w:caps w:val="false"/>
          <w:smallCaps w:val="false"/>
          <w:sz w:val="20"/>
        </w:rPr>
        <w:t>”) which date shall not be less than twenty (20) Trading Days nor more than thirty (30) Trading Days following the Company Optional Redemption Notice Date, and (y) state the aggregate Conversion Amount of the Notes which is being redeemed in such Company Optional Redemption from the Holder and all of the other holders of the Notes pursuant to this Section 9(a) (and analogous provisions under the Other Notes) on the Company Optional Redemption Date. Notwithstanding anything herein to the contrary, at any time prior to the date the Company Optional Redemption Price is paid, in full, the Company Optional Redemption Amount may be converted, in whole or in part, by the Holder into shares of Common Stock pursuant to Section 3. All Conversion Amounts converted by the Holder after the Company Optional Redemption Notice Date shall reduce the Company Optional Redemption Amount of this Note required to be redeemed on the Company Optional Redemption Date. Redemptions made pursuant to this Section 9(a) shall be made in accordance with Section 13. In the event of the Company’s redemption of any portion of this Note under this Section 9(a),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9(a) is intended by the parties to be, and shall be deemed, a reasonable estimate of the Holder’s actual loss of its investment opportunity and not as a penalty. For the avoidance of doubt, the Company shall have no right to effect a Company Optional Redemption if any Event of Default has occurred and continuing, but any Event of Default shall have no effect upon the Holder’s right to convert this Note in its discretion.</w:t>
      </w:r>
    </w:p>
    <w:p>
      <w:pPr>
        <w:pStyle w:val="TextBody"/>
        <w:bidi w:val="0"/>
        <w:spacing w:before="0" w:after="0"/>
        <w:ind w:left="820" w:right="154"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Pro Rata Redemption Requirement</w:t>
      </w:r>
      <w:r>
        <w:rPr>
          <w:rFonts w:ascii="Times New Roman;Times;Serif" w:hAnsi="Times New Roman;Times;Serif"/>
          <w:b w:val="false"/>
          <w:i w:val="false"/>
          <w:caps w:val="false"/>
          <w:smallCaps w:val="false"/>
          <w:sz w:val="20"/>
        </w:rPr>
        <w:t>. If the Company elects to cause a Company Optional Redemption of this Note pursuant to Section 9(a) above, then it must simultaneously take the same action with respect to all of the Other Notes.</w:t>
      </w:r>
    </w:p>
    <w:p>
      <w:pPr>
        <w:pStyle w:val="TextBody"/>
        <w:bidi w:val="0"/>
        <w:spacing w:before="0" w:after="0"/>
        <w:ind w:left="820" w:right="155"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820" w:right="155" w:firstLine="144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SUBSEQUENT PLACEMENT OPTIONAL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At any time from and after the earlier of (x) the date the Holder becomes aware of the occurrence of any ATM Sale or Permitted Restricted Subsequent Placement (as defined in the Securities Purchase Agreement) (the “</w:t>
      </w:r>
      <w:r>
        <w:rPr>
          <w:rFonts w:ascii="Times New Roman;Times;Serif" w:hAnsi="Times New Roman;Times;Serif"/>
          <w:b/>
          <w:i w:val="false"/>
          <w:caps w:val="false"/>
          <w:smallCaps w:val="false"/>
          <w:sz w:val="20"/>
        </w:rPr>
        <w:t>Holder Notice Date</w:t>
      </w:r>
      <w:r>
        <w:rPr>
          <w:rFonts w:ascii="Times New Roman;Times;Serif" w:hAnsi="Times New Roman;Times;Serif"/>
          <w:b w:val="false"/>
          <w:i w:val="false"/>
          <w:caps w:val="false"/>
          <w:smallCaps w:val="false"/>
          <w:sz w:val="20"/>
        </w:rPr>
        <w:t>”) and (y) the time of consummation of such ATM Sale and/or Permitted Restricted Subsequent Placement, as applicable (each, an “</w:t>
      </w:r>
      <w:r>
        <w:rPr>
          <w:rFonts w:ascii="Times New Roman;Times;Serif" w:hAnsi="Times New Roman;Times;Serif"/>
          <w:b/>
          <w:i w:val="false"/>
          <w:caps w:val="false"/>
          <w:smallCaps w:val="false"/>
          <w:sz w:val="20"/>
        </w:rPr>
        <w:t>Eligible Subsequent Placement</w:t>
      </w:r>
      <w:r>
        <w:rPr>
          <w:rFonts w:ascii="Times New Roman;Times;Serif" w:hAnsi="Times New Roman;Times;Serif"/>
          <w:b w:val="false"/>
          <w:i w:val="false"/>
          <w:caps w:val="false"/>
          <w:smallCaps w:val="false"/>
          <w:sz w:val="20"/>
        </w:rPr>
        <w:t>”), the Holder shall have the right, in its sole discretion, to require that the Company redeem (each an “</w:t>
      </w:r>
      <w:r>
        <w:rPr>
          <w:rFonts w:ascii="Times New Roman;Times;Serif" w:hAnsi="Times New Roman;Times;Serif"/>
          <w:b/>
          <w:i w:val="false"/>
          <w:caps w:val="false"/>
          <w:smallCaps w:val="false"/>
          <w:sz w:val="20"/>
        </w:rPr>
        <w:t>Subsequent Placement Optional Redemption</w:t>
      </w:r>
      <w:r>
        <w:rPr>
          <w:rFonts w:ascii="Times New Roman;Times;Serif" w:hAnsi="Times New Roman;Times;Serif"/>
          <w:b w:val="false"/>
          <w:i w:val="false"/>
          <w:caps w:val="false"/>
          <w:smallCaps w:val="false"/>
          <w:sz w:val="20"/>
        </w:rPr>
        <w:t>”) all, or any portion, of the Conversion Amount under this Note not in excess of (together with any Subsequent Placement Optional Redemption Amount (as defined in the applicable other Note of the Holder) of any other Notes of the Holder) the Holder’s Holder Pro Rata Amount of 30% of the gross proceeds of such Eligible Subsequent Placement (the “</w:t>
      </w:r>
      <w:r>
        <w:rPr>
          <w:rFonts w:ascii="Times New Roman;Times;Serif" w:hAnsi="Times New Roman;Times;Serif"/>
          <w:b/>
          <w:i w:val="false"/>
          <w:caps w:val="false"/>
          <w:smallCaps w:val="false"/>
          <w:sz w:val="20"/>
        </w:rPr>
        <w:t>Eligible Subsequent Placement Optional Redemption Amount</w:t>
      </w:r>
      <w:r>
        <w:rPr>
          <w:rFonts w:ascii="Times New Roman;Times;Serif" w:hAnsi="Times New Roman;Times;Serif"/>
          <w:b w:val="false"/>
          <w:i w:val="false"/>
          <w:caps w:val="false"/>
          <w:smallCaps w:val="false"/>
          <w:sz w:val="20"/>
        </w:rPr>
        <w:t>”) by delivering written notice thereof (an “</w:t>
      </w:r>
      <w:r>
        <w:rPr>
          <w:rFonts w:ascii="Times New Roman;Times;Serif" w:hAnsi="Times New Roman;Times;Serif"/>
          <w:b/>
          <w:i w:val="false"/>
          <w:caps w:val="false"/>
          <w:smallCaps w:val="false"/>
          <w:sz w:val="20"/>
        </w:rPr>
        <w:t>Subsequent Placement Optional Redemption Notice</w:t>
      </w:r>
      <w:r>
        <w:rPr>
          <w:rFonts w:ascii="Times New Roman;Times;Serif" w:hAnsi="Times New Roman;Times;Serif"/>
          <w:b w:val="false"/>
          <w:i w:val="false"/>
          <w:caps w:val="false"/>
          <w:smallCaps w:val="false"/>
          <w:sz w:val="20"/>
        </w:rPr>
        <w:t>”) to the Company. Notwithstanding the foregoing, if the Holder is participating in an Eligible Subsequent Placement, upon the written request of the Holder, the Company shall apply all, or any part, as set forth in such written request, of any amounts that would otherwise be payable to the Holder in such Subsequent Placement Optional Redemption, on a dollar-for-dollar basis, against the purchase price of the securities to be purchased by the Holder in such Eligible Subsequent Placement. The Company shall notify the Holder in writing no later than five (5) Trading Days after the occurrence of any Eligible Subsequent Placement, which notice shall include (i) the sale price of each Eligible Subsequent Placement, (ii) the date of each Eligible Subsequent Placement and (iii) the aggregate gross proceeds of each Eligible Subsequent Placement.</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 Each Subsequent Placement Optional Redemption Notice shall indicate that all, or such applicable portion, as set forth in the applicable Subsequent Placement Optional Redemption Notice, of the Conversion Amount of this Note (with a Subsequent Placement Optional Redemption Price not in excess of such applicable Eligible Subsequent Placement Optional Redemption Amount) the Holder is electing to have redeemed (the “</w:t>
      </w:r>
      <w:r>
        <w:rPr>
          <w:rFonts w:ascii="Times New Roman;Times;Serif" w:hAnsi="Times New Roman;Times;Serif"/>
          <w:b/>
          <w:i w:val="false"/>
          <w:caps w:val="false"/>
          <w:smallCaps w:val="false"/>
          <w:sz w:val="20"/>
        </w:rPr>
        <w:t>Subsequent Placement Optional Redemption Amount</w:t>
      </w:r>
      <w:r>
        <w:rPr>
          <w:rFonts w:ascii="Times New Roman;Times;Serif" w:hAnsi="Times New Roman;Times;Serif"/>
          <w:b w:val="false"/>
          <w:i w:val="false"/>
          <w:caps w:val="false"/>
          <w:smallCaps w:val="false"/>
          <w:sz w:val="20"/>
        </w:rPr>
        <w:t>”) and the date of such Subsequent Placement Optional Redemption (the “</w:t>
      </w:r>
      <w:r>
        <w:rPr>
          <w:rFonts w:ascii="Times New Roman;Times;Serif" w:hAnsi="Times New Roman;Times;Serif"/>
          <w:b/>
          <w:i w:val="false"/>
          <w:caps w:val="false"/>
          <w:smallCaps w:val="false"/>
          <w:sz w:val="20"/>
        </w:rPr>
        <w:t>Subsequent Placement Optional Redemption Date</w:t>
      </w:r>
      <w:r>
        <w:rPr>
          <w:rFonts w:ascii="Times New Roman;Times;Serif" w:hAnsi="Times New Roman;Times;Serif"/>
          <w:b w:val="false"/>
          <w:i w:val="false"/>
          <w:caps w:val="false"/>
          <w:smallCaps w:val="false"/>
          <w:sz w:val="20"/>
        </w:rPr>
        <w:t>”), which shall be the later of (x) the fifth (5th) Business Day after the date of the applicable Subsequent Placement Optional Redemption Notice and (y) the date of the consummation of such Eligible Subsequent Placement. The portion of the Conversion Amount of this Note subject to redemption pursuant to this Section 10 shall be redeemed by the Company in cash at a price equal to 115% of the Subsequent Placement Optional Redemption Amount being redeemed as of the Subsequent Placement Optional Redemption Date (the “</w:t>
      </w:r>
      <w:r>
        <w:rPr>
          <w:rFonts w:ascii="Times New Roman;Times;Serif" w:hAnsi="Times New Roman;Times;Serif"/>
          <w:b/>
          <w:i w:val="false"/>
          <w:caps w:val="false"/>
          <w:smallCaps w:val="false"/>
          <w:sz w:val="20"/>
        </w:rPr>
        <w:t>Subsequent Placement Optional Redemption Price</w:t>
      </w:r>
      <w:r>
        <w:rPr>
          <w:rFonts w:ascii="Times New Roman;Times;Serif" w:hAnsi="Times New Roman;Times;Serif"/>
          <w:b w:val="false"/>
          <w:i w:val="false"/>
          <w:caps w:val="false"/>
          <w:smallCaps w:val="false"/>
          <w:sz w:val="20"/>
        </w:rPr>
        <w:t>”). In the event of a partial redemption of this Note pursuant hereto, the Principal amount redeemed shall be deducted from the Installment Amount(s) relating to the applicable Installment Date(s) as set forth in such applicable Subsequent Placement Redemption Notice. Redemptions required by this Section 10 shall be made in accordance with the provisions of Section 13.</w:t>
      </w:r>
    </w:p>
    <w:p>
      <w:pPr>
        <w:pStyle w:val="TextBody"/>
        <w:bidi w:val="0"/>
        <w:spacing w:before="0" w:after="0"/>
        <w:ind w:left="820" w:right="156"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820" w:right="156"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 Notwithstanding anything herein to the contrary, if after the sixty (60) calendar day anniversary of the Issuance Date, the Holder is not permitted to convert this Note in full for any reason (other than pursuant to restrictions set forth in Section 3(d) hereof), the Company shall use its best efforts to promptly remedy such failure, including, without limitation, obtaining such consents or approvals as necessary to permit such conversion into shares of Common Stock.</w:t>
      </w:r>
    </w:p>
    <w:p>
      <w:pPr>
        <w:pStyle w:val="TextBody"/>
        <w:bidi w:val="0"/>
        <w:spacing w:before="0" w:after="0"/>
        <w:ind w:left="100" w:right="156"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RESERVATION OF AUTHORIZED SHARES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Reservation</w:t>
      </w:r>
      <w:r>
        <w:rPr>
          <w:rFonts w:ascii="Times New Roman;Times;Serif" w:hAnsi="Times New Roman;Times;Serif"/>
          <w:b w:val="false"/>
          <w:i w:val="false"/>
          <w:caps w:val="false"/>
          <w:smallCaps w:val="false"/>
          <w:sz w:val="20"/>
        </w:rPr>
        <w:t>. So long as any Notes remain outstanding, the Company shall at all times reserve at least 250% of the number of shares of Common Stock as shall from time to time be necessary to effect the conversion, including without limitation, Installment Conversions, Alternate Conversions and Accelerations, of all of the Notes then outstanding (without regard to any limitations on conversions and assuming such Notes remain outstanding until the Maturity Date) at the Alternate Conversion Price then in effect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The Required Reserve Amount (including, without limitation, each increase in the number of shares so reserved) shall be allocated pro rata among the holders of the Notes based on the original principal amount of the Notes held by each holder on the Applicable Closing Date or increase in the number of reserved shares, as the case may be (the “</w:t>
      </w:r>
      <w:r>
        <w:rPr>
          <w:rFonts w:ascii="Times New Roman;Times;Serif" w:hAnsi="Times New Roman;Times;Serif"/>
          <w:b/>
          <w:i w:val="false"/>
          <w:caps w:val="false"/>
          <w:smallCaps w:val="false"/>
          <w:sz w:val="20"/>
        </w:rPr>
        <w:t>Authorized Share Allocation</w:t>
      </w:r>
      <w:r>
        <w:rPr>
          <w:rFonts w:ascii="Times New Roman;Times;Serif" w:hAnsi="Times New Roman;Times;Serif"/>
          <w:b w:val="false"/>
          <w:i w:val="false"/>
          <w:caps w:val="false"/>
          <w:smallCaps w:val="false"/>
          <w:sz w:val="20"/>
        </w:rPr>
        <w:t>”). In the event that a holder shall sell or otherwise transfer any of such holder’s Notes, each transferee shall be allocated a pro rata portion of such holder’s Authorized Share Allocation. Any shares of Common Stock reserved and allocated to any Person which ceases to hold any Notes shall be allocated to the remaining holders of Notes, pro rata based on the principal amount of the Notes then held by such holders.</w:t>
      </w:r>
    </w:p>
    <w:p>
      <w:pPr>
        <w:pStyle w:val="TextBody"/>
        <w:bidi w:val="0"/>
        <w:spacing w:before="0" w:after="0"/>
        <w:ind w:left="820" w:right="155"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820" w:right="155"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notwithstanding Section 12(a), and not in limitation thereof, at any time while any of the Notes remain outstanding the Company does not have a sufficient number of authorized and unreserved shares of Common Stock to satisfy its obligation to reserve for issuance upon conversion of the Notes at least a number of shares of Common Stock equal to the Required Reserve Amount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immediately take all action necessary to increase the Company’s authorized shares of Common Stock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pursuant to the terms of this Note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Authorized Failure Shares</w:t>
      </w:r>
      <w:r>
        <w:rPr>
          <w:rFonts w:ascii="Times New Roman;Times;Serif" w:hAnsi="Times New Roman;Times;Serif"/>
          <w:b w:val="false"/>
          <w:i w:val="false"/>
          <w:caps w:val="false"/>
          <w:smallCaps w:val="false"/>
          <w:sz w:val="20"/>
        </w:rPr>
        <w:t>”), in lieu of delivering such Authorized Failure Shares to the Holder, the Company shall pay cash in exchange for the redemption of such portion of the Conversion Amount convertible into such Authorized Failure Shares at a price equal to the sum of (i) the product of (x) such number of Authorized Failure Shares and (y) the greatest Closing Sale Price of the Common Stock on any Trading Day during the period commencing on the date the Holder delivers the applicable Conversion Notice with respect to such Authorized Failure Shares to the Company and ending on the date of such issuance and payment under this Section 12(a); and (ii) to the extent the Holder purchases (in an open market transaction or otherwise) shares of Common Stock to deliver in satisfaction of a sale by the Holder of Authorized Failure Shares, any brokerage commissions and other out-of-pocket expenses, if any, of the Holder incurred in connection therewith. Nothing contained in Section 12(a) or this Section 12(b) shall limit any obligations of the Company under any provision of the Securities Purchase Agreement.</w:t>
      </w:r>
    </w:p>
    <w:p>
      <w:pPr>
        <w:pStyle w:val="TextBody"/>
        <w:bidi w:val="0"/>
        <w:spacing w:before="0" w:after="0"/>
        <w:ind w:left="82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REDEMPTIONS</w:t>
      </w:r>
      <w:r>
        <w:rPr>
          <w:rFonts w:ascii="Times New Roman;Times;Serif" w:hAnsi="Times New Roman;Times;Serif"/>
          <w:b w:val="false"/>
          <w:i w:val="false"/>
          <w:caps w:val="false"/>
          <w:smallCaps w:val="false"/>
          <w:sz w:val="20"/>
        </w:rPr>
        <w:t>.</w:t>
      </w:r>
    </w:p>
    <w:p>
      <w:pPr>
        <w:pStyle w:val="TextBody"/>
        <w:bidi w:val="0"/>
        <w:spacing w:before="0" w:after="0"/>
        <w:ind w:left="1539" w:right="0" w:hanging="719"/>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 The Company shall deliver the applicable Event of Default Redemption Price to the Holder in cash within five (5) Business Days after the Company’s receipt of the Holder’s Event of Default Redemption Notice. If the Holder has submitted a Change of Control Redemption Notice in accordance with Section 5(b), the Company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 The Company shall deliver the applicable Installment Redemption Price to the Holder in cash on the applicable Installment Date. The Company shall deliver the applicable Company Optional Redemption Price to the Holder in cash on the applicable Company Optional Redemption Date. The Company shall deliver the applicable Subsequent Placement Optional Redemption Price to the Holder in cash on the applicable Subsequent Placement Optional Redemption Date. Notwithstanding anything herein to the contrary, in connection with any redemption hereunder at a time the Holder is entitled to receive a cash payment under any of the other Transaction Documents, at the option of the Holder delivered in writing to the Company, the applicable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Section 20(d))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(y) the Company shall immediately return this Note, or issue a new Note (in accordance with Section 20(d)), to the Holder, and in each case the principal amount of this Note or such new Note (as the case may be) shall be increased by an amount equal to the difference between (1) the applicable Redemption Price (as the case may be, and as adjusted pursuant to this Section 13, if applicable) minus (2) the Principal portion of the Conversion Amount submitted for redemption and (z) the Conversion Price of this Note or such new Notes (as the case may be) shall be automatically adjusted with respect to each conversion effected thereafter by the Holder to the lowest of (A) the Conversion Price as in effect on the date on which the applicable Redemption Notice is voided, (B) the greater of (x) the Floor Price and (y) 75% of the lowest Closing Bid Price of the Common Stock during the period beginning on and including the date on which the applicable Redemption Notice is delivered to the Company and ending on and including the date on which the applicable Redemption Notice is voided and (C) the greater of (x) the Floor Price and (y) 75% of the quotient of (I) the sum of the five (5) lowest VWAPs of the Common Stock during the twenty (20) consecutive Trading Day period ending and including the applicable Conversion Date divided by (II) five (5) (it being understood and agreed that all such determinations shall be appropriately adjusted for any stock dividend, stock split, stock combination or other similar transaction during such period).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pStyle w:val="TextBody"/>
        <w:bidi w:val="0"/>
        <w:spacing w:before="0" w:after="0"/>
        <w:ind w:left="8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Redemption by Other Holders</w:t>
      </w:r>
      <w:r>
        <w:rPr>
          <w:rFonts w:ascii="Times New Roman;Times;Serif" w:hAnsi="Times New Roman;Times;Serif"/>
          <w:b w:val="false"/>
          <w:i w:val="false"/>
          <w:caps w:val="false"/>
          <w:smallCaps w:val="false"/>
          <w:sz w:val="20"/>
        </w:rPr>
        <w:t>. Upon the Company’s receipt of notice from any of the holders of the Other Notes for redemption or repayment as a result of an event or occurrence substantially similar to the events or occurrences described in Section 4(b) or Section 5(b) (each, an “</w:t>
      </w:r>
      <w:r>
        <w:rPr>
          <w:rFonts w:ascii="Times New Roman;Times;Serif" w:hAnsi="Times New Roman;Times;Serif"/>
          <w:b/>
          <w:i w:val="false"/>
          <w:caps w:val="false"/>
          <w:smallCaps w:val="false"/>
          <w:sz w:val="20"/>
        </w:rPr>
        <w:t>Other Redemption Notice</w:t>
      </w:r>
      <w:r>
        <w:rPr>
          <w:rFonts w:ascii="Times New Roman;Times;Serif" w:hAnsi="Times New Roman;Times;Serif"/>
          <w:b w:val="false"/>
          <w:i w:val="false"/>
          <w:caps w:val="false"/>
          <w:smallCaps w:val="false"/>
          <w:sz w:val="20"/>
        </w:rPr>
        <w:t>”), the Company shall immediately, but no later than one (1) Business Day of its receipt thereof, forward to the Holder by electronic mail a copy of such notice. If the Company receives a Redemption Notice and one or more Other Redemption Notices, during the seven (7) Business Day period beginning on and including the date which is two (2) Business Days prior to the Company’s receipt of the Holder’s applicable Redemption Notice and ending on and including the date which is two (2) Business Days after the Company’s receipt of the Holder’s applicable Redemption Notice and the Company is unable to redeem all principal, interest and other amounts designated in such Redemption Notice and such Other Redemption Notices received during such seven (7)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p>
    <w:p>
      <w:pPr>
        <w:pStyle w:val="TextBody"/>
        <w:bidi w:val="0"/>
        <w:spacing w:before="0" w:after="0"/>
        <w:ind w:left="8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The Holder shall have no voting rights as the holder of this Note, except as required by law (including, without limitation, the Delaware General Corporation Law) and as expressly provided in this Note.</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Until all of the Notes have been converted, redeemed or otherwise satisfied in accordance with their terms:</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xml:space="preserve">. All payments due under this Note (a) shall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with all Other Notes and (b) shall be senior to all other Indebtedness of the Company and its Subsidiaries (other than Permitted Indebtedness secured by Permitted Liens and, prior to the occurrence of an Event of Default, other Permitted Indebtedness (the payment of which is prohibited during an Event of Default in compliance with Section 16(d) below)).</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Incurrence of Indebtedness</w:t>
      </w:r>
      <w:r>
        <w:rPr>
          <w:rFonts w:ascii="Times New Roman;Times;Serif" w:hAnsi="Times New Roman;Times;Serif"/>
          <w:b w:val="false"/>
          <w:i w:val="false"/>
          <w:caps w:val="false"/>
          <w:smallCaps w:val="false"/>
          <w:sz w:val="20"/>
        </w:rPr>
        <w:t>. The Company shall not, and the Company shall cause each of its Subsidiaries to not, directly or indirectly, incur or guarantee, assume or suffer to exist any Indebtedness (other than (i) the Indebtedness evidenced by this Note and the Other Notes and (ii) other Permitted Indebtedness).</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Existence of Liens</w:t>
      </w:r>
      <w:r>
        <w:rPr>
          <w:rFonts w:ascii="Times New Roman;Times;Serif" w:hAnsi="Times New Roman;Times;Serif"/>
          <w:b w:val="false"/>
          <w:i w:val="false"/>
          <w:caps w:val="false"/>
          <w:smallCaps w:val="false"/>
          <w:sz w:val="20"/>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other than Permitted Liens.</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Restricted Payments and Investments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the Notes) whether by way of payment in respect of principal of (or premium, if any) or interest on, such Indebtedness or make any Investment, as applicable, if at the time such payment with respect to such Indebtedness and/or Investment, as applicable,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Restriction on Redemption and Cash Dividends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repurchase or declare or pay any cash dividend or distribution on any of its capital stock.</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 on Transfer of Assets</w:t>
      </w:r>
      <w:r>
        <w:rPr>
          <w:rFonts w:ascii="Times New Roman;Times;Serif" w:hAnsi="Times New Roman;Times;Serif"/>
          <w:b w:val="false"/>
          <w:i w:val="false"/>
          <w:caps w:val="false"/>
          <w:smallCaps w:val="false"/>
          <w:sz w:val="20"/>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other than (i) sales, leases, licenses, assignments, transfers, conveyances and other dispositions of such assets or rights by the Company and its Subsidiaries in the ordinary course of business consistent with its past practice and (ii) sales of inventory and product in the ordinary course of business.</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Maturity of Indebtedness</w:t>
      </w:r>
      <w:r>
        <w:rPr>
          <w:rFonts w:ascii="Times New Roman;Times;Serif" w:hAnsi="Times New Roman;Times;Serif"/>
          <w:b w:val="false"/>
          <w:i w:val="false"/>
          <w:caps w:val="false"/>
          <w:smallCaps w:val="false"/>
          <w:sz w:val="20"/>
        </w:rPr>
        <w:t>. The Company shall not, and the Company shall cause each of its Subsidiaries to not, directly or indirectly, permit any Indebtedness of the Company or any of its Subsidiaries to mature or accelerate prior to the Maturity Date.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Change in Nature of Business</w:t>
      </w:r>
      <w:r>
        <w:rPr>
          <w:rFonts w:ascii="Times New Roman;Times;Serif" w:hAnsi="Times New Roman;Times;Serif"/>
          <w:b w:val="false"/>
          <w:i w:val="false"/>
          <w:caps w:val="false"/>
          <w:smallCaps w:val="false"/>
          <w:sz w:val="20"/>
        </w:rPr>
        <w:t>.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Subscription Date or any business substantially related or incidental thereto. The Company shall not, and the Company shall cause each of its Subsidiaries to not, directly or indirectly, modify its or their corporate structure or purpose.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Preservation of Existence, Etc.</w:t>
      </w:r>
      <w:r>
        <w:rPr>
          <w:rFonts w:ascii="Times New Roman;Times;Serif" w:hAnsi="Times New Roman;Times;Serif"/>
          <w:b w:val="false"/>
          <w:i w:val="false"/>
          <w:caps w:val="false"/>
          <w:smallCaps w:val="false"/>
          <w:sz w:val="20"/>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Maintenance of Properties, Etc.</w:t>
      </w:r>
      <w:r>
        <w:rPr>
          <w:rFonts w:ascii="Times New Roman;Times;Serif" w:hAnsi="Times New Roman;Times;Serif"/>
          <w:b w:val="false"/>
          <w:i w:val="false"/>
          <w:caps w:val="false"/>
          <w:smallCaps w:val="false"/>
          <w:sz w:val="20"/>
        </w:rPr>
        <w:t xml:space="preserve">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Maintenance of Intellectual Property</w:t>
      </w:r>
      <w:r>
        <w:rPr>
          <w:rFonts w:ascii="Times New Roman;Times;Serif" w:hAnsi="Times New Roman;Times;Serif"/>
          <w:b w:val="false"/>
          <w:i w:val="false"/>
          <w:caps w:val="false"/>
          <w:smallCaps w:val="false"/>
          <w:sz w:val="20"/>
        </w:rPr>
        <w:t>. The Company will, and will cause each of its Subsidiaries to, take all action necessary or advisable to maintain all of the Intellectual Property Rights (as defined in the Securities Purchase Agreement) of the Company and/or any of its Subsidiaries that are necessary or material to the conduct of its business in full force and effect.</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w:t>
      </w:r>
    </w:p>
    <w:p>
      <w:pPr>
        <w:pStyle w:val="TextBody"/>
        <w:bidi w:val="0"/>
        <w:spacing w:before="0" w:after="0"/>
        <w:ind w:left="8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Restricted Issuances</w:t>
      </w:r>
      <w:r>
        <w:rPr>
          <w:rFonts w:ascii="Times New Roman;Times;Serif" w:hAnsi="Times New Roman;Times;Serif"/>
          <w:b w:val="false"/>
          <w:i w:val="false"/>
          <w:caps w:val="false"/>
          <w:smallCaps w:val="false"/>
          <w:sz w:val="20"/>
        </w:rPr>
        <w:t>. The Company shall not, directly or indirectly, without the prior written consent of the holders of a majority in aggregate principal amount of the Notes then outstanding, (i) issue any Notes (other than as contemplated by the Securities Purchase Agreement and the Notes) or (ii) issue any other securities that would cause a breach or default under the Notes or the Warrants.</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New Subsidiaries</w:t>
      </w:r>
      <w:r>
        <w:rPr>
          <w:rFonts w:ascii="Times New Roman;Times;Serif" w:hAnsi="Times New Roman;Times;Serif"/>
          <w:b w:val="false"/>
          <w:i w:val="false"/>
          <w:caps w:val="false"/>
          <w:smallCaps w:val="false"/>
          <w:sz w:val="20"/>
        </w:rPr>
        <w:t>. Simultaneously with the acquisition or formation of each New Subsidiary, the Company shall cause such New Subsidiary to execute, and deliver to each holder of Notes, all Security Documents (as defined in the Securities Purchase Agreement) and Guaranties (as defined in the Securities Purchase Agreement) as requested by the Collateral Agent or the Required Holders, as applicable. The Company shall also deliver to the Collateral Agent an opinion of counsel to such New Subsidiary that is reasonably satisfactory to the Collateral Agent and the Required Holders covering such legal matters with respect to such New Subsidiary becoming a guarantor of the Company’s obligations, executing and delivering the Security Document and the Guaranties and any other matters that the Collateral Agent or the Required Holders may reasonably request. The Company shall deliver, or cause the applicable Subsidiary to deliver to the Collateral Agent, each of the physical stock certificates of such New Subsidiary, along with undated stock powers for each such certificates, executed in blank (or, if any such shares of capital stock are uncertificated, confirmation and evidence reasonably satisfactory to the Collateral Agent and the Required Holders that the security interest in such uncertificated securities has been transferred to and perfected by the Collateral Agent, in accordance with Sections 8-313, 8-321 and 9-115 of the Uniform Commercial Code or any other similar or local or foreign law that may be applicable).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Change in Collateral; Collateral Records</w:t>
      </w:r>
      <w:r>
        <w:rPr>
          <w:rFonts w:ascii="Times New Roman;Times;Serif" w:hAnsi="Times New Roman;Times;Serif"/>
          <w:b w:val="false"/>
          <w:i w:val="false"/>
          <w:caps w:val="false"/>
          <w:smallCaps w:val="false"/>
          <w:sz w:val="20"/>
        </w:rPr>
        <w:t>. The Company shall (i) give the Collateral Agent not less than thirty (30) days’ prior written notice of any change in the location of any Collateral (as defined in the Security Documents), other than to locations set forth in the Perfection Certificate (as defined in the Securities Purchase Agreement) hereto and with respect to which the Collateral Agent has filed financing statements and otherwise fully perfected its Liens thereon, (ii) advise the Collateral Agent promptly, in sufficient detail, of any material adverse change relating to the type, quantity or quality of the Collateral or the Lien granted thereon and (iii) execute and deliver, and cause each of its Subsidiaries to execute and deliver, to the Collateral Agent for the benefit of the Holder and holders of the Other Notes from time to time, solely for the Collateral Agent’s convenience in maintaining a record of Collateral, such written statements and schedules as the Collateral Agent or any Holder may reasonably require, designating, identifying or describing the Collateral.</w:t>
      </w:r>
    </w:p>
    <w:p>
      <w:pPr>
        <w:pStyle w:val="TextBody"/>
        <w:bidi w:val="0"/>
        <w:spacing w:before="0" w:after="0"/>
        <w:ind w:left="8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Independent Investigation</w:t>
      </w:r>
      <w:r>
        <w:rPr>
          <w:rFonts w:ascii="Times New Roman;Times;Serif" w:hAnsi="Times New Roman;Times;Serif"/>
          <w:b w:val="false"/>
          <w:i w:val="false"/>
          <w:caps w:val="false"/>
          <w:smallCaps w:val="false"/>
          <w:sz w:val="20"/>
        </w:rPr>
        <w:t>. At the request of the Holder either (x) at any time when an Event of Default has occurred and is continuing, (y) upon the occurrence of an event that with the passage of time or giving of notice would constitute an Event of Default or (z) at any time the Holder reasonably believes an Event of Default may have occurred or be continuing, the Company shall hire an independent, reputable investment bank selected by the Company and approved by the Holder to investigate as to whether any breach of this Note has occurred (the “</w:t>
      </w:r>
      <w:r>
        <w:rPr>
          <w:rFonts w:ascii="Times New Roman;Times;Serif" w:hAnsi="Times New Roman;Times;Serif"/>
          <w:b/>
          <w:i w:val="false"/>
          <w:caps w:val="false"/>
          <w:smallCaps w:val="false"/>
          <w:sz w:val="20"/>
        </w:rPr>
        <w:t>Independent Investigator</w:t>
      </w:r>
      <w:r>
        <w:rPr>
          <w:rFonts w:ascii="Times New Roman;Times;Serif" w:hAnsi="Times New Roman;Times;Serif"/>
          <w:b w:val="false"/>
          <w:i w:val="false"/>
          <w:caps w:val="false"/>
          <w:smallCaps w:val="false"/>
          <w:sz w:val="20"/>
        </w:rPr>
        <w:t>”). If the Independent Investigator determines that such breach of this Note has occurred, the Independent Investigator shall notify the Company of such breach and the Company shall deliver written notice to each holder of a Note of such breach. In connection with such investigation, the Independent Investigator may, during normal business hours, inspect all contracts, books, records, personnel, offices and other facilities and properties of the Company and its Subsidiaries and, to the extent available to the Company after the Company uses reasonable efforts to obtain them, the records of its legal advisors and accountants (including the accountants’ work papers) and any books of account, records, reports and other papers not contractually required of the Company to be confidential or secret, or subject to attorney- 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the Company’s officers, directors, key employees and independent public accountants or any of them (and by this provision the Company authorizes said accountants to discuss with such Independent Investigator the finances and affairs of the Company and any Subsidiaries), all at such reasonable times, upon reasonable notice, and as often as may be reasonably requested.</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This Note and the Other Notes are secured to the extent and in the manner set forth in the Transaction Documents (including, without limitation, the Security Agreement, the other Security Documents and the Guaranties).</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DISTRIBUTION OF ASSETS</w:t>
      </w:r>
      <w:r>
        <w:rPr>
          <w:rFonts w:ascii="Times New Roman;Times;Serif" w:hAnsi="Times New Roman;Times;Serif"/>
          <w:b w:val="false"/>
          <w:i w:val="false"/>
          <w:caps w:val="false"/>
          <w:smallCaps w:val="false"/>
          <w:sz w:val="20"/>
        </w:rPr>
        <w:t>. In addition to any adjustments pursuant to Sections 6(a) or 7,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Times;Serif" w:hAnsi="Times New Roman;Times;Serif"/>
          <w:b/>
          <w:i w:val="false"/>
          <w:caps w:val="false"/>
          <w:smallCaps w:val="false"/>
          <w:sz w:val="20"/>
        </w:rPr>
        <w:t>Distributions</w:t>
      </w:r>
      <w:r>
        <w:rPr>
          <w:rFonts w:ascii="Times New Roman;Times;Serif" w:hAnsi="Times New Roman;Times;Serif"/>
          <w:b w:val="false"/>
          <w:i w:val="false"/>
          <w:caps w:val="false"/>
          <w:smallCaps w:val="false"/>
          <w:sz w:val="20"/>
        </w:rPr>
        <w:t>”), then the Holder will be entitled to such Distributions as if the Holder had held the number of shares of Common Stock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such Distribution or, if no such record is taken, the date as of which the record holders of Common Stock are to be determined for such Distributions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AMENDING THE TERMS OF THIS NOTE</w:t>
      </w:r>
      <w:r>
        <w:rPr>
          <w:rFonts w:ascii="Times New Roman;Times;Serif" w:hAnsi="Times New Roman;Times;Serif"/>
          <w:b w:val="false"/>
          <w:i w:val="false"/>
          <w:caps w:val="false"/>
          <w:smallCaps w:val="false"/>
          <w:sz w:val="20"/>
        </w:rPr>
        <w:t>. Except for Section 3(d) and this Section 18, which may not be amended, modified or waived by the parties hereto, the prior written consent of the Holder shall be required for any change, waiver or amendment to this Note.</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Note and any shares of Common Stock issued upon conversion of this Note may be offered, sold, assigned or transferred by the Holder without the consent of the Company, subject only to the provisions of Section 2(g) of the Securities Purchase Agreement.</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REISSUANCE OF THIS NOTE</w:t>
      </w:r>
      <w:r>
        <w:rPr>
          <w:rFonts w:ascii="Times New Roman;Times;Serif" w:hAnsi="Times New Roman;Times;Serif"/>
          <w:b w:val="false"/>
          <w:i w:val="false"/>
          <w:caps w:val="false"/>
          <w:smallCaps w:val="false"/>
          <w:sz w:val="20"/>
        </w:rPr>
        <w:t>.</w:t>
      </w:r>
    </w:p>
    <w:p>
      <w:pPr>
        <w:pStyle w:val="TextBody"/>
        <w:bidi w:val="0"/>
        <w:spacing w:before="0" w:after="0"/>
        <w:ind w:left="1539" w:right="0" w:hanging="719"/>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If this Note is to be transferred, the Holder shall surrender this Note to the Company, whereupon the Company will forthwith issue and deliver upon the order of the Holder a new Note (in accordance with Section 20(d)), registered as the Holder may request, representing the outstanding Principal being transferred by the Holder and, if less than the entire outstanding Principal is being transferred, a new Note (in accordance with Section 20(d))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pStyle w:val="TextBody"/>
        <w:bidi w:val="0"/>
        <w:spacing w:before="0" w:after="0"/>
        <w:ind w:left="8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Stolen or Mutilated Note</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20(d)) representing the outstanding Principal.</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Note Exchangeable for Different Denominations</w:t>
      </w:r>
      <w:r>
        <w:rPr>
          <w:rFonts w:ascii="Times New Roman;Times;Serif" w:hAnsi="Times New Roman;Times;Serif"/>
          <w:b w:val="false"/>
          <w:i w:val="false"/>
          <w:caps w:val="false"/>
          <w:smallCaps w:val="false"/>
          <w:sz w:val="20"/>
        </w:rPr>
        <w:t>. This Note is exchangeable, upon the surrender hereof by the Holder at the principal office of the Company, for a new Note or Notes (in accordance with Section 20(d) and in principal amounts of at least $1,000) representing in the aggregate the outstanding Principal of this Note, and each such new Note will represent such portion of such outstanding Principal as is designated by the Holder at the time of such surrender.</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New Notes</w:t>
      </w:r>
      <w:r>
        <w:rPr>
          <w:rFonts w:ascii="Times New Roman;Times;Serif" w:hAnsi="Times New Roman;Times;Serif"/>
          <w:b w:val="false"/>
          <w:i w:val="false"/>
          <w:caps w:val="false"/>
          <w:smallCaps w:val="false"/>
          <w:sz w:val="20"/>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20(a) or Section 20(c),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Make-Whole Amount and Interest of this Note, from the Issuance Date.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REMEDIES, CHARACTERIZATIONS, OTHER OBLIGATIONS, BREACHES AND INJUNCTIVE RELIEF</w:t>
      </w:r>
      <w:r>
        <w:rPr>
          <w:rFonts w:ascii="Times New Roman;Times;Serif" w:hAnsi="Times New Roman;Times;Serif"/>
          <w:b w:val="false"/>
          <w:i w:val="false"/>
          <w:caps w:val="false"/>
          <w:smallCaps w:val="false"/>
          <w:sz w:val="20"/>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Note (including, without limitation, compliance with Section 7).</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PAYMENT OF COLLECTION, ENFORCEMENT AND OTHER COSTS</w:t>
      </w:r>
      <w:r>
        <w:rPr>
          <w:rFonts w:ascii="Times New Roman;Times;Serif" w:hAnsi="Times New Roman;Times;Serif"/>
          <w:b w:val="false"/>
          <w:i w:val="false"/>
          <w:caps w:val="false"/>
          <w:smallCaps w:val="false"/>
          <w:sz w:val="20"/>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Initial Closing Date in such other Transaction Documents unless otherwise consented to in writing by the Holder.</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24 shall permit any waiver of any provision of Section 3(d).</w:t>
      </w:r>
    </w:p>
    <w:p>
      <w:pPr>
        <w:pStyle w:val="TextBody"/>
        <w:bidi w:val="0"/>
        <w:spacing w:before="0" w:after="0"/>
        <w:ind w:left="10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w:t>
      </w:r>
    </w:p>
    <w:p>
      <w:pPr>
        <w:pStyle w:val="TextBody"/>
        <w:bidi w:val="0"/>
        <w:spacing w:before="0" w:after="0"/>
        <w:ind w:left="1539" w:right="0" w:hanging="719"/>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Submission to Dispute Resolution</w:t>
      </w:r>
      <w:r>
        <w:rPr>
          <w:rFonts w:ascii="Times New Roman;Times;Serif" w:hAnsi="Times New Roman;Times;Serif"/>
          <w:b w:val="false"/>
          <w:i w:val="false"/>
          <w:caps w:val="false"/>
          <w:smallCaps w:val="false"/>
          <w:sz w:val="20"/>
        </w:rPr>
        <w:t>.</w:t>
      </w:r>
    </w:p>
    <w:p>
      <w:pPr>
        <w:pStyle w:val="TextBody"/>
        <w:bidi w:val="0"/>
        <w:spacing w:before="0" w:after="0"/>
        <w:ind w:left="2259" w:right="0" w:hanging="719"/>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 dispute relating to a Closing Bid Price, a Closing Sale Price, a Conversion Price, an Installment Conversion Price, an Acceleration Conversion Price, a Reallocation Conversion Price, an Alternate Conversion Price, a Black Scholes Consideration Value, a VWAP or a fair market value or the arithmetic calculation of a Conversion Rate, or the applicable Redemption Price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Closing Bid Price, such Closing Sale Price, such Conversion Price, such Installment Conversion Price, such Acceleration Conversion Price, such Reallocation Conversion Price, such Alternate Conversion Price, such Black Scholes Consideration Value, such VWAP or such fair market value, or the arithmetic calculation of such Conversion Rate or such applicable Redemption Price (as the case may be), at any time after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pStyle w:val="TextBody"/>
        <w:bidi w:val="0"/>
        <w:spacing w:before="0" w:after="0"/>
        <w:ind w:left="1540" w:right="0" w:firstLine="72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Holder and the Company shall each deliver to such investment bank (A) a copy of the initial dispute submission so delivered in accordance with the first sentence of this Section 25 and (B) written documentation supporting its position with respect to such dispute, in each case, no later than 5:00 p.m. (New York time) by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immediately following the date on which the Holder selected such investment bank (the “</w:t>
      </w:r>
      <w:r>
        <w:rPr>
          <w:rFonts w:ascii="Times New Roman;Times;Serif" w:hAnsi="Times New Roman;Times;Serif"/>
          <w:b/>
          <w:i w:val="false"/>
          <w:caps w:val="false"/>
          <w:smallCaps w:val="false"/>
          <w:sz w:val="20"/>
        </w:rPr>
        <w:t>Dispute Submission Deadline</w:t>
      </w:r>
      <w:r>
        <w:rPr>
          <w:rFonts w:ascii="Times New Roman;Times;Serif" w:hAnsi="Times New Roman;Times;Serif"/>
          <w:b w:val="false"/>
          <w:i w:val="false"/>
          <w:caps w:val="false"/>
          <w:smallCaps w:val="false"/>
          <w:sz w:val="20"/>
        </w:rPr>
        <w:t>”) (the documents referred to in the immediately preceding clauses (A) and (B) are collectively referred to herein as the “</w:t>
      </w:r>
      <w:r>
        <w:rPr>
          <w:rFonts w:ascii="Times New Roman;Times;Serif" w:hAnsi="Times New Roman;Times;Serif"/>
          <w:b/>
          <w:i w:val="false"/>
          <w:caps w:val="false"/>
          <w:smallCaps w:val="false"/>
          <w:sz w:val="20"/>
        </w:rPr>
        <w:t>Required Dispute Documentation</w:t>
      </w:r>
      <w:r>
        <w:rPr>
          <w:rFonts w:ascii="Times New Roman;Times;Serif" w:hAnsi="Times New Roman;Times;Serif"/>
          <w:b w:val="false"/>
          <w:i w:val="false"/>
          <w:caps w:val="false"/>
          <w:smallCaps w:val="false"/>
          <w:sz w:val="20"/>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pStyle w:val="TextBody"/>
        <w:bidi w:val="0"/>
        <w:spacing w:before="0" w:after="0"/>
        <w:ind w:left="15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pStyle w:val="TextBody"/>
        <w:bidi w:val="0"/>
        <w:spacing w:before="0" w:after="0"/>
        <w:ind w:left="15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The Company expressly acknowledges and agrees that (i) this Section 25 constitutes an agreement to arbitrate between the Company and the Holder (and constitutes an arbitration agreement) under § 7501, et seq. of the New York Civil Practice Law and Rules (“</w:t>
      </w:r>
      <w:r>
        <w:rPr>
          <w:rFonts w:ascii="Times New Roman;Times;Serif" w:hAnsi="Times New Roman;Times;Serif"/>
          <w:b/>
          <w:i w:val="false"/>
          <w:caps w:val="false"/>
          <w:smallCaps w:val="false"/>
          <w:sz w:val="20"/>
        </w:rPr>
        <w:t>CPLR</w:t>
      </w:r>
      <w:r>
        <w:rPr>
          <w:rFonts w:ascii="Times New Roman;Times;Serif" w:hAnsi="Times New Roman;Times;Serif"/>
          <w:b w:val="false"/>
          <w:i w:val="false"/>
          <w:caps w:val="false"/>
          <w:smallCaps w:val="false"/>
          <w:sz w:val="20"/>
        </w:rPr>
        <w:t>”) and that the Holder is authorized to apply for an order to compel arbitration pursuant to CPLR § 7503(a) in order to compel compliance with this Section 25, (ii) a dispute relating to a Conversion Price includes, without limitation, disputes as to (A) whether an issuance or sale or deemed issuance or sale of Common Stock occurred under Section 7(a), (B) the consideration per share at which an issuance or deemed issuance of Common Stock occurred, (C) whether any issuance or sale or deemed issuance or sale of Common Stock was an issuance or sale or deemed issuance or sale of Excluded Securities, (D) whether an agreement, instrument, security or the like constitutes and Option or Convertible Security and (E) whether a Dilutive Issuance occurred, (iii) the terms of this Note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and any other applicable Transaction Documents, (iv) the Holder (and only the Holder), in its sole discretion, shall have the right to submit any dispute described in this Section 25 to any state or federal court sitting in The City of New York, Borough of Manhattan in lieu of utilizing the procedures set forth in this Section 25 and (v) nothing in this Section 25 shall limit the Holder from obtaining any injunctive relief or other equitable remedies (including, without limitation, with respect to any matters described in this Section 25).</w:t>
      </w:r>
    </w:p>
    <w:p>
      <w:pPr>
        <w:pStyle w:val="TextBody"/>
        <w:bidi w:val="0"/>
        <w:spacing w:before="0" w:after="0"/>
        <w:ind w:left="8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NOTICES; CURRENCY; PAYMENTS</w:t>
      </w:r>
      <w:r>
        <w:rPr>
          <w:rFonts w:ascii="Times New Roman;Times;Serif" w:hAnsi="Times New Roman;Times;Serif"/>
          <w:b w:val="false"/>
          <w:i w:val="false"/>
          <w:caps w:val="false"/>
          <w:smallCaps w:val="false"/>
          <w:sz w:val="20"/>
        </w:rPr>
        <w:t>.</w:t>
      </w:r>
    </w:p>
    <w:p>
      <w:pPr>
        <w:pStyle w:val="TextBody"/>
        <w:bidi w:val="0"/>
        <w:spacing w:before="0" w:after="0"/>
        <w:ind w:left="154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Note, unless otherwise provided herein, such notice shall be given in accordance with Section 9(f) of the Securities Purchase Agreement.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w:t>
      </w:r>
    </w:p>
    <w:p>
      <w:pPr>
        <w:pStyle w:val="TextBody"/>
        <w:bidi w:val="0"/>
        <w:spacing w:before="0" w:after="0"/>
        <w:ind w:left="8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All dollar amounts referred to in this Note are in United States Dollars (“</w:t>
      </w:r>
      <w:r>
        <w:rPr>
          <w:rFonts w:ascii="Times New Roman;Times;Serif" w:hAnsi="Times New Roman;Times;Serif"/>
          <w:b/>
          <w:i w:val="false"/>
          <w:caps w:val="false"/>
          <w:smallCaps w:val="false"/>
          <w:sz w:val="20"/>
        </w:rPr>
        <w:t>U.S. Dollars</w:t>
      </w:r>
      <w:r>
        <w:rPr>
          <w:rFonts w:ascii="Times New Roman;Times;Serif" w:hAnsi="Times New Roman;Times;Serif"/>
          <w:b w:val="false"/>
          <w:i w:val="false"/>
          <w:caps w:val="false"/>
          <w:smallCaps w:val="false"/>
          <w:sz w:val="20"/>
        </w:rPr>
        <w:t>”), and all amounts owing under this Note shall be paid in U.S. Dollars. All amounts denominated in other currencies (if any) shall be converted into the U.S. Dollar equivalent amount in accordance with the Exchange Rate on the date of calculation. “</w:t>
      </w:r>
      <w:r>
        <w:rPr>
          <w:rFonts w:ascii="Times New Roman;Times;Serif" w:hAnsi="Times New Roman;Times;Serif"/>
          <w:b/>
          <w:i w:val="false"/>
          <w:caps w:val="false"/>
          <w:smallCaps w:val="false"/>
          <w:sz w:val="20"/>
        </w:rPr>
        <w:t>Exchange Rate</w:t>
      </w:r>
      <w:r>
        <w:rPr>
          <w:rFonts w:ascii="Times New Roman;Times;Serif" w:hAnsi="Times New Roman;Times;Serif"/>
          <w:b w:val="false"/>
          <w:i w:val="false"/>
          <w:caps w:val="false"/>
          <w:smallCaps w:val="false"/>
          <w:sz w:val="20"/>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pStyle w:val="TextBody"/>
        <w:bidi w:val="0"/>
        <w:spacing w:before="0" w:after="0"/>
        <w:ind w:left="8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shall result in a late charge being incurred and payable by the Company in an amount equal to interest on such amount at the rate of eighteen percent (18%) per annum from the date such amount was due until the same is paid in full (“</w:t>
      </w:r>
      <w:r>
        <w:rPr>
          <w:rFonts w:ascii="Times New Roman;Times;Serif" w:hAnsi="Times New Roman;Times;Serif"/>
          <w:b/>
          <w:i w:val="false"/>
          <w:caps w:val="false"/>
          <w:smallCaps w:val="false"/>
          <w:sz w:val="20"/>
        </w:rPr>
        <w:t>Late Charge</w:t>
      </w:r>
      <w:r>
        <w:rPr>
          <w:rFonts w:ascii="Times New Roman;Times;Serif" w:hAnsi="Times New Roman;Times;Serif"/>
          <w:b w:val="false"/>
          <w:i w:val="false"/>
          <w:caps w:val="false"/>
          <w:smallCaps w:val="false"/>
          <w:sz w:val="20"/>
        </w:rPr>
        <w:t>”).</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After all Principal, Make-Whole Amount, accrued Interest, Late Charges and other amounts at any time owed on this Note have been paid in full, this Note shall automatically be deemed canceled, shall be surrendered to the Company for cancellation and shall not be reissued.</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construed and enforced in accordance with, and all questions concerning the construction, validity, interpretation and performance of this Note shall be governed by, the internal laws of the State of New York, without giving effect to any provision or rule (whether of the State of New York or any other jurisdictions) that would cause the application of the laws of any jurisdictions other than the State of New York. Except as otherwise required by Section 25 above,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 (i)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or (ii) shall limit, or shall be deemed or construed to limit, any provision of Section 25. </w:t>
      </w:r>
      <w:r>
        <w:rPr>
          <w:rFonts w:ascii="Times New Roman;Times;Serif" w:hAnsi="Times New Roman;Times;Serif"/>
          <w:b/>
          <w:i w:val="false"/>
          <w:caps w:val="false"/>
          <w:smallCaps w:val="false"/>
          <w:sz w:val="20"/>
        </w:rPr>
        <w:t>THE COMPANY HEREBY IRREVOCABLY WAIVES ANY RIGHT IT MAY HAVE TO, AND AGREES NOT TO REQUEST, A JURY TRIAL FOR THE ADJUDICATION OF ANY DISPUTE HEREUNDER OR IN CONNECTION WITH OR ARISING OUT OF THIS NOTE OR ANY TRANSACTION CONTEMPLATED HEREBY.</w:t>
      </w:r>
    </w:p>
    <w:p>
      <w:pPr>
        <w:pStyle w:val="TextBody"/>
        <w:bidi w:val="0"/>
        <w:spacing w:before="0" w:after="0"/>
        <w:ind w:left="10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w:t>
      </w:r>
    </w:p>
    <w:p>
      <w:pPr>
        <w:pStyle w:val="TextBody"/>
        <w:bidi w:val="0"/>
        <w:spacing w:before="0" w:after="0"/>
        <w:ind w:left="1539" w:right="0" w:hanging="719"/>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for the purpose of obtaining or enforcing judgment against the Company in any court in any jurisdiction it becomes necessary to convert into any other currency (such other currency being hereinafter in this Section 30 referred to as the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 an amount due in U.S. dollars under this Note, the conversion shall be made at the Exchange Rate prevailing on the Trading Day immediately preceding:</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date actual payment of the amount due, in the case of any proceeding in the courts of New York or in the courts of any other jurisdiction that will give effect to such conversion being made on such date: or</w:t>
      </w:r>
    </w:p>
    <w:p>
      <w:pPr>
        <w:pStyle w:val="TextBody"/>
        <w:bidi w:val="0"/>
        <w:spacing w:before="0" w:after="0"/>
        <w:ind w:left="11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on which the foreign court determines, in the case of any proceeding in the courts of any other jurisdiction (the date as of which such conversion is made pursuant to this Section 30(a)(ii) being hereinafter referred to as the “</w:t>
      </w:r>
      <w:r>
        <w:rPr>
          <w:rFonts w:ascii="Times New Roman;Times;Serif" w:hAnsi="Times New Roman;Times;Serif"/>
          <w:b/>
          <w:i w:val="false"/>
          <w:caps w:val="false"/>
          <w:smallCaps w:val="false"/>
          <w:sz w:val="20"/>
        </w:rPr>
        <w:t>Judgment Conversion Date</w:t>
      </w:r>
      <w:r>
        <w:rPr>
          <w:rFonts w:ascii="Times New Roman;Times;Serif" w:hAnsi="Times New Roman;Times;Serif"/>
          <w:b w:val="false"/>
          <w:i w:val="false"/>
          <w:caps w:val="false"/>
          <w:smallCaps w:val="false"/>
          <w:sz w:val="20"/>
        </w:rPr>
        <w:t>”).</w:t>
      </w:r>
    </w:p>
    <w:p>
      <w:pPr>
        <w:pStyle w:val="TextBody"/>
        <w:bidi w:val="0"/>
        <w:spacing w:before="0" w:after="0"/>
        <w:ind w:left="1180" w:right="0" w:firstLine="108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in the case of any proceeding in the court of any jurisdiction referred to in Section 30(a)(ii)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amount due from the Company under this provision shall be due as a separate debt and shall not be affected by judgment being obtained for any other amounts due under or in respect of this Note.</w:t>
      </w:r>
    </w:p>
    <w:p>
      <w:pPr>
        <w:pStyle w:val="TextBody"/>
        <w:bidi w:val="0"/>
        <w:spacing w:before="0" w:after="0"/>
        <w:ind w:left="8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MAXIMUM PAYMENTS</w:t>
      </w:r>
      <w:r>
        <w:rPr>
          <w:rFonts w:ascii="Times New Roman;Times;Serif" w:hAnsi="Times New Roman;Times;Serif"/>
          <w:b w:val="false"/>
          <w:i w:val="false"/>
          <w:caps w:val="false"/>
          <w:smallCaps w:val="false"/>
          <w:sz w:val="20"/>
        </w:rPr>
        <w:t>. 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Note, the following terms shall have the following meanings:</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means the Securities Act of 1933, as amended, and the rules and regulations thereunder.</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 as amended, and the rules and regulations thereunder.</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Acceleration Conversion Price</w:t>
      </w:r>
      <w:r>
        <w:rPr>
          <w:rFonts w:ascii="Times New Roman;Times;Serif" w:hAnsi="Times New Roman;Times;Serif"/>
          <w:b w:val="false"/>
          <w:i w:val="false"/>
          <w:caps w:val="false"/>
          <w:smallCaps w:val="false"/>
          <w:sz w:val="20"/>
        </w:rPr>
        <w:t>” means, with respect to any given Acceleration Date, the lower of (i) the Installment Conversion Price for such Current Installment Date related to such Acceleration Date and (ii) the greater of (x) the Floor Price and (y) 90% of the lowest VWAP of the Common Stock for any Trading Day during the five (5) consecutive Trading Day period ending on, and including, the Trading Day immediately prior to the applicable Acceleration Date and (II) solely respect to any Deferral Amount subject to an Acceleration, the lowest Acceleration Conversion Price of any Installment Date in which such Deferral Amount has been Deferred hereunder (each, a “</w:t>
      </w:r>
      <w:r>
        <w:rPr>
          <w:rFonts w:ascii="Times New Roman;Times;Serif" w:hAnsi="Times New Roman;Times;Serif"/>
          <w:b/>
          <w:i w:val="false"/>
          <w:caps w:val="false"/>
          <w:smallCaps w:val="false"/>
          <w:sz w:val="20"/>
        </w:rPr>
        <w:t>Current Acceleration Conversion Price</w:t>
      </w:r>
      <w:r>
        <w:rPr>
          <w:rFonts w:ascii="Times New Roman;Times;Serif" w:hAnsi="Times New Roman;Times;Serif"/>
          <w:b w:val="false"/>
          <w:i w:val="false"/>
          <w:caps w:val="false"/>
          <w:smallCaps w:val="false"/>
          <w:sz w:val="20"/>
        </w:rPr>
        <w:t>”), shall replace such Current Acceleration Conversion Price for any Acceleration of such Deferral Amount hereunder. All such determinations to be appropriately adjusted for any stock split, stock dividend, stock combination or other similar transaction during any such measuring period.</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Acceleration Floor Amount</w:t>
      </w:r>
      <w:r>
        <w:rPr>
          <w:rFonts w:ascii="Times New Roman;Times;Serif" w:hAnsi="Times New Roman;Times;Serif"/>
          <w:b w:val="false"/>
          <w:i w:val="false"/>
          <w:caps w:val="false"/>
          <w:smallCaps w:val="false"/>
          <w:sz w:val="20"/>
        </w:rPr>
        <w:t>” means an amount in cash, to be delivered by wire transfer of immediately available funds pursuant to wire instructions delivered to the Company by the Holder in writing, equal to the product obtained by multiplying (A) the higher of (I) the highest price that the Common Stock trades at on the Trading Day immediately preceding the relevant Acceleration Date with respect to such Acceleration and (II) the applicable Acceleration Conversion Price of such Acceleration Date and (B) the difference obtained by subtracting (I) the number of shares of Common Stock delivered (or to be delivered) to the Holder on the applicable Share Delivery Deadline with respect to such Acceleration from (II) the quotient obtained by dividing (x) the applicable Acceleration Amount that the Holder has elected to be the subject of the applicable Acceleration, by (y) the applicable Acceleration Conversion Price of such Acceleration Date without giving effect to clause (x) of such definition or clause (x) of the definition of the Installment Conversion Price, as applicable.</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Adjusted Floor Price</w:t>
      </w:r>
      <w:r>
        <w:rPr>
          <w:rFonts w:ascii="Times New Roman;Times;Serif" w:hAnsi="Times New Roman;Times;Serif"/>
          <w:b w:val="false"/>
          <w:i w:val="false"/>
          <w:caps w:val="false"/>
          <w:smallCaps w:val="false"/>
          <w:sz w:val="20"/>
        </w:rPr>
        <w:t>” means as determined on an Adjustment Date, the lower of (i) the Floor Price then in effect and (ii) 20% of the lower of (x) the closing price of the Common Stock of the Principal Market (as reported by the Principal Market) as of the Trading Day ended immediately prior to such applicable Adjustment Date and (y) the quotient of (I) the sum of each the closing price of the Common Stock of the Principal Market (as reported by the Principal Market) on each Trading Day of the five (5) Trading Day period ended on, and including, the Trading Day ended immediately prior to such applicable Adjustment Date, divided by (II) five (5). All such determinations to be appropriately adjusted for any stock split, stock dividend, stock combination or other similar transaction during any such measuring period.</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7) of shares of Common Stock (other than rights of the type described in Section 6(a)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Alternate Conversion Price</w:t>
      </w:r>
      <w:r>
        <w:rPr>
          <w:rFonts w:ascii="Times New Roman;Times;Serif" w:hAnsi="Times New Roman;Times;Serif"/>
          <w:b w:val="false"/>
          <w:i w:val="false"/>
          <w:caps w:val="false"/>
          <w:smallCaps w:val="false"/>
          <w:sz w:val="20"/>
        </w:rPr>
        <w:t>” means, with respect to any Alternate Conversion that price which shall be the lowest of (i) the applicable Conversion Price as in effect on the applicable Conversion Date of the applicable Alternate Conversion, and (ii) the greater of (x) the Floor Price and (y) 85% of the lowest VWAP of the Common Stock during the five (5) consecutive Trading Day period ending and including the Trading Day immediately preceding the delivery or deemed delivery of the applicable Conversion Notice (such period, the “</w:t>
      </w:r>
      <w:r>
        <w:rPr>
          <w:rFonts w:ascii="Times New Roman;Times;Serif" w:hAnsi="Times New Roman;Times;Serif"/>
          <w:b/>
          <w:i w:val="false"/>
          <w:caps w:val="false"/>
          <w:smallCaps w:val="false"/>
          <w:sz w:val="20"/>
        </w:rPr>
        <w:t>Alternate Conversion Measuring Period</w:t>
      </w:r>
      <w:r>
        <w:rPr>
          <w:rFonts w:ascii="Times New Roman;Times;Serif" w:hAnsi="Times New Roman;Times;Serif"/>
          <w:b w:val="false"/>
          <w:i w:val="false"/>
          <w:caps w:val="false"/>
          <w:smallCaps w:val="false"/>
          <w:sz w:val="20"/>
        </w:rPr>
        <w:t>”). All such determinations to be appropriately adjusted for any stock dividend, stock split, stock combination, reclassification or similar transaction that proportionately decreases or increases the Common Stock during such Alternate Conversion Measuring Period.</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Alternate Conversion Floor Amount</w:t>
      </w:r>
      <w:r>
        <w:rPr>
          <w:rFonts w:ascii="Times New Roman;Times;Serif" w:hAnsi="Times New Roman;Times;Serif"/>
          <w:b w:val="false"/>
          <w:i w:val="false"/>
          <w:caps w:val="false"/>
          <w:smallCaps w:val="false"/>
          <w:sz w:val="20"/>
        </w:rPr>
        <w:t>” means an amount in cash, to be delivered by wire transfer of immediately available funds pursuant to wire instructions delivered to the Company by the Holder in writing, equal to the product obtained by multiplying (A) the VWAP on the day the Holder delivers the applicable Conversion Notice and (B) the difference obtained by subtracting (I) the number of shares of Common Stock delivered (or to be delivered) to the Holder on the applicable Share Delivery Deadline with respect to such Alternate Conversion from (II) the quotient obtain by dividing (x) the applicable Conversion Amount that the Holder has elected to be the subject of the applicable Alternate Conversion, by (y) the applicable Alternate Conversion Price without giving effect to clause (x) of such definition.</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Applicable Closing Date</w:t>
      </w:r>
      <w:r>
        <w:rPr>
          <w:rFonts w:ascii="Times New Roman;Times;Serif" w:hAnsi="Times New Roman;Times;Serif"/>
          <w:b w:val="false"/>
          <w:i w:val="false"/>
          <w:caps w:val="false"/>
          <w:smallCaps w:val="false"/>
          <w:sz w:val="20"/>
        </w:rPr>
        <w:t>” means the Closing Date (as defined in the Securities Purchase Agreement) that the Company initially issued this Note pursuant to the terms of the Securities Purchase Agreement.</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Subscription Date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ATM Sale</w:t>
      </w:r>
      <w:r>
        <w:rPr>
          <w:rFonts w:ascii="Times New Roman;Times;Serif" w:hAnsi="Times New Roman;Times;Serif"/>
          <w:b w:val="false"/>
          <w:i w:val="false"/>
          <w:caps w:val="false"/>
          <w:smallCaps w:val="false"/>
          <w:sz w:val="20"/>
        </w:rPr>
        <w:t>” means any sales of Common Stock by the Company pursuant to any at-the-market offering, equity line of credit or other similar transaction.</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Black Scholes Consideration Value</w:t>
      </w:r>
      <w:r>
        <w:rPr>
          <w:rFonts w:ascii="Times New Roman;Times;Serif" w:hAnsi="Times New Roman;Times;Serif"/>
          <w:b w:val="false"/>
          <w:i w:val="false"/>
          <w:caps w:val="false"/>
          <w:smallCaps w:val="false"/>
          <w:sz w:val="20"/>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Convertible Security or Adjustment Right (as the case may be), (ii) a risk- 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Convertible Security or Adjustment Right (as the case may be).</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2259" w:right="0" w:hanging="719"/>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 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(iii) pursuant to a migratory merger effected solely for the purpose of changing the jurisdiction of incorporation of the Company or any of its Subsidiaries, or (iv) any merger, acquisition or other similar transaction in which holders of the Company’s voting power immediately prior to such merger, acquisition or other similar transaction, directly or indirectly, are, in all material respects, the holders of the voting power of the surviving entity (or entities with the authority or voting power to elect the majority of the members of the board of directors (or their equivalent if other than a corporation) of such entity or entities) immediately after such merger, acquisition or other similar transaction.</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Change of Control Redemption Premium</w:t>
      </w:r>
      <w:r>
        <w:rPr>
          <w:rFonts w:ascii="Times New Roman;Times;Serif" w:hAnsi="Times New Roman;Times;Serif"/>
          <w:b w:val="false"/>
          <w:i w:val="false"/>
          <w:caps w:val="false"/>
          <w:smallCaps w:val="false"/>
          <w:sz w:val="20"/>
        </w:rPr>
        <w:t>” means 130%.</w:t>
      </w:r>
    </w:p>
    <w:p>
      <w:pPr>
        <w:pStyle w:val="TextBody"/>
        <w:bidi w:val="0"/>
        <w:spacing w:before="0" w:after="0"/>
        <w:ind w:left="2259" w:right="0" w:hanging="719"/>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splits, stock dividends, stock combinations, recapitalizations or other similar transactions during such period.</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class A common stock, $0.0001 par value per share, and (ii) any capital stock into which such common stock shall have been changed or any share capital resulting from a reclassification of such common stock.</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Conversion Floor Price Condition</w:t>
      </w:r>
      <w:r>
        <w:rPr>
          <w:rFonts w:ascii="Times New Roman;Times;Serif" w:hAnsi="Times New Roman;Times;Serif"/>
          <w:b w:val="false"/>
          <w:i w:val="false"/>
          <w:caps w:val="false"/>
          <w:smallCaps w:val="false"/>
          <w:sz w:val="20"/>
        </w:rPr>
        <w:t>” means that the relevant Alternate Conversion Price, Acceleration Conversion Price (including any Installment Conversion Price referred to therein), Reallocation Conversion Price or Installment Conversion Price, as applicable, is being determined based on clause (x) of such definitions.</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Current Subsidiary</w:t>
      </w:r>
      <w:r>
        <w:rPr>
          <w:rFonts w:ascii="Times New Roman;Times;Serif" w:hAnsi="Times New Roman;Times;Serif"/>
          <w:b w:val="false"/>
          <w:i w:val="false"/>
          <w:caps w:val="false"/>
          <w:smallCaps w:val="false"/>
          <w:sz w:val="20"/>
        </w:rPr>
        <w:t>” means any Person in which the Company on the Subscription Date, directly or indirectly, (i) owns any of the outstanding capital stock or holds any equity or similar interest of such Person or (ii) controls or operates all or any part of the business, operations or administration of such Person, and all of the foregoing, collectively, “</w:t>
      </w:r>
      <w:r>
        <w:rPr>
          <w:rFonts w:ascii="Times New Roman;Times;Serif" w:hAnsi="Times New Roman;Times;Serif"/>
          <w:b/>
          <w:i w:val="false"/>
          <w:caps w:val="false"/>
          <w:smallCaps w:val="false"/>
          <w:sz w:val="20"/>
        </w:rPr>
        <w:t>Current Subsidiaries</w:t>
      </w:r>
      <w:r>
        <w:rPr>
          <w:rFonts w:ascii="Times New Roman;Times;Serif" w:hAnsi="Times New Roman;Times;Serif"/>
          <w:b w:val="false"/>
          <w:i w:val="false"/>
          <w:caps w:val="false"/>
          <w:smallCaps w:val="false"/>
          <w:sz w:val="20"/>
        </w:rPr>
        <w:t>”.</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means, with respect to any determination of the aggregate amount of outstanding accrued and unpaid Interest hereunder, eighteen percent (18%) per annum.</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New York Stock Exchange, the NYSE American, the Nasdaq Capital Market, the Nasdaq Global Select Market or the Nasdaq Global Market.</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Equity Conditions</w:t>
      </w:r>
      <w:r>
        <w:rPr>
          <w:rFonts w:ascii="Times New Roman;Times;Serif" w:hAnsi="Times New Roman;Times;Serif"/>
          <w:b w:val="false"/>
          <w:i w:val="false"/>
          <w:caps w:val="false"/>
          <w:smallCaps w:val="false"/>
          <w:sz w:val="20"/>
        </w:rPr>
        <w:t>” means, with respect to an given date of determination: (i) on each day during the period beginning thirty calendar days prior to such applicable date of determination and ending on and including such applicable date of determination either (x) one or more Registration Statements filed pursuant to the Registration Rights Agreement shall be effective and the prospectus contained therein shall be available on such applicable date of determination (with, for the avoidance of doubt, any shares of Common Stock previously sold pursuant to such prospectus deemed unavailable) for the resale of all shares of Common Stock to be issued in connection with the event requiring this determination (or issuable upon conversion of the Conversion Amount being redeemed, as applicable, in the event requiring this determination at the Alternate Conversion Price then in effect (without regard to any limitations on conversion set forth herein)) (each, a “</w:t>
      </w:r>
      <w:r>
        <w:rPr>
          <w:rFonts w:ascii="Times New Roman;Times;Serif" w:hAnsi="Times New Roman;Times;Serif"/>
          <w:b/>
          <w:i w:val="false"/>
          <w:caps w:val="false"/>
          <w:smallCaps w:val="false"/>
          <w:sz w:val="20"/>
        </w:rPr>
        <w:t>Required Minimum Securities Amount</w:t>
      </w:r>
      <w:r>
        <w:rPr>
          <w:rFonts w:ascii="Times New Roman;Times;Serif" w:hAnsi="Times New Roman;Times;Serif"/>
          <w:b w:val="false"/>
          <w:i w:val="false"/>
          <w:caps w:val="false"/>
          <w:smallCaps w:val="false"/>
          <w:sz w:val="20"/>
        </w:rPr>
        <w:t>”), in each case, in accordance with the terms of the Registration Rights Agreement and there shall not have been during such period any Grace Periods (as defined in the Registration Rights Agreement) or (y) all Registrable Securities shall be eligible for sale pursuant to Rule 144 (as defined in the Securities Purchase Agreement) without the need for registration under any applicable federal or state securities laws (in each case, disregarding any limitation on conversion of the Notes, other issuance of securities with respect to the Notes and exercise of the Warrants) and no Current Public Information Failure (as defined in the Registration Rights Agreement) exists or is continuing; (ii) on each day during the period beginning thirty calendar days prior to the applicable date of determination and ending on and including the applicable date of determination (the “</w:t>
      </w:r>
      <w:r>
        <w:rPr>
          <w:rFonts w:ascii="Times New Roman;Times;Serif" w:hAnsi="Times New Roman;Times;Serif"/>
          <w:b/>
          <w:i w:val="false"/>
          <w:caps w:val="false"/>
          <w:smallCaps w:val="false"/>
          <w:sz w:val="20"/>
        </w:rPr>
        <w:t>Equity Conditions Measuring Period</w:t>
      </w:r>
      <w:r>
        <w:rPr>
          <w:rFonts w:ascii="Times New Roman;Times;Serif" w:hAnsi="Times New Roman;Times;Serif"/>
          <w:b w:val="false"/>
          <w:i w:val="false"/>
          <w:caps w:val="false"/>
          <w:smallCaps w:val="false"/>
          <w:sz w:val="20"/>
        </w:rPr>
        <w:t>”), the Common Stock (including all Registrable Securities) is listed or 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Common Stock is then listed or designated for quotation (as applicable); (iii) during the Equity Conditions Measuring Period, the Company shall have delivered all shares of Common Stock issuable upon conversion of this Note on a timely basis as set forth in Section 3 hereof and all other shares of capital stock required to be delivered by the Company on a timely basis as set forth in the other Transaction Documents; (iv) any shares of Common Stock to be issued in connection with the event requiring determination (or issuable upon conversion of the Conversion Amount being redeemed in the event requiring this determination) may be issued in full without violating Section 3(d) hereof; (v) any shares of Common Stock to be issued in connection with the event requiring determination (or issuable upon conversion of the Conversion Amount being redeemed in the event requiring this determination (without regards to any limitations on conversion set forth herein)) may be issued in full without violating the rules or regulations of the Eligible Market on which the Common Stock is then listed or designated for quotation (as applicable); (vi) on each day during the Equity Conditions Measuring Period, no public announcement of a pending, proposed or intended Fundamental Transaction shall have occurred which has not been abandoned, terminated or consummated; (vii) the Company shall have no knowledge of any fact that would reasonably be expected to cause (1) any Registration Statement required to be filed pursuant to the Registration Rights Agreement to not be effective or the prospectus contained therein to not be available for the resale of the applicable Required Minimum Securities Amount of Registrable Securities in accordance with the terms of the Registration Rights Agreement or (2) any Registrable Securities to not be eligible for sale pursuant to Rule 144 without the need for registration under any applicable federal or state securities laws (in each case, disregarding any limitation on conversion of the Notes, other issuance of securities with respect to the Notes and exercise of the Warrants) and no Current Public Information Failure exists or is continuing; (viii) the Holder shall not be in (and no other holder of Notes shall be in) possession of any material, non-public information provided to any of them by the Company, any of its Subsidiaries or any of their respective affiliates, employees, officers, representatives, agents or the like; (ix)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including, without limitation, the Company shall not have failed to timely make any payment pursuant to any Transaction Document; (x) there shall not have occurred any Volume Failure or Price Failure as of such applicable date of determination (and, with respect to any Additional Closing, no Volume Closing Failure shall exist); (xi) on the applicable date of determination (A) no Authorized Share Failure shall exist or be continuing and the applicable Required Minimum Securities Amount of shares of Common Stock are available under the certificate of incorporation of the Company and reserved by the Company to be issued pursuant to the Notes and (B) all shares of Common Stock to be issued in connection with the event requiring this determination (or issuable upon conversion of the Conversion Amount being redeemed in the event requiring this determination (without regards to any limitations on conversion set forth herein)) may be issued in full without resulting in an Authorized Share Failure; (xii) on each day during the Equity Conditions Measuring Period, there shall not have occurred and there shall not exist an Event of Default or an event that with the passage of time or giving of notice would constitute an Event of Default; (xiii) no bone fide dispute shall exist, by and between any of holder of Notes or Warrants, the Company, the Principal Market (or such applicable Eligible Market in which the Common Stock of the Company is then principally trading) and/or FINRA with respect to any term or provision of any Note or any other Transaction Document and (xiv) the shares of Common Stock issuable pursuant the event requiring the satisfaction of the Equity Conditions are duly authorized and listed and eligible for trading without restriction on an Eligible Market.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Equity Conditions Failure</w:t>
      </w:r>
      <w:r>
        <w:rPr>
          <w:rFonts w:ascii="Times New Roman;Times;Serif" w:hAnsi="Times New Roman;Times;Serif"/>
          <w:b w:val="false"/>
          <w:i w:val="false"/>
          <w:caps w:val="false"/>
          <w:smallCaps w:val="false"/>
          <w:sz w:val="20"/>
        </w:rPr>
        <w:t>” means that on any day during the period commencing twenty (20) Trading Days prior to the applicable date of determination, the Equity Conditions have not been satisfied (or waived in writing by the Holder).</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Event Market Price</w:t>
      </w:r>
      <w:r>
        <w:rPr>
          <w:rFonts w:ascii="Times New Roman;Times;Serif" w:hAnsi="Times New Roman;Times;Serif"/>
          <w:b w:val="false"/>
          <w:i w:val="false"/>
          <w:caps w:val="false"/>
          <w:smallCaps w:val="false"/>
          <w:sz w:val="20"/>
        </w:rPr>
        <w:t>” means, with respect to any Stock Combination Event Date, the quotient determined by dividing (x) the sum of the VWAP of the Common Stock for each of the five (5) Trading Days with the lowest VWAP of the Common Stock during the fifteen (15) consecutive Trading Day period ending and including the Trading Day immediately preceding the sixteenth (16th) Trading Day after such Stock Combination Event Date, divided by (y) five (5).</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(i) shares of Common Stock or standard options to purchase Common Stock issued to directors, officers or employees of the Company for services rendered to the Company in their capacity as such pursuant to an Approved Stock Plan (as defined above), provided that (A) all such issuances (taking into account the shares of Common Stock issuable upon exercise of such options) after the Subscription Date pursuant to this clause (i) do not, in the aggregate, exceed more than 5% of the Common Stock issued and outstanding immediately prior to the Subscription Date and (B)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(ii) shares of Common Stock issued upon the conversion or exercise of Convertible Securities or Options (other than standard options to purchase Common Stock issued pursuant to an Approved Stock Plan that are covered by clause (i) above) issued prior to the Subscription Date, provided that the conversion price of any such Convertible Securities (other than standard options to purchase Common Stock issued pursuant to an Approved Stock Plan that are covered by clause (i) above) is not lowered, none of such Convertible Securities or Options (other than standard options to purchase Common Stock issued pursuant to an Approved Stock Plan that are covered by clause (i) above) are amended to increase the number of shares issuable thereunder and none of the terms or conditions of any such Convertible Securities or Options (other than standard options to purchase Common Stock issued pursuant to an Approved Stock Plan that are covered by clause (i) above) are otherwise materially changed in any manner that adversely affects any of the Buyers; (iii) the shares of Common Stock issuable upon conversion of the Notes or otherwise pursuant to the terms of the Notes; provided, that the terms of the Notes are not amended, modified or changed on or after the Subscription Date (other than antidilution adjustments pursuant to the terms thereof in effect as of the Subscription Date), (iv) the shares of Common Stock issuable upon exercise of the Warrants; provided, that the terms of the Warrants are not amended, modified or changed on or after the Subscription Date (other than antidilution adjustments pursuant to the terms thereof in effect as of the Subscription Date), and (v) shares of Common Stock issued or issuable pursuant to a Permitted ATM.</w:t>
      </w:r>
    </w:p>
    <w:p>
      <w:pPr>
        <w:pStyle w:val="TextBody"/>
        <w:bidi w:val="0"/>
        <w:spacing w:before="0" w:after="0"/>
        <w:ind w:left="8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Floor Price</w:t>
      </w:r>
      <w:r>
        <w:rPr>
          <w:rFonts w:ascii="Times New Roman;Times;Serif" w:hAnsi="Times New Roman;Times;Serif"/>
          <w:b w:val="false"/>
          <w:i w:val="false"/>
          <w:caps w:val="false"/>
          <w:smallCaps w:val="false"/>
          <w:sz w:val="20"/>
        </w:rPr>
        <w:t>” means $0.35 (as adjusted for stock splits, stock dividends, stock combinations, recapitalizations and similar events) provided that if on the six month anniversary of the Issuance Date (the “</w:t>
      </w:r>
      <w:r>
        <w:rPr>
          <w:rFonts w:ascii="Times New Roman;Times;Serif" w:hAnsi="Times New Roman;Times;Serif"/>
          <w:b/>
          <w:i w:val="false"/>
          <w:caps w:val="false"/>
          <w:smallCaps w:val="false"/>
          <w:sz w:val="20"/>
        </w:rPr>
        <w:t>Adjustment Date</w:t>
      </w:r>
      <w:r>
        <w:rPr>
          <w:rFonts w:ascii="Times New Roman;Times;Serif" w:hAnsi="Times New Roman;Times;Serif"/>
          <w:b w:val="false"/>
          <w:i w:val="false"/>
          <w:caps w:val="false"/>
          <w:smallCaps w:val="false"/>
          <w:sz w:val="20"/>
        </w:rPr>
        <w:t>”), the Floor Price then in effect is higher than the Adjusted Floor Price with respect to the Adjustment Date, on the Adjustment Date the Floor Price shall be automatically lowered to such applicable Adjusted Floor Price.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in any transaction or series or related transactions,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Note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United States generally accepted accounting principles, consistently applied.</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1934 Act and as defined in Rule 13d-5 thereunder.</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val="false"/>
          <w:caps w:val="false"/>
          <w:smallCaps w:val="false"/>
          <w:sz w:val="20"/>
        </w:rPr>
        <w:t>Holder Pro Rata Amount</w:t>
      </w:r>
      <w:r>
        <w:rPr>
          <w:rFonts w:ascii="Times New Roman;Times;Serif" w:hAnsi="Times New Roman;Times;Serif"/>
          <w:b w:val="false"/>
          <w:i w:val="false"/>
          <w:caps w:val="false"/>
          <w:smallCaps w:val="false"/>
          <w:sz w:val="20"/>
        </w:rPr>
        <w:t>” means a fraction (i) the numerator of which is the original Principal amount of this Note on the Applicable Closing Date and (ii) the denominator of which is the aggregate original principal amount of all Notes issued to the initial purchasers pursuant to the Securities Purchase Agreement on the Applicable Closing Date.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shall have the meaning ascribed to such term in the Securities Purchase Agreement.</w:t>
      </w:r>
    </w:p>
    <w:p>
      <w:pPr>
        <w:pStyle w:val="TextBody"/>
        <w:bidi w:val="0"/>
        <w:spacing w:before="0" w:after="0"/>
        <w:ind w:left="8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val="false"/>
          <w:caps w:val="false"/>
          <w:smallCaps w:val="false"/>
          <w:sz w:val="20"/>
        </w:rPr>
        <w:t>Initial Closing Date</w:t>
      </w:r>
      <w:r>
        <w:rPr>
          <w:rFonts w:ascii="Times New Roman;Times;Serif" w:hAnsi="Times New Roman;Times;Serif"/>
          <w:b w:val="false"/>
          <w:i w:val="false"/>
          <w:caps w:val="false"/>
          <w:smallCaps w:val="false"/>
          <w:sz w:val="20"/>
        </w:rPr>
        <w:t>” shall have the meaning set forth in the Securities Purchase Agreement, which date is the date the Company initially issued Notes pursuant to the terms of the Securities Purchase Agreement.</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val="false"/>
          <w:caps w:val="false"/>
          <w:smallCaps w:val="false"/>
          <w:sz w:val="20"/>
        </w:rPr>
        <w:t>Installment Amount</w:t>
      </w:r>
      <w:r>
        <w:rPr>
          <w:rFonts w:ascii="Times New Roman;Times;Serif" w:hAnsi="Times New Roman;Times;Serif"/>
          <w:b w:val="false"/>
          <w:i w:val="false"/>
          <w:caps w:val="false"/>
          <w:smallCaps w:val="false"/>
          <w:sz w:val="20"/>
        </w:rPr>
        <w:t>” means the sum of (A) (i) with respect to any Installment Date other than the Maturity Date, the lesser of (x) the quotient of (I) the Principal amount outstanding under this Note as of the initial Installment Date, divided by (II) the number of Installment Dates occurring hereunder (as determined as of the initial Installment Date assuming no Deferrals, Accelerations, redemptions or conversions hereunder prior to the Maturity Date) and (y) the Principal amount then outstanding under this Note as of such Installment Date, and (ii) with respect to the Installment Date that is the Maturity Date, the Principal amount then outstanding under this Note as of such Installment Date (in each case, as any such Installment Amount may be reduced pursuant to the terms of this Note, whether upon conversion, redemption or Deferral), (B) any Deferral Amount deferred pursuant to Section 8(d) and included in such Installment Amount in accordance therewith, (C) any Acceleration Amount accelerated pursuant to Section 8(e) and included in such Installment Amount in accordance therewith and (D) in each case of clauses (A) through (C) above, the sum of any accrued and unpaid Interest as of such Installment Date under this Note, if any, the applicable Make-Whole Amount with respect to such Installment Amount, if any, and accrued and unpaid Late Charges, if any, under this Note as of such Installment Date. In the event the Holder shall sell or otherwise transfer any portion of this Note, the transferee shall be allocated a pro rata portion of the each unpaid Installment Amount hereunder.</w:t>
      </w:r>
    </w:p>
    <w:p>
      <w:pPr>
        <w:pStyle w:val="TextBody"/>
        <w:bidi w:val="0"/>
        <w:spacing w:before="0" w:after="0"/>
        <w:ind w:left="8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val="false"/>
          <w:caps w:val="false"/>
          <w:smallCaps w:val="false"/>
          <w:sz w:val="20"/>
        </w:rPr>
        <w:t>Installment Conversion Floor Amount</w:t>
      </w:r>
      <w:r>
        <w:rPr>
          <w:rFonts w:ascii="Times New Roman;Times;Serif" w:hAnsi="Times New Roman;Times;Serif"/>
          <w:b w:val="false"/>
          <w:i w:val="false"/>
          <w:caps w:val="false"/>
          <w:smallCaps w:val="false"/>
          <w:sz w:val="20"/>
        </w:rPr>
        <w:t>” means an amount in cash, to be delivered by wire transfer of immediately available funds pursuant to wire instructions delivered to the Company by the Holder in writing, equal to the product obtained by multiplying (A) the higher of (I) the highest price that the Common Stock trades at on the Trading Day immediately preceding the relevant Installment Date and (II) the applicable Installment Conversion Price and (B) the difference obtained by subtracting (I) the number of shares of Common Stock delivered (or to be delivered) to the Holder on the applicable Share Delivery Deadline with respect to such Installment Conversion from (II) the quotient obtained by dividing (x) such portion of the Conversion Amount that is to be converted into shares of Common Stock in such applicable Installment Conversion, by (y) the applicable Installment Conversion Price without giving effect to clause (x) of such definition.</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rPr>
        <w:t>Installment Conversion Price</w:t>
      </w:r>
      <w:r>
        <w:rPr>
          <w:rFonts w:ascii="Times New Roman;Times;Serif" w:hAnsi="Times New Roman;Times;Serif"/>
          <w:b w:val="false"/>
          <w:i w:val="false"/>
          <w:caps w:val="false"/>
          <w:smallCaps w:val="false"/>
          <w:sz w:val="20"/>
        </w:rPr>
        <w:t>” means, with respect to a particular date of determination, the lower of (i) the Conversion Price then in effect, and (ii) the greater of (x) the Floor Price and (y) 90% of the lowest VWAP of the Common Stock of any Trading Day during the five (5) consecutive Trading Day period ending on, and including, the Trading Day immediately prior to the applicable Installment Date.</w:t>
      </w:r>
    </w:p>
    <w:p>
      <w:pPr>
        <w:pStyle w:val="TextBody"/>
        <w:bidi w:val="0"/>
        <w:spacing w:before="0" w:after="0"/>
        <w:ind w:left="8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val="false"/>
          <w:caps w:val="false"/>
          <w:smallCaps w:val="false"/>
          <w:sz w:val="20"/>
        </w:rPr>
        <w:t>Installment Date</w:t>
      </w:r>
      <w:r>
        <w:rPr>
          <w:rFonts w:ascii="Times New Roman;Times;Serif" w:hAnsi="Times New Roman;Times;Serif"/>
          <w:b w:val="false"/>
          <w:i w:val="false"/>
          <w:caps w:val="false"/>
          <w:smallCaps w:val="false"/>
          <w:sz w:val="20"/>
        </w:rPr>
        <w:t>” means (i) October 1, 2026, (iii) thereafter, the first Trading Day of the calendar month immediately following the previous Installment Date until the Maturity Date, and (iv) the Maturity Date.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Interest Date</w:t>
      </w:r>
      <w:r>
        <w:rPr>
          <w:rFonts w:ascii="Times New Roman;Times;Serif" w:hAnsi="Times New Roman;Times;Serif"/>
          <w:b w:val="false"/>
          <w:i w:val="false"/>
          <w:caps w:val="false"/>
          <w:smallCaps w:val="false"/>
          <w:sz w:val="20"/>
        </w:rPr>
        <w:t>” means, with respect to any given calendar month, (x) if prior to the initial Installment Date or after the Maturity Date, the first Trading Day of such calendar month or (y) if on or after the initial Installment Date, but on or prior to the Maturity Date, such Installment Date, if any, in such calendar month.</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val="false"/>
          <w:caps w:val="false"/>
          <w:smallCaps w:val="false"/>
          <w:sz w:val="20"/>
        </w:rPr>
        <w:t>Interest Rate</w:t>
      </w:r>
      <w:r>
        <w:rPr>
          <w:rFonts w:ascii="Times New Roman;Times;Serif" w:hAnsi="Times New Roman;Times;Serif"/>
          <w:b w:val="false"/>
          <w:i w:val="false"/>
          <w:caps w:val="false"/>
          <w:smallCaps w:val="false"/>
          <w:sz w:val="20"/>
        </w:rPr>
        <w:t>” means ten percent (10%) per annum, as may be adjusted from time to time in accordance with Section 2.</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val="false"/>
          <w:caps w:val="false"/>
          <w:smallCaps w:val="false"/>
          <w:sz w:val="20"/>
        </w:rPr>
        <w:t>Make-Whole Amount</w:t>
      </w:r>
      <w:r>
        <w:rPr>
          <w:rFonts w:ascii="Times New Roman;Times;Serif" w:hAnsi="Times New Roman;Times;Serif"/>
          <w:b w:val="false"/>
          <w:i w:val="false"/>
          <w:caps w:val="false"/>
          <w:smallCaps w:val="false"/>
          <w:sz w:val="20"/>
        </w:rPr>
        <w:t>” means, as of any given date and as applicable, in connection with any conversion, redemption or other repayment hereunder, an amount equal to the amount of additional Interest that would accrue under this Note at the Interest Rate then in effect assuming for calculation purposes that the outstanding Principal of this Note as of the Applicable Closing Date remained outstanding through and including the Maturity Date.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shall mean August 12, 2027; provided, however, the Maturity Date may be extended at the option of the Holder (i) 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in the event that a Fundamental Transaction is publicly announced or a Change of Control Notice is delivered prior to the Maturity Date,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val="false"/>
          <w:caps w:val="false"/>
          <w:smallCaps w:val="false"/>
          <w:sz w:val="20"/>
        </w:rPr>
        <w:t>New Subsidiary</w:t>
      </w:r>
      <w:r>
        <w:rPr>
          <w:rFonts w:ascii="Times New Roman;Times;Serif" w:hAnsi="Times New Roman;Times;Serif"/>
          <w:b w:val="false"/>
          <w:i w:val="false"/>
          <w:caps w:val="false"/>
          <w:smallCaps w:val="false"/>
          <w:sz w:val="20"/>
        </w:rPr>
        <w:t>” means, as of any date of determination, any Person in which the Company after the Subscription Date, directly or indirectly, (i) owns or acquires any of the outstanding capital stock or holds any equity or similar interest of such Person or (ii) controls or operates all or any part of the business, operations or administration of such Person, and all of the foregoing, collectively, “</w:t>
      </w:r>
      <w:r>
        <w:rPr>
          <w:rFonts w:ascii="Times New Roman;Times;Serif" w:hAnsi="Times New Roman;Times;Serif"/>
          <w:b/>
          <w:i w:val="false"/>
          <w:caps w:val="false"/>
          <w:smallCaps w:val="false"/>
          <w:sz w:val="20"/>
        </w:rPr>
        <w:t>New Subsidiaries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i w:val="false"/>
          <w:caps w:val="false"/>
          <w:smallCaps w:val="false"/>
          <w:sz w:val="20"/>
        </w:rPr>
        <w:t>Permitted Indebtedness</w:t>
      </w:r>
      <w:r>
        <w:rPr>
          <w:rFonts w:ascii="Times New Roman;Times;Serif" w:hAnsi="Times New Roman;Times;Serif"/>
          <w:b w:val="false"/>
          <w:i w:val="false"/>
          <w:caps w:val="false"/>
          <w:smallCaps w:val="false"/>
          <w:sz w:val="20"/>
        </w:rPr>
        <w:t>” means (i) Indebtedness evidenced by this Note and the Other Notes, (ii) Indebtedness set forth on Schedule 3(s) to the Securities Purchase Agreement, as in effect as of the Subscription Date and (iii) Indebtedness secured by Permitted Liens or unsecured but as described in clauses (iv) and (v) of the definition of Permitted Liens; and (iv) Permitted Senior Indebtedness.</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$500,000,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Liens in favor of customs and revenue authorities arising as a matter of law to secure payments of custom duties in connection with the importation of goods, (vii) Liens arising from judgments, decrees or attachments in circumstances not constituting an Event of Default under Section 4(a)(xii) and (viii) Liens with respect to Permitted Senior Indebtedness.</w:t>
      </w:r>
    </w:p>
    <w:p>
      <w:pPr>
        <w:pStyle w:val="TextBody"/>
        <w:bidi w:val="0"/>
        <w:spacing w:before="0" w:after="0"/>
        <w:ind w:left="8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i w:val="false"/>
          <w:caps w:val="false"/>
          <w:smallCaps w:val="false"/>
          <w:sz w:val="20"/>
        </w:rPr>
        <w:t>Permitted Senior Indebtedness</w:t>
      </w:r>
      <w:r>
        <w:rPr>
          <w:rFonts w:ascii="Times New Roman;Times;Serif" w:hAnsi="Times New Roman;Times;Serif"/>
          <w:b w:val="false"/>
          <w:i w:val="false"/>
          <w:caps w:val="false"/>
          <w:smallCaps w:val="false"/>
          <w:sz w:val="20"/>
        </w:rPr>
        <w:t xml:space="preserve">” means the Loan Agreement, dated February 19, 2021, between the Company and CP BF Lending, LLC, with such amendments as in effect as of the Subscription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aggregate outstanding principal amount of such Indebtedness permitted hereunder does not at any time exceed $8,758,775.</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or a government or any department or agency thereof.</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w:t>
      </w:r>
      <w:r>
        <w:rPr>
          <w:rFonts w:ascii="Times New Roman;Times;Serif" w:hAnsi="Times New Roman;Times;Serif"/>
          <w:b/>
          <w:i w:val="false"/>
          <w:caps w:val="false"/>
          <w:smallCaps w:val="false"/>
          <w:sz w:val="20"/>
        </w:rPr>
        <w:t>Price Failure</w:t>
      </w:r>
      <w:r>
        <w:rPr>
          <w:rFonts w:ascii="Times New Roman;Times;Serif" w:hAnsi="Times New Roman;Times;Serif"/>
          <w:b w:val="false"/>
          <w:i w:val="false"/>
          <w:caps w:val="false"/>
          <w:smallCaps w:val="false"/>
          <w:sz w:val="20"/>
        </w:rPr>
        <w:t>” means, with respect to a particular date of determination, the VWAP of the Common Stock on any Trading Day during the twenty (20) Trading Day period ending on the Trading Day immediately preceding such date of determination fails to exceed $$0.50 (as adjusted for stock splits, stock dividends, stock combinations, recapitalizations or other similar transactions occurring after the Subscription Date). All such determinations to be appropriately adjusted for any stock splits, stock dividends, stock combinations, recapitalizations or other similar transactions during any such measuring period.</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154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 “</w:t>
      </w:r>
      <w:r>
        <w:rPr>
          <w:rFonts w:ascii="Times New Roman;Times;Serif" w:hAnsi="Times New Roman;Times;Serif"/>
          <w:b/>
          <w:i w:val="false"/>
          <w:caps w:val="false"/>
          <w:smallCaps w:val="false"/>
          <w:sz w:val="20"/>
        </w:rPr>
        <w:t>Reallocation Conversion Price</w:t>
      </w:r>
      <w:r>
        <w:rPr>
          <w:rFonts w:ascii="Times New Roman;Times;Serif" w:hAnsi="Times New Roman;Times;Serif"/>
          <w:b w:val="false"/>
          <w:i w:val="false"/>
          <w:caps w:val="false"/>
          <w:smallCaps w:val="false"/>
          <w:sz w:val="20"/>
        </w:rPr>
        <w:t>” means, with respect to a particular date of determination, the lower of (i) the Conversion Price then in effect, and (ii) the lower of (I) the Installment Conversion Price for such applicable Installment Period, and (II) the greater of (x) the Floor Price and (y) 90% of the lowest VWAP of the Common Stock of any Trading Day during the five (5) Trading Day period ending on, and including, the Trading Day immediately prior to the applicable Reallocation Date. All such determinations to be appropriately adjusted for any stock split, stock dividend, stock combination or other similar transaction during any such measuring period.</w:t>
      </w:r>
    </w:p>
    <w:p>
      <w:pPr>
        <w:pStyle w:val="TextBody"/>
        <w:bidi w:val="0"/>
        <w:spacing w:before="0" w:after="0"/>
        <w:ind w:left="820" w:right="0" w:hanging="0"/>
        <w:jc w:val="both"/>
        <w:rPr>
          <w:caps w:val="false"/>
          <w:smallCaps w:val="false"/>
        </w:rPr>
      </w:pPr>
      <w:r>
        <w:rPr>
          <w:caps w:val="false"/>
          <w:smallCaps w:val="false"/>
        </w:rPr>
        <w:t> </w:t>
      </w:r>
    </w:p>
    <w:p>
      <w:pPr>
        <w:pStyle w:val="TextBody"/>
        <w:bidi w:val="0"/>
        <w:spacing w:before="0" w:after="0"/>
        <w:ind w:left="8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 “</w:t>
      </w:r>
      <w:r>
        <w:rPr>
          <w:rFonts w:ascii="Times New Roman;Times;Serif" w:hAnsi="Times New Roman;Times;Serif"/>
          <w:b/>
          <w:i w:val="false"/>
          <w:caps w:val="false"/>
          <w:smallCaps w:val="false"/>
          <w:sz w:val="20"/>
        </w:rPr>
        <w:t>Reallocation Floor Amount</w:t>
      </w:r>
      <w:r>
        <w:rPr>
          <w:rFonts w:ascii="Times New Roman;Times;Serif" w:hAnsi="Times New Roman;Times;Serif"/>
          <w:b w:val="false"/>
          <w:i w:val="false"/>
          <w:caps w:val="false"/>
          <w:smallCaps w:val="false"/>
          <w:sz w:val="20"/>
        </w:rPr>
        <w:t>” means an amount in cash, to be delivered by wire transfer of immediately available funds pursuant to wire instructions delivered to the Company by the Holder in writing, equal to the product obtained by multiplying (A) the higher of (I) the highest price that the Common Stock trades at on the Trading Day immediately preceding the relevant Reallocation Date with respect to such Reallocation and (II) the applicable Reallocation Conversion Price of such Reallocation Date and (B) the difference obtained by subtracting (I) the number of shares of Common Stock delivered (or to be delivered) to the Holder on the applicable Share Delivery Deadline with respect to such Reallocation from (II) the quotient obtained by dividing (x) the applicable Reallocation Amount that the Holder has elected to be the subject of the applicable Reallocation, by (y) the applicable Reallocation Conversion Price of such Reallocation Date without giving effect to clause (x) of such definition or clause (x) of the definition of the Installment Conversion Price, as applicable.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8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 “</w:t>
      </w:r>
      <w:r>
        <w:rPr>
          <w:rFonts w:ascii="Times New Roman;Times;Serif" w:hAnsi="Times New Roman;Times;Serif"/>
          <w:b/>
          <w:i w:val="false"/>
          <w:caps w:val="false"/>
          <w:smallCaps w:val="false"/>
          <w:sz w:val="20"/>
        </w:rPr>
        <w:t>Redemption Notices</w:t>
      </w:r>
      <w:r>
        <w:rPr>
          <w:rFonts w:ascii="Times New Roman;Times;Serif" w:hAnsi="Times New Roman;Times;Serif"/>
          <w:b w:val="false"/>
          <w:i w:val="false"/>
          <w:caps w:val="false"/>
          <w:smallCaps w:val="false"/>
          <w:sz w:val="20"/>
        </w:rPr>
        <w:t>” means, collectively, the Event of Default Redemption Notices, the Subsequent Placement Optional Redemption Notices, the Installment Notices with respect to any Installment Redemption, Company Optional Redemption Notices, and the Change of Control Redemption Notices, and each of the foregoing, individually,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 “</w:t>
      </w:r>
      <w:r>
        <w:rPr>
          <w:rFonts w:ascii="Times New Roman;Times;Serif" w:hAnsi="Times New Roman;Times;Serif"/>
          <w:b/>
          <w:i w:val="false"/>
          <w:caps w:val="false"/>
          <w:smallCaps w:val="false"/>
          <w:sz w:val="20"/>
        </w:rPr>
        <w:t>Redemption Premium</w:t>
      </w:r>
      <w:r>
        <w:rPr>
          <w:rFonts w:ascii="Times New Roman;Times;Serif" w:hAnsi="Times New Roman;Times;Serif"/>
          <w:b w:val="false"/>
          <w:i w:val="false"/>
          <w:caps w:val="false"/>
          <w:smallCaps w:val="false"/>
          <w:sz w:val="20"/>
        </w:rPr>
        <w:t>” means 115%.</w:t>
      </w:r>
    </w:p>
    <w:p>
      <w:pPr>
        <w:pStyle w:val="TextBody"/>
        <w:bidi w:val="0"/>
        <w:spacing w:before="0" w:after="0"/>
        <w:ind w:left="154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 “</w:t>
      </w:r>
      <w:r>
        <w:rPr>
          <w:rFonts w:ascii="Times New Roman;Times;Serif" w:hAnsi="Times New Roman;Times;Serif"/>
          <w:b/>
          <w:i w:val="false"/>
          <w:caps w:val="false"/>
          <w:smallCaps w:val="false"/>
          <w:sz w:val="20"/>
        </w:rPr>
        <w:t>Redemption Prices</w:t>
      </w:r>
      <w:r>
        <w:rPr>
          <w:rFonts w:ascii="Times New Roman;Times;Serif" w:hAnsi="Times New Roman;Times;Serif"/>
          <w:b w:val="false"/>
          <w:i w:val="false"/>
          <w:caps w:val="false"/>
          <w:smallCaps w:val="false"/>
          <w:sz w:val="20"/>
        </w:rPr>
        <w:t>” means, collectively, Event of Default Redemption Prices, the Change of Control Redemption Prices, the Subsequent Placement Optional Redemption Prices, the Installment Redemption Prices and the Company Optional Redemption Prices, and each of the foregoing, individually, a “</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means that certain registration rights agreement, dated as of the Initial Closing Date, by and among the Company and the initial holders of the Notes relating to, among other things, the registration of the resale of the Common Stock issuable upon conversion of the Notes or otherwise pursuant to the terms of the Notes and exercise of the Warrants, as may be amended from time to time.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the successor thereto.</w:t>
      </w:r>
    </w:p>
    <w:p>
      <w:pPr>
        <w:pStyle w:val="TextBody"/>
        <w:bidi w:val="0"/>
        <w:spacing w:before="0" w:after="0"/>
        <w:ind w:left="8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(jjj)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means that certain securities purchase agreement, dated as of the Subscription Date, by and among the Company and the initial holders of the Notes pursuant to which the Company issued the Notes, as may be amended from time to time.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(kkk) “</w:t>
      </w:r>
      <w:r>
        <w:rPr>
          <w:rFonts w:ascii="Times New Roman;Times;Serif" w:hAnsi="Times New Roman;Times;Serif"/>
          <w:b/>
          <w:i w:val="false"/>
          <w:caps w:val="false"/>
          <w:smallCaps w:val="false"/>
          <w:sz w:val="20"/>
        </w:rPr>
        <w:t>Security Agreement</w:t>
      </w:r>
      <w:r>
        <w:rPr>
          <w:rFonts w:ascii="Times New Roman;Times;Serif" w:hAnsi="Times New Roman;Times;Serif"/>
          <w:b w:val="false"/>
          <w:i w:val="false"/>
          <w:caps w:val="false"/>
          <w:smallCaps w:val="false"/>
          <w:sz w:val="20"/>
        </w:rPr>
        <w:t>” shall have the meaning as set forth in the Securities Purchase Agreement.</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(lll) “</w:t>
      </w:r>
      <w:r>
        <w:rPr>
          <w:rFonts w:ascii="Times New Roman;Times;Serif" w:hAnsi="Times New Roman;Times;Serif"/>
          <w:b/>
          <w:i w:val="false"/>
          <w:caps w:val="false"/>
          <w:smallCaps w:val="false"/>
          <w:sz w:val="20"/>
        </w:rPr>
        <w:t>Subscription Date</w:t>
      </w:r>
      <w:r>
        <w:rPr>
          <w:rFonts w:ascii="Times New Roman;Times;Serif" w:hAnsi="Times New Roman;Times;Serif"/>
          <w:b w:val="false"/>
          <w:i w:val="false"/>
          <w:caps w:val="false"/>
          <w:smallCaps w:val="false"/>
          <w:sz w:val="20"/>
        </w:rPr>
        <w:t>” means June 27, 2025.</w:t>
      </w:r>
    </w:p>
    <w:p>
      <w:pPr>
        <w:pStyle w:val="TextBody"/>
        <w:bidi w:val="0"/>
        <w:spacing w:before="0" w:after="0"/>
        <w:ind w:left="154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(mmm)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means, as of any date of determination, collectively, all Current Subsidiaries and all New Subsidiaries, and each of the foregoing, individually, a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(nnn)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(ppp)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New York Stock Exchange (or any successor thereto) is open for trading of securities.</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(qqq) “</w:t>
      </w:r>
      <w:r>
        <w:rPr>
          <w:rFonts w:ascii="Times New Roman;Times;Serif" w:hAnsi="Times New Roman;Times;Serif"/>
          <w:b/>
          <w:i w:val="false"/>
          <w:caps w:val="false"/>
          <w:smallCaps w:val="false"/>
          <w:sz w:val="20"/>
        </w:rPr>
        <w:t>Volume Failure</w:t>
      </w:r>
      <w:r>
        <w:rPr>
          <w:rFonts w:ascii="Times New Roman;Times;Serif" w:hAnsi="Times New Roman;Times;Serif"/>
          <w:b w:val="false"/>
          <w:i w:val="false"/>
          <w:caps w:val="false"/>
          <w:smallCaps w:val="false"/>
          <w:sz w:val="20"/>
        </w:rPr>
        <w:t>” means, with respect to a particular date of determination, the aggregate daily dollar trading volume (as reported on Bloomberg) of the Common Stock on the Principal Market on any Trading Day during the twenty (20) Trading Day period ending on the Trading Day immediately preceding such date of determination, is less than $300,000. Notwithstanding the foregoing, at any time, and for any period of time, as applicable, the Holder may lower any dollar threshold specified in this definition to any lower dollar threshold, in each case, as specified by the Holder in a written notice to the Company.</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(rrr) “</w:t>
      </w:r>
      <w:r>
        <w:rPr>
          <w:rFonts w:ascii="Times New Roman;Times;Serif" w:hAnsi="Times New Roman;Times;Serif"/>
          <w:b/>
          <w:i w:val="false"/>
          <w:caps w:val="false"/>
          <w:smallCaps w:val="false"/>
          <w:sz w:val="20"/>
        </w:rPr>
        <w:t>Volume Closing Failure</w:t>
      </w:r>
      <w:r>
        <w:rPr>
          <w:rFonts w:ascii="Times New Roman;Times;Serif" w:hAnsi="Times New Roman;Times;Serif"/>
          <w:b w:val="false"/>
          <w:i w:val="false"/>
          <w:caps w:val="false"/>
          <w:smallCaps w:val="false"/>
          <w:sz w:val="20"/>
        </w:rPr>
        <w:t>” means, with respect to a particular date of determination, the sum of (x) the aggregate daily dollar trading volume (as reported on Bloomberg) of the Common Stock on the Principal Market on each Trading Day during the five (5) Trading Day period ending on the Trading Day immediately preceding such date of determination, divided by (y) five (5) is less than $300,000. Notwithstanding the foregoing, at any time, and for any period of time, as applicable, the Holder may lower any dollar threshold specified in this definition to any lower dollar threshold, in each case, as specified by the Holder in a written notice to the Company.</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(sss)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 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dividend, stock split, stock combination, recapitalization or other similar transaction during such period.</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(ttt)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has the meaning ascribed to such term in the Securities Purchase Agreement, and shall include all warrants issued in exchange therefor or replacement thereof.</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34 shall limit any obligations of the Company, or any rights of the Holder, under Section 4(i) of the Securities Purchase Agreement.</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ABSENCE OF TRADING AND DISCLOSURE RESTRICTIONS</w:t>
      </w:r>
      <w:r>
        <w:rPr>
          <w:rFonts w:ascii="Times New Roman;Times;Serif" w:hAnsi="Times New Roman;Times;Serif"/>
          <w:b w:val="false"/>
          <w:i w:val="false"/>
          <w:caps w:val="false"/>
          <w:smallCaps w:val="false"/>
          <w:sz w:val="20"/>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Note to be duly executed as of the Issuance Date set out above.</w:t>
      </w:r>
    </w:p>
    <w:p>
      <w:pPr>
        <w:pStyle w:val="TextBody"/>
        <w:bidi w:val="0"/>
        <w:spacing w:before="0" w:after="0"/>
        <w:ind w:left="100" w:right="0" w:firstLine="720"/>
        <w:jc w:val="left"/>
        <w:rPr>
          <w:caps w:val="false"/>
          <w:smallCaps w:val="false"/>
        </w:rPr>
      </w:pPr>
      <w:r>
        <w:rPr>
          <w:caps w:val="false"/>
          <w:smallCaps w:val="false"/>
        </w:rPr>
        <w:t> </w:t>
      </w:r>
    </w:p>
    <w:tbl>
      <w:tblPr>
        <w:tblW w:w="3034" w:type="dxa"/>
        <w:jc w:val="left"/>
        <w:tblInd w:w="0" w:type="dxa"/>
        <w:tblLayout w:type="fixed"/>
        <w:tblCellMar>
          <w:top w:w="0" w:type="dxa"/>
          <w:left w:w="0" w:type="dxa"/>
          <w:bottom w:w="0" w:type="dxa"/>
          <w:right w:w="0" w:type="dxa"/>
        </w:tblCellMar>
      </w:tblPr>
      <w:tblGrid>
        <w:gridCol w:w="75"/>
        <w:gridCol w:w="620"/>
        <w:gridCol w:w="23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23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3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Convertible Note - Signature Page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w:t>
      </w:r>
    </w:p>
    <w:p>
      <w:pPr>
        <w:pStyle w:val="TextBody"/>
        <w:bidi w:val="0"/>
        <w:spacing w:before="0" w:after="0"/>
        <w:ind w:left="2171"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 CONVERSION NOTICE</w:t>
      </w:r>
    </w:p>
    <w:p>
      <w:pPr>
        <w:pStyle w:val="TextBody"/>
        <w:bidi w:val="0"/>
        <w:spacing w:before="0" w:after="0"/>
        <w:ind w:left="2169"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Senior Convertible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issued to the undersigned by Banzai International,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accordance with and pursuant to the Note, the undersigned hereby elects to convert the Conversion Amount (as defined in the Note) of the Note indicated below into shares of Class A Common Stock, $0.0001 par value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as of the date specified below. Capitalized terms not defined herein shall have the meaning as set forth in the Note.</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30"/>
        <w:gridCol w:w="75"/>
      </w:tblGrid>
      <w:tr>
        <w:trPr/>
        <w:tc>
          <w:tcPr>
            <w:tcW w:w="10130" w:type="dxa"/>
            <w:tcBorders/>
            <w:vAlign w:val="center"/>
          </w:tcPr>
          <w:p>
            <w:pPr>
              <w:pStyle w:val="TableContents"/>
              <w:bidi w:val="0"/>
              <w:spacing w:before="0" w:after="283"/>
              <w:jc w:val="left"/>
              <w:rPr/>
            </w:pPr>
            <w:r>
              <w:rPr/>
              <w:t>Date of Conversion:</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Aggregate Principal to be converted:</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Aggregate accrued and unpaid Interest, Make-Whole Amount and accrued and unpaid Late Charges with respect to such portion of the Aggregate Principal, such Make Whole Amount and such Aggregate Interest to be converted:</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AGGREGATE CONVERSION AMOUNT TO BE CONVERTED:</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Please confirm the following information:</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Conversion Price: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Number of shares of Common Stock to be issued:</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Installment Amount(s) to be reduced (and corresponding Installment Date(s)) and amount of reduction:</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this Conversion Notice is being delivered with respect to an Alternate Conversion, check here if Holder is electing to use the following Alternate Conversion Price: ________________________________</w:t>
            </w:r>
          </w:p>
        </w:tc>
      </w:tr>
    </w:tbl>
    <w:p>
      <w:pPr>
        <w:pStyle w:val="TextBody"/>
        <w:bidi w:val="0"/>
        <w:spacing w:before="0" w:after="0"/>
        <w:ind w:left="207" w:right="0" w:firstLine="71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this Conversion Notice is being delivered with respect to an Acceleration, check here if Holder is electing to use ______________as the Acceleration Conversion Price related to the following Installment Date:________________</w:t>
            </w:r>
          </w:p>
        </w:tc>
      </w:tr>
    </w:tbl>
    <w:p>
      <w:pPr>
        <w:pStyle w:val="TextBody"/>
        <w:bidi w:val="0"/>
        <w:spacing w:before="0" w:after="0"/>
        <w:ind w:left="927" w:right="0" w:hanging="1"/>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this Conversion Notice is being delivered with respect to an Reallocation, check here if Holder is electing to use as the Reallocation Conversion Price related to the following Installment Date:</w:t>
            </w:r>
          </w:p>
        </w:tc>
      </w:tr>
    </w:tbl>
    <w:p>
      <w:pPr>
        <w:pStyle w:val="TextBody"/>
        <w:bidi w:val="0"/>
        <w:spacing w:before="0" w:after="0"/>
        <w:ind w:left="927" w:right="0" w:hanging="1"/>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the Common Stock into which the Note is being converted to Holder, or for its benefit, as follows:</w:t>
      </w:r>
    </w:p>
    <w:p>
      <w:pPr>
        <w:pStyle w:val="TextBody"/>
        <w:bidi w:val="0"/>
        <w:spacing w:before="0" w:after="0"/>
        <w:ind w:left="207" w:right="0" w:hanging="0"/>
        <w:jc w:val="left"/>
        <w:rPr>
          <w:caps w:val="false"/>
          <w:smallCaps w:val="false"/>
        </w:rPr>
      </w:pPr>
      <w:r>
        <w:rPr>
          <w:caps w:val="false"/>
          <w:smallCaps w:val="false"/>
        </w:rPr>
        <w:t> </w:t>
      </w:r>
    </w:p>
    <w:p>
      <w:pPr>
        <w:pStyle w:val="TextBody"/>
        <w:bidi w:val="0"/>
        <w:spacing w:before="0" w:after="0"/>
        <w:ind w:left="927"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here if requesting delivery as a certificate to the following name and to the following address:</w:t>
      </w:r>
    </w:p>
    <w:p>
      <w:pPr>
        <w:pStyle w:val="TextBody"/>
        <w:bidi w:val="0"/>
        <w:spacing w:before="0" w:after="0"/>
        <w:ind w:left="1647" w:right="0" w:hanging="1"/>
        <w:jc w:val="left"/>
        <w:rPr>
          <w:caps w:val="false"/>
          <w:smallCaps w:val="false"/>
        </w:rPr>
      </w:pPr>
      <w:r>
        <w:rPr>
          <w:caps w:val="false"/>
          <w:smallCaps w:val="false"/>
        </w:rPr>
        <w:t> </w:t>
      </w:r>
    </w:p>
    <w:p>
      <w:pPr>
        <w:pStyle w:val="TextBody"/>
        <w:bidi w:val="0"/>
        <w:spacing w:before="0" w:after="0"/>
        <w:ind w:left="92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to:  ____________________________________________________________________</w:t>
      </w:r>
    </w:p>
    <w:p>
      <w:pPr>
        <w:pStyle w:val="TextBody"/>
        <w:bidi w:val="0"/>
        <w:spacing w:before="0" w:after="0"/>
        <w:ind w:left="927" w:right="0" w:hanging="0"/>
        <w:jc w:val="left"/>
        <w:rPr>
          <w:caps w:val="false"/>
          <w:smallCaps w:val="false"/>
        </w:rPr>
      </w:pPr>
      <w:r>
        <w:rPr>
          <w:caps w:val="false"/>
          <w:smallCaps w:val="false"/>
        </w:rPr>
        <w:t> </w:t>
      </w:r>
    </w:p>
    <w:p>
      <w:pPr>
        <w:pStyle w:val="TextBody"/>
        <w:bidi w:val="0"/>
        <w:spacing w:before="0" w:after="0"/>
        <w:ind w:left="927"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____________________________________________________________________</w:t>
      </w:r>
    </w:p>
    <w:p>
      <w:pPr>
        <w:pStyle w:val="TextBody"/>
        <w:bidi w:val="0"/>
        <w:spacing w:before="0" w:after="0"/>
        <w:ind w:left="927" w:right="0" w:hanging="0"/>
        <w:jc w:val="left"/>
        <w:rPr>
          <w:caps w:val="false"/>
          <w:smallCaps w:val="false"/>
        </w:rPr>
      </w:pPr>
      <w:r>
        <w:rPr>
          <w:caps w:val="false"/>
          <w:smallCaps w:val="false"/>
        </w:rPr>
        <w:t> </w:t>
      </w:r>
    </w:p>
    <w:p>
      <w:pPr>
        <w:pStyle w:val="TextBody"/>
        <w:bidi w:val="0"/>
        <w:spacing w:before="0" w:after="0"/>
        <w:ind w:left="927"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____________________________________________________________________</w:t>
      </w:r>
    </w:p>
    <w:p>
      <w:pPr>
        <w:pStyle w:val="TextBody"/>
        <w:bidi w:val="0"/>
        <w:spacing w:before="0" w:after="0"/>
        <w:ind w:left="927" w:right="0" w:hanging="0"/>
        <w:jc w:val="left"/>
        <w:rPr>
          <w:caps w:val="false"/>
          <w:smallCaps w:val="false"/>
        </w:rPr>
      </w:pPr>
      <w:r>
        <w:rPr>
          <w:caps w:val="false"/>
          <w:smallCaps w:val="false"/>
        </w:rPr>
        <w:t> </w:t>
      </w:r>
    </w:p>
    <w:p>
      <w:pPr>
        <w:pStyle w:val="TextBody"/>
        <w:bidi w:val="0"/>
        <w:spacing w:before="0" w:after="0"/>
        <w:ind w:left="927"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here if requesting delivery by Deposit/Withdrawal at Custodian as follows:</w:t>
      </w:r>
    </w:p>
    <w:p>
      <w:pPr>
        <w:pStyle w:val="TextBody"/>
        <w:bidi w:val="0"/>
        <w:spacing w:before="0" w:after="0"/>
        <w:ind w:left="1647" w:right="0" w:hanging="1"/>
        <w:jc w:val="left"/>
        <w:rPr>
          <w:caps w:val="false"/>
          <w:smallCaps w:val="false"/>
        </w:rPr>
      </w:pPr>
      <w:r>
        <w:rPr>
          <w:caps w:val="false"/>
          <w:smallCaps w:val="false"/>
        </w:rPr>
        <w:t> </w:t>
      </w:r>
    </w:p>
    <w:p>
      <w:pPr>
        <w:pStyle w:val="TextBody"/>
        <w:bidi w:val="0"/>
        <w:spacing w:before="0" w:after="0"/>
        <w:ind w:left="92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 _______________________________________________________________</w:t>
      </w:r>
    </w:p>
    <w:p>
      <w:pPr>
        <w:pStyle w:val="TextBody"/>
        <w:bidi w:val="0"/>
        <w:spacing w:before="0" w:after="0"/>
        <w:ind w:left="927" w:right="0" w:hanging="0"/>
        <w:jc w:val="left"/>
        <w:rPr>
          <w:caps w:val="false"/>
          <w:smallCaps w:val="false"/>
        </w:rPr>
      </w:pPr>
      <w:r>
        <w:rPr>
          <w:caps w:val="false"/>
          <w:smallCaps w:val="false"/>
        </w:rPr>
        <w:t> </w:t>
      </w:r>
    </w:p>
    <w:p>
      <w:pPr>
        <w:pStyle w:val="TextBody"/>
        <w:bidi w:val="0"/>
        <w:spacing w:before="0" w:after="0"/>
        <w:ind w:left="92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Number: _________________________________________________________________</w:t>
      </w:r>
    </w:p>
    <w:p>
      <w:pPr>
        <w:pStyle w:val="TextBody"/>
        <w:bidi w:val="0"/>
        <w:spacing w:before="0" w:after="0"/>
        <w:ind w:left="927" w:right="0" w:hanging="0"/>
        <w:jc w:val="left"/>
        <w:rPr>
          <w:caps w:val="false"/>
          <w:smallCaps w:val="false"/>
        </w:rPr>
      </w:pPr>
      <w:r>
        <w:rPr>
          <w:caps w:val="false"/>
          <w:smallCaps w:val="false"/>
        </w:rPr>
        <w:t> </w:t>
      </w:r>
    </w:p>
    <w:p>
      <w:pPr>
        <w:pStyle w:val="TextBody"/>
        <w:bidi w:val="0"/>
        <w:spacing w:before="0" w:after="0"/>
        <w:ind w:left="92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______________________________________________________________</w:t>
      </w:r>
    </w:p>
    <w:p>
      <w:pPr>
        <w:pStyle w:val="TextBody"/>
        <w:bidi w:val="0"/>
        <w:spacing w:before="0" w:after="0"/>
        <w:ind w:left="927" w:right="0" w:hanging="0"/>
        <w:jc w:val="left"/>
        <w:rPr>
          <w:caps w:val="false"/>
          <w:smallCaps w:val="false"/>
        </w:rPr>
      </w:pPr>
      <w:r>
        <w:rPr>
          <w:caps w:val="false"/>
          <w:smallCaps w:val="false"/>
        </w:rPr>
        <w:t> </w:t>
      </w:r>
    </w:p>
    <w:tbl>
      <w:tblPr>
        <w:tblW w:w="3680" w:type="dxa"/>
        <w:jc w:val="left"/>
        <w:tblInd w:w="0" w:type="dxa"/>
        <w:tblLayout w:type="fixed"/>
        <w:tblCellMar>
          <w:top w:w="0" w:type="dxa"/>
          <w:left w:w="0" w:type="dxa"/>
          <w:bottom w:w="0" w:type="dxa"/>
          <w:right w:w="0" w:type="dxa"/>
        </w:tblCellMar>
      </w:tblPr>
      <w:tblGrid>
        <w:gridCol w:w="3680"/>
      </w:tblGrid>
      <w:tr>
        <w:trPr/>
        <w:tc>
          <w:tcPr>
            <w:tcW w:w="3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________________,___________ </w:t>
            </w:r>
          </w:p>
        </w:tc>
      </w:tr>
      <w:tr>
        <w:trPr/>
        <w:tc>
          <w:tcPr>
            <w:tcW w:w="3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__________________________________</w:t>
            </w:r>
          </w:p>
        </w:tc>
      </w:tr>
      <w:tr>
        <w:trPr/>
        <w:tc>
          <w:tcPr>
            <w:tcW w:w="3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w:t>
            </w:r>
          </w:p>
        </w:tc>
      </w:tr>
    </w:tbl>
    <w:p>
      <w:pPr>
        <w:pStyle w:val="TextBody"/>
        <w:bidi w:val="0"/>
        <w:spacing w:before="0" w:after="283"/>
        <w:jc w:val="left"/>
        <w:rPr/>
      </w:pPr>
      <w:r>
        <w:rPr/>
        <w:t> </w:t>
      </w:r>
    </w:p>
    <w:tbl>
      <w:tblPr>
        <w:tblW w:w="1745" w:type="dxa"/>
        <w:jc w:val="left"/>
        <w:tblInd w:w="0" w:type="dxa"/>
        <w:tblLayout w:type="fixed"/>
        <w:tblCellMar>
          <w:top w:w="0" w:type="dxa"/>
          <w:left w:w="0" w:type="dxa"/>
          <w:bottom w:w="0" w:type="dxa"/>
          <w:right w:w="0" w:type="dxa"/>
        </w:tblCellMar>
      </w:tblPr>
      <w:tblGrid>
        <w:gridCol w:w="650"/>
        <w:gridCol w:w="1020"/>
        <w:gridCol w:w="75"/>
      </w:tblGrid>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0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0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0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399" w:type="dxa"/>
        <w:jc w:val="left"/>
        <w:tblInd w:w="0" w:type="dxa"/>
        <w:tblLayout w:type="fixed"/>
        <w:tblCellMar>
          <w:top w:w="0" w:type="dxa"/>
          <w:left w:w="0" w:type="dxa"/>
          <w:bottom w:w="0" w:type="dxa"/>
          <w:right w:w="0" w:type="dxa"/>
        </w:tblCellMar>
      </w:tblPr>
      <w:tblGrid>
        <w:gridCol w:w="1282"/>
        <w:gridCol w:w="42"/>
        <w:gridCol w:w="75"/>
      </w:tblGrid>
      <w:tr>
        <w:trPr/>
        <w:tc>
          <w:tcPr>
            <w:tcW w:w="1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Tax ID: </w:t>
            </w:r>
          </w:p>
        </w:tc>
        <w:tc>
          <w:tcPr>
            <w:tcW w:w="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207" w:right="0" w:firstLine="36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II ACKNOWLEDGMENT</w:t>
      </w:r>
    </w:p>
    <w:p>
      <w:pPr>
        <w:pStyle w:val="TextBody"/>
        <w:bidi w:val="0"/>
        <w:spacing w:before="0" w:after="0"/>
        <w:ind w:left="3512" w:right="0" w:firstLine="2"/>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 acknowledges this Conversion Notice, (b) certifies that the above indicated number of shares of Common Stock [are][are not] eligible to be resold by the Holder either (i) pursuant to Rule 144 (subject to the Holder’s execution and delivery to the Company of a customary 144 representation letter) or (ii) an effective and available registration statement and (c) hereby directs___________________ to issue the above indicated number of shares of Common Stock in accordance with the Transfer Agent Instructions dated ________________,  __20 from the Company and acknowledged and agreed to by __________________________.</w:t>
      </w:r>
    </w:p>
    <w:p>
      <w:pPr>
        <w:pStyle w:val="TextBody"/>
        <w:bidi w:val="0"/>
        <w:spacing w:before="0" w:after="0"/>
        <w:ind w:left="100" w:right="0" w:hanging="0"/>
        <w:jc w:val="both"/>
        <w:rPr>
          <w:caps w:val="false"/>
          <w:smallCaps w:val="false"/>
        </w:rPr>
      </w:pPr>
      <w:r>
        <w:rPr>
          <w:caps w:val="false"/>
          <w:smallCaps w:val="false"/>
        </w:rPr>
        <w:t> </w:t>
      </w:r>
    </w:p>
    <w:tbl>
      <w:tblPr>
        <w:tblW w:w="3034" w:type="dxa"/>
        <w:jc w:val="left"/>
        <w:tblInd w:w="0" w:type="dxa"/>
        <w:tblLayout w:type="fixed"/>
        <w:tblCellMar>
          <w:top w:w="0" w:type="dxa"/>
          <w:left w:w="0" w:type="dxa"/>
          <w:bottom w:w="0" w:type="dxa"/>
          <w:right w:w="0" w:type="dxa"/>
        </w:tblCellMar>
      </w:tblPr>
      <w:tblGrid>
        <w:gridCol w:w="75"/>
        <w:gridCol w:w="744"/>
        <w:gridCol w:w="2215"/>
      </w:tblGrid>
      <w:tr>
        <w:trPr/>
        <w:tc>
          <w:tcPr>
            <w:tcW w:w="75" w:type="dxa"/>
            <w:tcBorders/>
            <w:vAlign w:val="center"/>
          </w:tcPr>
          <w:p>
            <w:pPr>
              <w:pStyle w:val="TableContents"/>
              <w:bidi w:val="0"/>
              <w:spacing w:before="0" w:after="283"/>
              <w:jc w:val="left"/>
              <w:rPr/>
            </w:pPr>
            <w:r>
              <w:rPr/>
              <w:t> </w:t>
            </w:r>
          </w:p>
        </w:tc>
        <w:tc>
          <w:tcPr>
            <w:tcW w:w="2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2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2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8" w:name="ex4-4.htm"/>
      <w:bookmarkStart w:id="29" w:name="ksex44"/>
      <w:bookmarkEnd w:id="28"/>
      <w:bookmarkEnd w:id="29"/>
      <w:r>
        <w:rPr>
          <w:caps w:val="false"/>
          <w:smallCaps w:val="false"/>
        </w:rPr>
        <w:t> </w:t>
      </w:r>
      <w:r>
        <w:br w:type="page"/>
      </w:r>
    </w:p>
    <w:p>
      <w:pPr>
        <w:pStyle w:val="TextBody"/>
        <w:bidi w:val="0"/>
        <w:spacing w:before="0" w:after="0"/>
        <w:ind w:left="10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THE NUMBER OF SHARES OF COMMON STOCK ISSUABLE UPON EXERCISE OF THIS WARRANT MAY BE LESS THAN THE AMOUNTS SET FORTH ON THE FACE HEREOF PURSUANT TO SECTION 1(a) OF THIS WARRANT.</w:t>
      </w:r>
    </w:p>
    <w:p>
      <w:pPr>
        <w:pStyle w:val="TextBody"/>
        <w:bidi w:val="0"/>
        <w:spacing w:before="0" w:after="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Banzai International, Inc. </w:t>
      </w:r>
    </w:p>
    <w:p>
      <w:pPr>
        <w:pStyle w:val="TextBody"/>
        <w:bidi w:val="0"/>
        <w:spacing w:before="0" w:after="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Warrant To Purchase Common Stock</w:t>
      </w:r>
    </w:p>
    <w:p>
      <w:pPr>
        <w:pStyle w:val="TextBody"/>
        <w:bidi w:val="0"/>
        <w:spacing w:before="0" w:after="0"/>
        <w:ind w:left="10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August 12, 2026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 ]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at any time or times on or after the Issuance Date, but not after 11:59 p.m., New York time, on the Expiration Date (as defined below), 112,531 (subject to adjustment as provided herein) fully paid and non-assessable shares of Common Stock (as defined below)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and such number of Warrant Shares, the “</w:t>
      </w:r>
      <w:r>
        <w:rPr>
          <w:rFonts w:ascii="Times New Roman;Times;Serif" w:hAnsi="Times New Roman;Times;Serif"/>
          <w:b/>
          <w:i w:val="false"/>
          <w:caps w:val="false"/>
          <w:smallCaps w:val="false"/>
          <w:sz w:val="20"/>
        </w:rPr>
        <w:t>Warrant Number</w:t>
      </w:r>
      <w:r>
        <w:rPr>
          <w:rFonts w:ascii="Times New Roman;Times;Serif" w:hAnsi="Times New Roman;Times;Serif"/>
          <w:b w:val="false"/>
          <w:i w:val="false"/>
          <w:caps w:val="false"/>
          <w:smallCaps w:val="false"/>
          <w:sz w:val="20"/>
        </w:rPr>
        <w:t>”). Except as otherwise defined herein, capitalized terms in this Warrant shall have the meanings set forth in Section 19. This Warrant is one of the Warrants to Purchase Common Stock (the “</w:t>
      </w:r>
      <w:r>
        <w:rPr>
          <w:rFonts w:ascii="Times New Roman;Times;Serif" w:hAnsi="Times New Roman;Times;Serif"/>
          <w:b/>
          <w:i w:val="false"/>
          <w:caps w:val="false"/>
          <w:smallCaps w:val="false"/>
          <w:sz w:val="20"/>
        </w:rPr>
        <w:t>SPA Warrants</w:t>
      </w:r>
      <w:r>
        <w:rPr>
          <w:rFonts w:ascii="Times New Roman;Times;Serif" w:hAnsi="Times New Roman;Times;Serif"/>
          <w:b w:val="false"/>
          <w:i w:val="false"/>
          <w:caps w:val="false"/>
          <w:smallCaps w:val="false"/>
          <w:sz w:val="20"/>
        </w:rPr>
        <w:t>”) issued pursuant to Section 1 of that certain Securities Purchase Agreement, dated as of June 27, 2025 (the “</w:t>
      </w:r>
      <w:r>
        <w:rPr>
          <w:rFonts w:ascii="Times New Roman;Times;Serif" w:hAnsi="Times New Roman;Times;Serif"/>
          <w:b/>
          <w:i w:val="false"/>
          <w:caps w:val="false"/>
          <w:smallCaps w:val="false"/>
          <w:sz w:val="20"/>
        </w:rPr>
        <w:t>Subscription Date</w:t>
      </w:r>
      <w:r>
        <w:rPr>
          <w:rFonts w:ascii="Times New Roman;Times;Serif" w:hAnsi="Times New Roman;Times;Serif"/>
          <w:b w:val="false"/>
          <w:i w:val="false"/>
          <w:caps w:val="false"/>
          <w:smallCaps w:val="false"/>
          <w:sz w:val="20"/>
        </w:rPr>
        <w:t>”), by and among the Company and the investors (the “</w:t>
      </w:r>
      <w:r>
        <w:rPr>
          <w:rFonts w:ascii="Times New Roman;Times;Serif" w:hAnsi="Times New Roman;Times;Serif"/>
          <w:b/>
          <w:i w:val="false"/>
          <w:caps w:val="false"/>
          <w:smallCaps w:val="false"/>
          <w:sz w:val="20"/>
        </w:rPr>
        <w:t>Buyers</w:t>
      </w:r>
      <w:r>
        <w:rPr>
          <w:rFonts w:ascii="Times New Roman;Times;Serif" w:hAnsi="Times New Roman;Times;Serif"/>
          <w:b w:val="false"/>
          <w:i w:val="false"/>
          <w:caps w:val="false"/>
          <w:smallCaps w:val="false"/>
          <w:sz w:val="20"/>
        </w:rPr>
        <w:t>”) referred to therein, as amended from time to time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819" w:right="0" w:hanging="719"/>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EXERCISE OF WARRANT.</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Subject to the terms and conditions hereof (including, without limitation, the limitations set forth in Section 1(f)), this Warrant may be exercised by the Holder on any day on or after the Issuance Date (an “</w:t>
      </w:r>
      <w:r>
        <w:rPr>
          <w:rFonts w:ascii="Times New Roman;Times;Serif" w:hAnsi="Times New Roman;Times;Serif"/>
          <w:b/>
          <w:i w:val="false"/>
          <w:caps w:val="false"/>
          <w:smallCaps w:val="false"/>
          <w:sz w:val="20"/>
        </w:rPr>
        <w:t>Exercise Date</w:t>
      </w:r>
      <w:r>
        <w:rPr>
          <w:rFonts w:ascii="Times New Roman;Times;Serif" w:hAnsi="Times New Roman;Times;Serif"/>
          <w:b w:val="false"/>
          <w:i w:val="false"/>
          <w:caps w:val="false"/>
          <w:smallCaps w:val="false"/>
          <w:sz w:val="20"/>
        </w:rPr>
        <w:t xml:space="preserve">”), in whole or in part, by delivery (whether via facsimile or otherwise) of a written notice, in the form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the date on which the Company has received an Exercise Notice, the Company shall transmit by facsimile or electronic mail an acknowledgment of confirmation of receipt of such Exercise Notice, in the form attached hereto as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to the Holder and the Company’s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which confirmation shall constitute an instruction to the Transfer Agent to process such Exercise Notice in accordance with the terms herein. On or before the first (1st) Trading Day following the date on which the Company has received such Exercise Notice (or such earlier date as required pursuant to the 1934 Act or other applicable law, rule or regulation for the settlement of a trade of such Warrant Shares initiated on the applicable Exercise Date), the Company shall (X) provided that the Transfer Agent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upon the request of the Holder, credit such aggregate number of shares of Common Stock to which the Holder is entitled pursuant to such exercise to the Holder’s or its designee’s balance account with DTC through its Deposit/Withdrawal at Custodian system, or (Y) if the Transfer Agent is not participating in the DTC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upon the request of the Holder, issue and deliver (via reputable overnight courier) to the address as specified in the Exercise Notice, a certificate, registered in the name of the Holder or its designee, for the number of shares of Common Stock to which the Holder shall be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provided, that the Holder shall be deemed to have waived any voting rights of any such Warrant Shares during the period commencing on such Exercise Date, through, and including, such applicable Share Delivery Date (as defined below) (each, an “</w:t>
      </w:r>
      <w:r>
        <w:rPr>
          <w:rFonts w:ascii="Times New Roman;Times;Serif" w:hAnsi="Times New Roman;Times;Serif"/>
          <w:b/>
          <w:i w:val="false"/>
          <w:caps w:val="false"/>
          <w:smallCaps w:val="false"/>
          <w:sz w:val="20"/>
        </w:rPr>
        <w:t>Exercise Period</w:t>
      </w:r>
      <w:r>
        <w:rPr>
          <w:rFonts w:ascii="Times New Roman;Times;Serif" w:hAnsi="Times New Roman;Times;Serif"/>
          <w:b w:val="false"/>
          <w:i w:val="false"/>
          <w:caps w:val="false"/>
          <w:smallCaps w:val="false"/>
          <w:sz w:val="20"/>
        </w:rPr>
        <w:t>”), as necessary, such that the aggregate voting rights of any Common Stock (including such Warrant Shares) beneficially owned by the Holder and/or any Attribution Parties, collectively, on any such date of determination shall not exceed the Maximum Percentage (as defined below) as a result of any such exercise of this Warrant. If this Warrant is submitted in connection with any exercise pursuant to this Section 1(a) and the number of Warrant Shares represented by this Warrant submitted for exercise is greater than the number of Warrant Shares being acquired upon an exercise and upon surrender of this Warrant to the Company by the Holder, then, at the request of the Holder, the Company shall as soon as practicable and in no event later than one (1) Business Day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transfer, stamp, issuance and similar taxes, costs and expenses (including, without limitation, fees and expenses of the Transfer Agent) that may be payable with respect to the issuance and delivery of Warrant Shares upon exercise of this Warrant. Notwithstanding the foregoing, except in the case where an exercise of this Warrant is validly made pursuant to a Cashless Exercise, the Company’s failure to deliver Warrant Shares to the Holder on or prior to the later of (i) one (1) Trading Day after receipt of the applicable Exercise Notice (or such earlier date as required pursuant to the 1934 Act or other applicable law, rule or regulation for the settlement of a trade of such Warrant Shares initiated on the applicable Exercise Date) and (ii) the date of the Company’s receipt of the Aggregate Exercise Price (or valid notice of a Cashless Exercise) (such later date,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shall not be deemed to be a breach of this Warrant. Notwithstanding anything to the contrary contained in this Warrant or the Registration 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unlegended shares of Common Stock to the Holder (or its designee) in connection with any sale of Registrable Securities (as defined in the Registration Rights Agreement) with respect to which the Holder has entered into a contract for sale, and delivered a copy of the prospectus included as part of the particular Registration Statement to the extent applicable, and for which the Holder has not yet settled. From the Issuance Date through and including the Expiration Date, the Company shall maintain a transfer agent that participates in FAST.</w:t>
      </w:r>
    </w:p>
    <w:p>
      <w:pPr>
        <w:pStyle w:val="TextBody"/>
        <w:bidi w:val="0"/>
        <w:spacing w:before="0" w:after="0"/>
        <w:ind w:left="10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$1.96, subject to adjustment as provided herein.</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either (I) if the Transfer Agent is not participating in FAST, to issue and deliver to the Holder (or its designee) a certificate for the number of Warrant Shares to which the Holder is entitled and register such Warrant Shares on the Company’s share register or, if the Transfer Agent is participating in FAST, to credit the balance account of the Holder or the Holder’s designee with DTC for such number of Warrant Shares to which the Holder is entitled upon the Holder’s exercise of this Warrant (as the case may be) or (II) if a Registration Statement covering the resale of the Warrant Shares that are the subject of the Exercise Notice (the “</w:t>
      </w:r>
      <w:r>
        <w:rPr>
          <w:rFonts w:ascii="Times New Roman;Times;Serif" w:hAnsi="Times New Roman;Times;Serif"/>
          <w:b/>
          <w:i w:val="false"/>
          <w:caps w:val="false"/>
          <w:smallCaps w:val="false"/>
          <w:sz w:val="20"/>
        </w:rPr>
        <w:t>Unavailable Warrant Shares</w:t>
      </w:r>
      <w:r>
        <w:rPr>
          <w:rFonts w:ascii="Times New Roman;Times;Serif" w:hAnsi="Times New Roman;Times;Serif"/>
          <w:b w:val="false"/>
          <w:i w:val="false"/>
          <w:caps w:val="false"/>
          <w:smallCaps w:val="false"/>
          <w:sz w:val="20"/>
        </w:rPr>
        <w:t>”) is not available for the resale of such Unavailable Warrant Shares and the Company fails to promptly, but in no event later than as required pursuant to the Registration Rights Agreement (x) so notify the Holder and (y) deliver the Warrant Shares electronically without any restrictive legend by crediting such aggregate number of Warrant Shares to which the Holder is entitled pursuant to such exercise to the Holder’s or its designee’s balance account with DTC through its Deposit/Withdrawal At Custodian system (the event described in the immediately foregoing clause (II) is hereinafter referred as a “</w:t>
      </w:r>
      <w:r>
        <w:rPr>
          <w:rFonts w:ascii="Times New Roman;Times;Serif" w:hAnsi="Times New Roman;Times;Serif"/>
          <w:b/>
          <w:i w:val="false"/>
          <w:caps w:val="false"/>
          <w:smallCaps w:val="false"/>
          <w:sz w:val="20"/>
        </w:rPr>
        <w:t>Notice Failure</w:t>
      </w:r>
      <w:r>
        <w:rPr>
          <w:rFonts w:ascii="Times New Roman;Times;Serif" w:hAnsi="Times New Roman;Times;Serif"/>
          <w:b w:val="false"/>
          <w:i w:val="false"/>
          <w:caps w:val="false"/>
          <w:smallCaps w:val="false"/>
          <w:sz w:val="20"/>
        </w:rPr>
        <w:t>” and together with the event described in clause (I) above,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equal to 2% of the product of (A) the sum of the number of shares of Common Stock not issued to the Holder on or prior to the Share Delivery Date and to which the Holder is entitled, multiplied by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prior to the Share Delivery Date either (I) the Transfer Agent is not participating in the DTC Fast Automated Securities Transfer Program, the Company shall fail to issue and deliver to the Holder (or its designee) a certificate and register such shares of Common Stock on the Company’s share register or, if the Transfer Agent is participating in the DTC Fast Automated Securities Transfer Program, the Transfer Agent shall fail to credit the balance account of the Holder or the Holder’s designee with DTC for the number of shares of Common Stock to which the Holder is entitled upon the Holder’s exercise hereunder or pursuant to the Company’s obligation pursuant to clause (ii) below or (II) a Notice Failure occurs, and if on or after such Share Delivery Date the Holder acquires (in an open market transaction, stock loan or otherwise) shares of Common Stock corresponding to all or any portion of the number of shares of Common Stock issuable upon such exercise that the Holder is entitled to receive from the Company and has not received from the Company in connection with such Delivery Failure or Notice Failure, as applicable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lowest Closing Sale Price of the Common Stock on any Trading Day during the period commencing on the date of the applicable Exercise Notice and ending on the date of such issuance and payment under this clause (ii)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 While this Warrant is outstanding, the Company shall cause its transfer agent to participate in FAST.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covering the issuance or resale of the Warrant Shares that are subject to an Exercise Notice is not available for the issuance or resale, as applicable, of such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pStyle w:val="TextBody"/>
        <w:bidi w:val="0"/>
        <w:spacing w:before="0" w:after="0"/>
        <w:ind w:left="10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if at the time of exercise hereof a Registration Statement (as defined in the Registration Rights Agreement) is not effective (or the prospectus contained therein is not available for use) for the resale by the Holder of all of the Warrant Shares,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Warrant Shares determined according to the following formula (a “</w:t>
      </w:r>
      <w:r>
        <w:rPr>
          <w:rFonts w:ascii="Times New Roman;Times;Serif" w:hAnsi="Times New Roman;Times;Serif"/>
          <w:b/>
          <w:i w:val="false"/>
          <w:caps w:val="false"/>
          <w:smallCaps w:val="false"/>
          <w:sz w:val="20"/>
        </w:rPr>
        <w:t>Cashless Exercise</w:t>
      </w:r>
      <w:r>
        <w:rPr>
          <w:rFonts w:ascii="Times New Roman;Times;Serif" w:hAnsi="Times New Roman;Times;Serif"/>
          <w:b w:val="false"/>
          <w:i w:val="false"/>
          <w:caps w:val="false"/>
          <w:smallCaps w:val="false"/>
          <w:sz w:val="20"/>
        </w:rPr>
        <w:t>”):</w:t>
      </w:r>
    </w:p>
    <w:p>
      <w:pPr>
        <w:pStyle w:val="TextBody"/>
        <w:bidi w:val="0"/>
        <w:spacing w:before="0" w:after="0"/>
        <w:ind w:left="22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Number = </w:t>
      </w:r>
      <w:r>
        <w:rPr>
          <w:rFonts w:ascii="Times New Roman;Times;Serif" w:hAnsi="Times New Roman;Times;Serif"/>
          <w:b w:val="false"/>
          <w:i w:val="false"/>
          <w:caps w:val="false"/>
          <w:smallCaps w:val="false"/>
          <w:sz w:val="20"/>
          <w:u w:val="single"/>
        </w:rPr>
        <w:t>(A x B) - (A x C)</w:t>
      </w:r>
    </w:p>
    <w:p>
      <w:pPr>
        <w:pStyle w:val="TextBody"/>
        <w:bidi w:val="0"/>
        <w:spacing w:before="0" w:after="0"/>
        <w:ind w:left="39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22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15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as elected by the Holder: (i) the VWAP of the shares of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Exercise Notice or (z) the Bid Price of the shares of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Warrant Shares are issued in a Cashless Exercise, the parties acknowledge and agree that in accordance with Section 3(a)(9) of the 1933 Act, the Warrant Shares take on the registered characteristics of the Warrants being exercised. For purposes of Rule 144(d) promulgated under the 1933 Act, as in effect on the Subscription Date, it is intended that the Warrant Shares issued in a Cashless Exercise shall be deemed to have been acquired by the Holder, and the holding period for the Warrant Shares shall be deemed to have commenced, on the date this Warrant was originally issued pursuant to the Securities Purchase Agreement.</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15.</w:t>
      </w:r>
    </w:p>
    <w:p>
      <w:pPr>
        <w:pStyle w:val="TextBody"/>
        <w:bidi w:val="0"/>
        <w:spacing w:before="0" w:after="0"/>
        <w:ind w:left="10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other SPA Warrants) beneficially owned by the Holder or any other Attribution Party subject to a limitation on conversion or exercise analogous to the limitation contained in this Section 1(f). For purposes of this Section 1(f)(i), beneficial ownership shall be calculated in accordance with Section 13(d) of the 1934 Act. For purposes of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acquired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such notice is delivered to the Company and (ii) any such increase or decrease will apply only to the Holder and the other Attribution Parties and not to any other holder of SPA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or amended and shall apply to a successor holder of this Warrant.</w:t>
      </w:r>
    </w:p>
    <w:p>
      <w:pPr>
        <w:pStyle w:val="TextBody"/>
        <w:bidi w:val="0"/>
        <w:spacing w:before="0" w:after="0"/>
        <w:ind w:left="1539" w:right="0" w:hanging="719"/>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Reservation of Shares</w:t>
      </w:r>
      <w:r>
        <w:rPr>
          <w:rFonts w:ascii="Times New Roman;Times;Serif" w:hAnsi="Times New Roman;Times;Serif"/>
          <w:b w:val="false"/>
          <w:i w:val="false"/>
          <w:caps w:val="false"/>
          <w:smallCaps w:val="false"/>
          <w:sz w:val="20"/>
        </w:rPr>
        <w:t>.</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Required Reserve Amount</w:t>
      </w:r>
      <w:r>
        <w:rPr>
          <w:rFonts w:ascii="Times New Roman;Times;Serif" w:hAnsi="Times New Roman;Times;Serif"/>
          <w:b w:val="false"/>
          <w:i w:val="false"/>
          <w:caps w:val="false"/>
          <w:smallCaps w:val="false"/>
          <w:sz w:val="20"/>
        </w:rPr>
        <w:t>. So long as this Warrant remains outstanding, the Company shall at all times keep reserved for issuance under this Warrant a number of shares of Common Stock at least equal to 250% of the maximum number of shares of Common Stock as shall be necessary to satisfy the Company’s obligation to issue shares of Common Stock under the SPA Warrants then outstanding (without regard to any limitations on exercise)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provided that at no time shall the number of shares of Common Stock reserved pursuant to this Section 1(g)(i) be reduced other than proportionally in connection with any exercise or redemption of SPA Warrants or such other event covered by Section 2(a) below. The Required Reserve Amount (including, without limitation, each increase in the number of shares so reserved) shall be allocated pro rata among the holders of the SPA Warrants based on number of shares of Common Stock issuable upon exercise of SPA Warrants held by each holder on the Initial Closing Date (without regard to any limitations on exercise) or increase in the number of reserved shares, as the case may be (the “</w:t>
      </w:r>
      <w:r>
        <w:rPr>
          <w:rFonts w:ascii="Times New Roman;Times;Serif" w:hAnsi="Times New Roman;Times;Serif"/>
          <w:b/>
          <w:i w:val="false"/>
          <w:caps w:val="false"/>
          <w:smallCaps w:val="false"/>
          <w:sz w:val="20"/>
        </w:rPr>
        <w:t>Authorized Share Allocation</w:t>
      </w:r>
      <w:r>
        <w:rPr>
          <w:rFonts w:ascii="Times New Roman;Times;Serif" w:hAnsi="Times New Roman;Times;Serif"/>
          <w:b w:val="false"/>
          <w:i w:val="false"/>
          <w:caps w:val="false"/>
          <w:smallCaps w:val="false"/>
          <w:sz w:val="20"/>
        </w:rPr>
        <w:t>”). In the event that a holder shall sell or otherwise transfer any of such holder’s SPA Warrants, each transferee shall be allocated a pro rata portion of such holder’s Authorized Share Allocation. Any shares of Common Stock reserved and allocated to any Person which ceases to hold any SPA Warrants shall be allocated to the remaining holders of SPA Warrants, pro rata based on the number of shares of Common Stock issuable upon exercise of the SPA Warrants then held by such holders (without regard to any limitations on exercise).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notwithstanding Section 1(g)(i) above, and not in limitation thereof, at any time while any of the SPA Warrants remain outstanding, the Company does not have a sufficient number of authorized and unreserved shares of Common Stock to satisfy its obligation to reserve the Required Reserve Amount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greatest Closing Sale Price of the Common Stock on any Trading Day during the period commencing on the date the Holder delivers the applicable Exercise Notice with respect to such Authorization Failure Shares to the Company and ending on the date of such issuance and payment under this Section 1(g);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Securities Purchase Agreement.</w:t>
      </w:r>
    </w:p>
    <w:p>
      <w:pPr>
        <w:pStyle w:val="TextBody"/>
        <w:bidi w:val="0"/>
        <w:spacing w:before="0" w:after="0"/>
        <w:ind w:left="819" w:right="0" w:hanging="719"/>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The Exercise Price and number of Warrant Shares issuable upon exercise of this Warrant are subject to adjustment from time to time as set forth in this Section 2.</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Without limiting any provision of Section 2(b), Section 3 or Section 4, if the Company, at any time on or after the Subscription Date,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Subscription Date, the Company grants, issues or sells (or enters into any agreement to grant, issue or sell), or in accordance with this Section 2 is deemed to have granted, issued or sold, any shares of Common Stock (including the issuance or sale of shares of Common Stock owned or held by or for the account of the Company, but excluding any Excluded Securities granted issued or sold or deemed to have been granted issued or sold)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a price equal to the Exercise Price in effect immediately prior to such granting, issuance or sale or deemed granting, issuance or sale (such Exercise Price then in effect is referred to herein as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Exercise Price then in effect shall be reduced to an amount equal to the New Issuance Price. For all purposes of the foregoing (including, without limitation, determining the adjusted Exercise Price and the New Issuance Price under this Section 2(b)), the following shall be applicable: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(or the time of execution of such agreement to grant, issue or sell, as applicable)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(or pursuant to the agreement to grant, issue or sell, as applicable)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issuance or sale (or the agreement to grant, issue or sell, as applicable)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(or the agreement to issue or sell, as applicable) of such Convertible Security plus the value of any other consideration received or 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issuance or sale.</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2(a)),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 For purposes of this Section 2(b)(iii), if the terms of any Option or Convertible Security (including, without limitation,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an increase of the Exercise Price then in effect.</w:t>
      </w:r>
    </w:p>
    <w:p>
      <w:pPr>
        <w:pStyle w:val="TextBody"/>
        <w:bidi w:val="0"/>
        <w:spacing w:before="0" w:after="0"/>
        <w:ind w:left="8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equal to the difference of (x) the lowest price per share for which one share of Common Stock was issued (or was deemed to be issued pursuant to Section 2(b)(i) or 2(b)(ii) above, as applicable) in such integrated transaction solely with respect to such Primary Security, minus (y) with respect to such Secondary Securities, the sum of (I) the Black Scholes Consideration Value of each such Option, if any, (II) the fair market value (as determined by the Holder in good faith) or the Black Scholes Consideration Value, as applicable, of such Adjustment Right, if any, and (III) the fair market value (as determined by the Holder) of such Convertible Security, if any, in each case, as determined on a per share basis in accordance with this Section 2(b)(iv). If any shares of Common Stock, Options or Convertible Securities are issued or sold or deemed to have been issued or sold for cash, the consideration received therefor (for the purpose of determining the consideration paid for such Common Stock, Option or Convertible Security, but not for the purpose of the calculation of the Black Scholes Consideration Value) will be deemed to be the net amount of consideration received by the Company therefor. If any shares of Common Stock, Options or Convertible Securities are issued or sold for a consideration other than cash, the amount of such consideration received by the Company (for the purpose of determining the consideration paid for such Common Stock, Option or Convertible Security,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(for the purpose of determining the consideration paid for such Common Stock, Option or Convertible Security, but not for the purpose of the calculation of the Black Scholes Consideration Value)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Times;Serif" w:hAnsi="Times New Roman;Times;Serif"/>
          <w:b/>
          <w:i w:val="false"/>
          <w:caps w:val="false"/>
          <w:smallCaps w:val="false"/>
          <w:sz w:val="20"/>
        </w:rPr>
        <w:t>Valuation Event</w:t>
      </w:r>
      <w:r>
        <w:rPr>
          <w:rFonts w:ascii="Times New Roman;Times;Serif" w:hAnsi="Times New Roman;Times;Serif"/>
          <w:b w:val="false"/>
          <w:i w:val="false"/>
          <w:caps w:val="false"/>
          <w:smallCaps w:val="false"/>
          <w:sz w:val="20"/>
        </w:rPr>
        <w:t>”), the fair value of such consideration will be determined within five (5) Trading Days after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ind w:left="8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Number of Warrant Shares</w:t>
      </w:r>
      <w:r>
        <w:rPr>
          <w:rFonts w:ascii="Times New Roman;Times;Serif" w:hAnsi="Times New Roman;Times;Serif"/>
          <w:b w:val="false"/>
          <w:i w:val="false"/>
          <w:caps w:val="false"/>
          <w:smallCaps w:val="false"/>
          <w:sz w:val="20"/>
        </w:rPr>
        <w:t>. Simultaneously with any adjustment to the Exercise Price pursuant to this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Holder’s Right of Alternative Exercise Price Following Issuance of Certain Options or Convertible Securities</w:t>
      </w:r>
      <w:r>
        <w:rPr>
          <w:rFonts w:ascii="Times New Roman;Times;Serif" w:hAnsi="Times New Roman;Times;Serif"/>
          <w:b w:val="false"/>
          <w:i w:val="false"/>
          <w:caps w:val="false"/>
          <w:smallCaps w:val="false"/>
          <w:sz w:val="20"/>
        </w:rPr>
        <w:t>. In addition to and not in limitation of the other provisions of this Section 2, if the Company in any manner issues or sells or enters into any agreement to issue or sell, any Common Stock, Options or Convertible Securities (other than a Permitted ATM (as defined in the Securities Purchase Agreement) (any such securities, “</w:t>
      </w:r>
      <w:r>
        <w:rPr>
          <w:rFonts w:ascii="Times New Roman;Times;Serif" w:hAnsi="Times New Roman;Times;Serif"/>
          <w:b/>
          <w:i w:val="false"/>
          <w:caps w:val="false"/>
          <w:smallCaps w:val="false"/>
          <w:sz w:val="20"/>
        </w:rPr>
        <w:t>Variable Price Securities</w:t>
      </w:r>
      <w:r>
        <w:rPr>
          <w:rFonts w:ascii="Times New Roman;Times;Serif" w:hAnsi="Times New Roman;Times;Serif"/>
          <w:b w:val="false"/>
          <w:i w:val="false"/>
          <w:caps w:val="false"/>
          <w:smallCaps w:val="false"/>
          <w:sz w:val="20"/>
        </w:rPr>
        <w:t>”) after the Subscription Date that are issuable pursuant to such agreement or convertible into or exchangeable or exercisable for shares of Common Stock at a price which varies or may vary with the market price of the shares of Common Stock,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Times New Roman;Times;Serif" w:hAnsi="Times New Roman;Times;Serif"/>
          <w:b/>
          <w:i w:val="false"/>
          <w:caps w:val="false"/>
          <w:smallCaps w:val="false"/>
          <w:sz w:val="20"/>
        </w:rPr>
        <w:t>Variable Price</w:t>
      </w:r>
      <w:r>
        <w:rPr>
          <w:rFonts w:ascii="Times New Roman;Times;Serif" w:hAnsi="Times New Roman;Times;Serif"/>
          <w:b w:val="false"/>
          <w:i w:val="false"/>
          <w:caps w:val="false"/>
          <w:smallCaps w:val="false"/>
          <w:sz w:val="20"/>
        </w:rPr>
        <w:t>”), the Company shall provide written notice thereof via facsimile and overnight courier to the Holder on the date of such agreement and the issuance of such Convertible Securities or Options. From and after the date the Company enters into such agreement or issues any such Variable Price Securities, the Holder shall have the right, but not the obligation, in its sole discretion to substitute the Variable Price for the Exercise Price upon exercise of this Warrant by designating in the Exercise Notice delivered upon any exercise of this Warrant that solely for purposes of such exercise the Holder is relying on the Variable Price rather than the Exercise Price then in effect. The Holder’s election to rely on a Variable Price for a particular exercise of this Warrant shall not obligate the Holder to rely on a Variable Price for any future exercises of this Warrant.</w:t>
      </w:r>
    </w:p>
    <w:p>
      <w:pPr>
        <w:pStyle w:val="TextBody"/>
        <w:bidi w:val="0"/>
        <w:spacing w:before="0" w:after="0"/>
        <w:ind w:left="10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Stock Combination Event Adjustment</w:t>
      </w:r>
      <w:r>
        <w:rPr>
          <w:rFonts w:ascii="Times New Roman;Times;Serif" w:hAnsi="Times New Roman;Times;Serif"/>
          <w:b w:val="false"/>
          <w:i w:val="false"/>
          <w:caps w:val="false"/>
          <w:smallCaps w:val="false"/>
          <w:sz w:val="20"/>
        </w:rPr>
        <w:t>. If at any time and from time to time on or after the Issuance Date there occurs any stock split, stock dividend, stock combination recapitalization or other similar transaction involving the Common Stock (each, a “</w:t>
      </w:r>
      <w:r>
        <w:rPr>
          <w:rFonts w:ascii="Times New Roman;Times;Serif" w:hAnsi="Times New Roman;Times;Serif"/>
          <w:b/>
          <w:i w:val="false"/>
          <w:caps w:val="false"/>
          <w:smallCaps w:val="false"/>
          <w:sz w:val="20"/>
        </w:rPr>
        <w:t>Stock Combination Event</w:t>
      </w:r>
      <w:r>
        <w:rPr>
          <w:rFonts w:ascii="Times New Roman;Times;Serif" w:hAnsi="Times New Roman;Times;Serif"/>
          <w:b w:val="false"/>
          <w:i w:val="false"/>
          <w:caps w:val="false"/>
          <w:smallCaps w:val="false"/>
          <w:sz w:val="20"/>
        </w:rPr>
        <w:t>”, and such date thereof, the “</w:t>
      </w:r>
      <w:r>
        <w:rPr>
          <w:rFonts w:ascii="Times New Roman;Times;Serif" w:hAnsi="Times New Roman;Times;Serif"/>
          <w:b/>
          <w:i w:val="false"/>
          <w:caps w:val="false"/>
          <w:smallCaps w:val="false"/>
          <w:sz w:val="20"/>
        </w:rPr>
        <w:t>Stock Combination Event Date</w:t>
      </w:r>
      <w:r>
        <w:rPr>
          <w:rFonts w:ascii="Times New Roman;Times;Serif" w:hAnsi="Times New Roman;Times;Serif"/>
          <w:b w:val="false"/>
          <w:i w:val="false"/>
          <w:caps w:val="false"/>
          <w:smallCaps w:val="false"/>
          <w:sz w:val="20"/>
        </w:rPr>
        <w:t>”) and the Event Market Price is less than the Exercise Price then in effect (after giving effect to the adjustment in clause 2(a) above), then on the sixteenth (16th) Trading Day immediately following such Stock Combination Event, the Exercise Price then in effect on such sixteenth (16th) Trading Day (after giving effect to the adjustment in clause 2(a) above) shall be reduced (but in no event increased) to the Event Market Price. Notwithstanding the foregoing, if a Holder requests to exercise this Warrant, in whole or in part, on any given date during any Event Market Price Measuring Period, solely with respect to such portion of this Warrant subject to such exercise on such applicable Exercise Date, (a) such applicable Stock Combination Event Date shall be deemed to mean such Exercise Date, (b) such applicable Stock Combination Measuring Period shall be deemed to have ended on the Trading Day immediately prior to such Exercise Date and (c) the applicable Event Market Price for such portion of this Warrant exercised shall be calculated pursuant to this Section 2(e). For the avoidance of doubt, if the adjustment in the immediately preceding sentence would otherwise result in an increase in the Exercise Price hereunder, no adjustment shall be made.</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Other Events</w:t>
      </w:r>
      <w:r>
        <w:rPr>
          <w:rFonts w:ascii="Times New Roman;Times;Serif" w:hAnsi="Times New Roman;Times;Serif"/>
          <w:b w:val="false"/>
          <w:i w:val="false"/>
          <w:caps w:val="false"/>
          <w:smallCaps w:val="false"/>
          <w:sz w:val="20"/>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2(f) will increase the Exercise Price or decrease the number of Warrant Shares as otherwise determined pursuant to this Section 2,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2 shall be made by rounding to the nearest cent or the nearest 1/100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a share, as applicable. The number of shares of Common Stock outstanding at any given time shall not include shares owned or held by or for the account of the Company, and the disposition of any such shares shall be considered an issuance or sale of Common Stock.</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during the term of this Warrant, with the prior written consent of the Required Holders (as defined in the Securities Purchase Agreement), reduce the then current Exercise Price to any amount and for any period of time deemed appropriate by the board of directors of the Company.</w:t>
      </w:r>
    </w:p>
    <w:p>
      <w:pPr>
        <w:pStyle w:val="TextBody"/>
        <w:bidi w:val="0"/>
        <w:spacing w:before="0" w:after="0"/>
        <w:ind w:left="1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or Section 4(a) below,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in excess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8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PURCHASE RIGHTS; FUNDAMENTAL TRANSACTIONS.</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Sections 2 or 3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10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0"/>
        <w:ind w:left="1539" w:right="0" w:hanging="719"/>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Change of Control Redemption</w:t>
      </w:r>
      <w:r>
        <w:rPr>
          <w:rFonts w:ascii="Times New Roman;Times;Serif" w:hAnsi="Times New Roman;Times;Serif"/>
          <w:b w:val="false"/>
          <w:i w:val="false"/>
          <w:caps w:val="false"/>
          <w:smallCaps w:val="false"/>
          <w:sz w:val="20"/>
        </w:rPr>
        <w:t>. Notwithstanding the foregoing and the provisions of Section 4(b) above, at the request of the Holder delivered at any time commencing on the earliest to occur of (x) the public disclosure of any Change of Control, (y) the consummation of any Change of Control and (z) the Holder first becoming aware of any Change of Control through the date that is ninety (90) days after the public disclosure of the consummation of such Change of Control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after the date of such request and (y) the date of consummation of such Change of Control.</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Event of Default Redemption</w:t>
      </w:r>
      <w:r>
        <w:rPr>
          <w:rFonts w:ascii="Times New Roman;Times;Serif" w:hAnsi="Times New Roman;Times;Serif"/>
          <w:b w:val="false"/>
          <w:i w:val="false"/>
          <w:caps w:val="false"/>
          <w:smallCaps w:val="false"/>
          <w:sz w:val="20"/>
        </w:rPr>
        <w:t>. Notwithstanding the foregoing and the provisions of Section 4(b) above, at the request of the Holder delivered at any time after the occurrence of an Event of Default (as defined in the Notes)(assuming for such purpose that the Notes remain outstanding), the Company or the Successor Entity (as the case may be) shall purchase this Warrant from the Holder on the date of such request by paying to the Holder cash in an amount equal to the Event of Default Black Scholes Value.</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(a) shall not increase the par value of any shares of Common Stock receivable upon the exercise of this Warrant above the Exercise Price then in effect, and (b) shall take all such actions as may be necessary or appropriate in order that the Company may validly and legally issue fully paid and non-assessable shares of Common Stock upon the exercise of this Warrant.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best efforts to promptly remedy such failure, including, without limitation, obtaining such consents or approvals as necessary to permit such exercise into shares of Common Stock.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ind w:left="8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REISSUANCE OF WARRANTS.</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(other than the issuance of shares of Common Stock upon exercise in accordance with the terms hereof),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(ii) at least fifteen (15)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 (iii) at least ten (10) Trading Days prior to the consummation of any Fundamental Transaction and (iv) within one (1) Business Day of the occurrence of an Event of Default (as defined in the Notes), setting forth in reasonable detail any material events with respect to such Event of Default and any efforts by the Company to cure such Event of Default. To the extent that any notice provided hereunder constitutes, or contains, material, non-public information regarding the Company or any of its Subsidiaries, the Company shall simultaneously file such notice with the SEC (as defined in the Securities Purchase Agreement) pursuant to a Current Report on Form 8-K. If the Company or any of its Subsidiaries provides material non- public information to the Holder that is not simultaneously filed in a Current Report on Form 8- K and the Holder has not agreed to receive such material non-public information, the Company hereby covenants and agrees that the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It is expressly understood and agreed that the time of execution specified by the Holder in each Exercise Notice shall be definitive and may not be disputed or challenged by the Company.</w:t>
      </w:r>
    </w:p>
    <w:p>
      <w:pPr>
        <w:pStyle w:val="TextBody"/>
        <w:bidi w:val="0"/>
        <w:spacing w:before="0" w:after="0"/>
        <w:ind w:left="1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9 shall limit any obligations of the Company, or any rights of the Holder, under Section 4(i) of the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ABSENCE OF TRADING AND DISCLOSURE RESTRICTIONS</w:t>
      </w:r>
      <w:r>
        <w:rPr>
          <w:rFonts w:ascii="Times New Roman;Times;Serif" w:hAnsi="Times New Roman;Times;Serif"/>
          <w:b w:val="false"/>
          <w:i w:val="false"/>
          <w:caps w:val="false"/>
          <w:smallCaps w:val="false"/>
          <w:sz w:val="20"/>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(other than Section 1(f) above and this Section 11, which may not be amended, modified or waived)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Section 9(f) of the Securities Purchase Agreement and agrees that such service shall constitute good and sufficient service of process and notice thereof.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IRREVOCABLY WAIVES ANY RIGHT IT MAY HAVE TO, AND AGREES NOT TO REQUEST, A JURY TRIAL FOR THE ADJUDICATION OF ANY DISPUTE HEREUNDER OR IN CONNECTION WITH OR ARISING OUT OF THIS WARRANT OR ANY TRANSACTION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Initial Closing Date in such other Transaction Documents unless otherwise consented to in writing by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w:t>
      </w:r>
    </w:p>
    <w:p>
      <w:pPr>
        <w:pStyle w:val="TextBody"/>
        <w:bidi w:val="0"/>
        <w:spacing w:before="0" w:after="0"/>
        <w:ind w:left="1538" w:right="0" w:hanging="718"/>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Submission to Dispute Resolution</w:t>
      </w:r>
      <w:r>
        <w:rPr>
          <w:rFonts w:ascii="Times New Roman;Times;Serif" w:hAnsi="Times New Roman;Times;Serif"/>
          <w:b w:val="false"/>
          <w:i w:val="false"/>
          <w:caps w:val="false"/>
          <w:smallCaps w:val="false"/>
          <w:sz w:val="20"/>
        </w:rPr>
        <w:t>.</w:t>
      </w:r>
    </w:p>
    <w:p>
      <w:pPr>
        <w:pStyle w:val="TextBody"/>
        <w:bidi w:val="0"/>
        <w:spacing w:before="0" w:after="0"/>
        <w:ind w:left="8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 dispute relating to the Exercise Price, the Closing Sale Price, the Bid Price, Black Scholes Consideration Value, Event of Default Black Scholes Value, Black Scholes Value or fair market value or the arithmetic calculation of the number of Warrant Shares (as the case may be) (including, without limitation, a dispute relating to the determination of any of the foregoing), the Company or the Holder (as the case may be) shall submit the dispute to the other party via facsimile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Closing Sale Price, such Bid Price, such Black Scholes Consideration Value, Event of Default Black Scholes Value, Black Scholes Value or such fair market value or such arithmetic calculation of the number of Warrant Shares (as the case may be), at any time after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Holder and the Company shall each deliver to such investment bank (A) a copy of the initial dispute submission so delivered in accordance with the first sentence of this Section 15 and (B) written documentation supporting its position with respect to such dispute, in each case, no later than 5:00 p.m. (New York time) by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immediately following the date on which the Holder selected such investment bank (the “</w:t>
      </w:r>
      <w:r>
        <w:rPr>
          <w:rFonts w:ascii="Times New Roman;Times;Serif" w:hAnsi="Times New Roman;Times;Serif"/>
          <w:b/>
          <w:i w:val="false"/>
          <w:caps w:val="false"/>
          <w:smallCaps w:val="false"/>
          <w:sz w:val="20"/>
        </w:rPr>
        <w:t>Dispute Submission Deadline</w:t>
      </w:r>
      <w:r>
        <w:rPr>
          <w:rFonts w:ascii="Times New Roman;Times;Serif" w:hAnsi="Times New Roman;Times;Serif"/>
          <w:b w:val="false"/>
          <w:i w:val="false"/>
          <w:caps w:val="false"/>
          <w:smallCaps w:val="false"/>
          <w:sz w:val="20"/>
        </w:rPr>
        <w:t>”) (the documents referred to in the immediately preceding clauses (A) and (B) are collectively referred to herein as the “</w:t>
      </w:r>
      <w:r>
        <w:rPr>
          <w:rFonts w:ascii="Times New Roman;Times;Serif" w:hAnsi="Times New Roman;Times;Serif"/>
          <w:b/>
          <w:i w:val="false"/>
          <w:caps w:val="false"/>
          <w:smallCaps w:val="false"/>
          <w:sz w:val="20"/>
        </w:rPr>
        <w:t>Required Dispute Documentation</w:t>
      </w:r>
      <w:r>
        <w:rPr>
          <w:rFonts w:ascii="Times New Roman;Times;Serif" w:hAnsi="Times New Roman;Times;Serif"/>
          <w:b w:val="false"/>
          <w:i w:val="false"/>
          <w:caps w:val="false"/>
          <w:smallCaps w:val="false"/>
          <w:sz w:val="20"/>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The Company expressly acknowledges and agrees that (i) this Section 15 constitutes an agreement to arbitrate between the Company and the Holder (and constitutes an arbitration agreement) under the rules then in effect § 7501, et seq. of the New York Civil Practice Law and Rules (“</w:t>
      </w:r>
      <w:r>
        <w:rPr>
          <w:rFonts w:ascii="Times New Roman;Times;Serif" w:hAnsi="Times New Roman;Times;Serif"/>
          <w:b/>
          <w:i w:val="false"/>
          <w:caps w:val="false"/>
          <w:smallCaps w:val="false"/>
          <w:sz w:val="20"/>
        </w:rPr>
        <w:t>CPLR</w:t>
      </w:r>
      <w:r>
        <w:rPr>
          <w:rFonts w:ascii="Times New Roman;Times;Serif" w:hAnsi="Times New Roman;Times;Serif"/>
          <w:b w:val="false"/>
          <w:i w:val="false"/>
          <w:caps w:val="false"/>
          <w:smallCaps w:val="false"/>
          <w:sz w:val="20"/>
        </w:rPr>
        <w:t>”) and that the Holder is authorized to apply for an order to compel arbitration pursuant to CPLR § 7503(a) in order to compel compliance with this Section 15, (ii) a dispute relating to the Exercise Price includes, without limitation, disputes as to (A) whether an issuance or sale or deemed issuance or sale of Common Stock occurred under Section 2(b), (B) the consideration per share at which an issuance or deemed issuance of Common Stock occurred, (C) whether any issuance or sale or deemed issuance or sale of Common Stock was an issuance or sale or deemed issuance or sale of Excluded Securities, (D) whether an agreement, instrument, security or the like constitutes and Option or Convertible Security and (E) whether a Dilutive Issuance occurred, (iii) the terms of this Warrant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(including, without limitation, determining (A) whether an issuance or sale or deemed issuance or sale of Common Stock occurred under Section 2(b), (B) the consideration per share at which an issuance or deemed issuance of Common Stock occurred, (C) whether any issuance or sale or deemed issuance or sale of Common Stock was an issuance or sale or deemed issuance or sale of Excluded Securities, (D) whether an agreement, instrument, security or the like constitutes and Option or Convertible Security and (E) whether a Dilutive Issuance occurred) and in resolving such dispute such investment bank shall apply such findings, determinations and the like to the terms of this Warrant and any other applicable Transaction Documents, (iv) the Holder (and only the Holder), in its sole discretion, shall have the right to submit any dispute described in this Section 15 to any state or federal court sitting in The City of New York, Borough of Manhattan in lieu of utilizing the procedures set forth in this Section 15 and (v) nothing in this Section 15 shall limit the Holder from obtaining any injunctive relief or other equitable remedies (including, without limitation, with respect to any matters described in this Section 15).</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REMEDIES, CHARACTERIZATION,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pStyle w:val="TextBody"/>
        <w:bidi w:val="0"/>
        <w:spacing w:before="0" w:after="0"/>
        <w:ind w:left="8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PAYMENT OF COLLECTION, ENFORCEMENT AND OTHER COSTS</w:t>
      </w:r>
      <w:r>
        <w:rPr>
          <w:rFonts w:ascii="Times New Roman;Times;Serif" w:hAnsi="Times New Roman;Times;Serif"/>
          <w:b w:val="false"/>
          <w:i w:val="false"/>
          <w:caps w:val="false"/>
          <w:smallCaps w:val="false"/>
          <w:sz w:val="20"/>
        </w:rPr>
        <w:t>. If (a) this Warrant is placed in the hands of an attorney for collection or enforcement or is 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may be offered for sale, sold, transferred or assigned without the consent of the Company, except as may otherwise be required by Section 2(g) of the Securities Purchase Agreement.</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means the Securities Act of 1933, as amended, and the rules and regulations thereunder.</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 as amended, and the rules and regulations thereunder.</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Bid Price</w:t>
      </w:r>
      <w:r>
        <w:rPr>
          <w:rFonts w:ascii="Times New Roman;Times;Serif" w:hAnsi="Times New Roman;Times;Serif"/>
          <w:b w:val="false"/>
          <w:i w:val="false"/>
          <w:caps w:val="false"/>
          <w:smallCaps w:val="false"/>
          <w:sz w:val="20"/>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 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Open Market (or a similar organization or agency succeeding to its functions of reporting prices)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Black Scholes Consideration Value</w:t>
      </w:r>
      <w:r>
        <w:rPr>
          <w:rFonts w:ascii="Times New Roman;Times;Serif" w:hAnsi="Times New Roman;Times;Serif"/>
          <w:b w:val="false"/>
          <w:i w:val="false"/>
          <w:caps w:val="false"/>
          <w:smallCaps w:val="false"/>
          <w:sz w:val="20"/>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30 day volatility obtained from the “HVT” function on Bloomberg (determined utilizing a 365 day annualization factor) as of the Trading Day immediately following the date of issuance of such Option, Convertible Security or Adjustment Right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Change of Control (or the consummation of the applicable Change of Control, if earlier) and ending on the Trading Day of the Holder’s request pursuant to Section 4(c)(i) and (2) the sum of the price per share being offered in cash in the applicable Change of Control (if any) plus the value of the non-cash consideration being offered in the applicable Change of Control (if any), (ii) a strike price equal to the Exercise Price in effect on the date of the Holder’s request pursuant to Section 4(c)(i), (iii) a risk-free interest rate corresponding to the U.S. Treasury rate for a period equal to the greater of (1) the remaining term of this Warrant as of the date of the Holder’s request pursuant to Section 4(c)(i) and (2) the remaining term of this Warrant as of the date of consummation of the applicable Change of Control or as of the date of the Holder’s request pursuant to Section 4(c)(i) if such request is prior to the date of the consummation of the applicable Change of Control, (iv) a zero cost of borrow and (v) an expected volatility equal to the greater of 100% and the 30 day volatility obtained from the “HVT” function on Bloomberg (determined utilizing a 365 day annualization factor) as of the Trading Day immediately following the earliest to occur of (A) the public disclosure of the applicable Change of Control and (B) the date of the Holder’s request pursuant to Section 4(c)(i).</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 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(iii) pursuant to a migratory merger effected solely for the purpose of changing the jurisdiction of incorporation of the Company or any of its Subsidiaries, (iv) any merger, acquisition or other similar transaction in which holders of the Company’s voting power immediately prior to such merger, acquisition or other similar transaction, directly or indirectly, are, in all material respects, the holders of the voting power of the surviving entity (or entities with the authority or voting power to elect the majority of the members of the board of directors (or their equivalent if other than a corporation) of such entity or entities) immediately after such merger, acquisition or other similar transaction; or (v) the Merger (as defined in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class A common stock, $0.0001 par value per share, and (ii) any capital stock into which such common stock shall have been changed or any share capital resulting from a reclassification of such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New York Stock Exchange, the NYSE American, the Nasdaq Global Select Market, the Nasdaq Global Market or the Nasdaq Capital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Event Market Price</w:t>
      </w:r>
      <w:r>
        <w:rPr>
          <w:rFonts w:ascii="Times New Roman;Times;Serif" w:hAnsi="Times New Roman;Times;Serif"/>
          <w:b w:val="false"/>
          <w:i w:val="false"/>
          <w:caps w:val="false"/>
          <w:smallCaps w:val="false"/>
          <w:sz w:val="20"/>
        </w:rPr>
        <w:t>” means, with respect to any Stock Combination Event Date, the quotient determined by dividing (x) the sum of the VWAP of the Common Stock for each of the five (5) lowest Trading Days during the twenty (20) consecutive Trading Day period ending and including the Trading Day immediately preceding the sixteenth (16th) Trading Day after such Stock Combination Event Date, divided by (y) five (5). All such determinations shall be appropriately adjusted for any stock dividend, stock split, stock combination, recapitalization or other similar transaction during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Event of Default 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4(c)(ii), which value is calculated using the Black Scholes Option Pricing Model obtained from the “OV” function on Bloomberg utilizing (i) an underlying price per share equal to the highest Closing Sale Price of the Common Stock during the period beginning on the date of the occurrence of the Event of Default through the date all Events of Default have been cured (assuming for such purpose that the Notes remain outstanding) or, if earlier, the Trading Day of the Holder’s request pursuant to Section 4(c)(ii), (ii) a strike price equal to the Exercise Price in effect on the date of the Holder’s request pursuant to Section 4(c)(ii), (iii) a risk-free interest rate corresponding to the U.S. Treasury rate for a period equal to the greater of (1) the remaining term of this Warrant as of the date of the Holder’s request pursuant to Section 4(c)(ii) and (2) the remaining term of this Warrant as of the date of the occurrence of such Event of Default, (iv) a zero cost of borrow and (v) an expected volatility equal to the greater of 100% and the 30 day volatility obtained from the “HVT” function on Bloomberg (determined utilizing a 365 day annualization factor) as of the Trading Day immediately following later of (x) the date of the occurrence of such Event of Default and (y) the date of the public announcement of such Event of Default.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(i) shares of Common Stock or standard options to purchase Common Stock issued to directors, officers or employees of the Company for services rendered to the Company in their capacity as such pursuant to an Approved Stock Plan (as defined above), provided that (A) all such issuances (taking into account the shares of Common Stock issuable upon exercise of such options) after the Subscription Date pursuant to this clause (i) do not, in the aggregate, exceed more than 5% of the Common Stock issued and outstanding immediately prior to the Subscription Date and (B)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(ii) shares of Common Stock issued upon the conversion or exercise of Convertible Securities (other than standard options to purchase Common Stock issued pursuant to an Approved Stock Plan that are covered by clause (i) above) issued prior to the Subscription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Buyers; (iii) the shares of Common Stock issuable upon conversion of the Notes or otherwise pursuant to the terms of the Notes; provided, that the terms of the Notes are not amended, modified or changed on or after the Subscription Date (other than antidilution adjustments pursuant to the terms thereof in effect as of the Subscription Date), (iv) the shares of Common Stock issuable upon exercise of the SPA Warrants; provided, that the terms of the SPA Warrant are not amended, modified or changed on or after the Subscription Date (other than antidilution adjustments pursuant to the terms thereof in effect as of the Subscription Date), (v) shares of Common Stock issued or issuable pursuant to a Permitted ATM and (vi) shares of Common Stock to be issued in the Merger (as defined in the Securities Purchase Agreement) in accordance with the Merger Agreement (as defined in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third (3rd)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shareholders of the Company to surrender their shares of Common Stock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10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1934 Act and as defined in Rule 13d-5 thereunder.</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has the meaning ascribed to such term in the Securities Purchase Agreement, and shall include all notes issued in exchange therefor or replacement thereof.</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or a government or any department or agency thereof.</w:t>
      </w:r>
    </w:p>
    <w:p>
      <w:pPr>
        <w:pStyle w:val="TextBody"/>
        <w:bidi w:val="0"/>
        <w:spacing w:before="0" w:after="0"/>
        <w:ind w:left="8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means that certain registration rights agreement, dated as of the Initial Closing Date, by and among the Company and the initial holders of the Notes relating to, among other things, the registration of the resale of the Common Stock issuable upon conversion of the Notes or otherwise pursuant to the terms of the Notes and exercise of the SPA Warrants, as may be amended from time to time.</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the successor thereto.</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Common Stock, any day on which The New York Stock Exchange (or any successor thereto) is open for trading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recapitalization or other similar transaction during such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Company has caused this Warrant to Purchase Common Stock to be duly executed as of the Issuance Date set out above.</w:t>
      </w:r>
    </w:p>
    <w:p>
      <w:pPr>
        <w:pStyle w:val="TextBody"/>
        <w:bidi w:val="0"/>
        <w:spacing w:before="0" w:after="0"/>
        <w:ind w:left="4420" w:right="0" w:hanging="0"/>
        <w:jc w:val="left"/>
        <w:rPr>
          <w:caps w:val="false"/>
          <w:smallCaps w:val="false"/>
        </w:rPr>
      </w:pPr>
      <w:r>
        <w:rPr>
          <w:caps w:val="false"/>
          <w:smallCaps w:val="false"/>
        </w:rPr>
        <w:t> </w:t>
      </w:r>
    </w:p>
    <w:tbl>
      <w:tblPr>
        <w:tblW w:w="3034" w:type="dxa"/>
        <w:jc w:val="left"/>
        <w:tblInd w:w="0" w:type="dxa"/>
        <w:tblLayout w:type="fixed"/>
        <w:tblCellMar>
          <w:top w:w="0" w:type="dxa"/>
          <w:left w:w="0" w:type="dxa"/>
          <w:bottom w:w="0" w:type="dxa"/>
          <w:right w:w="0" w:type="dxa"/>
        </w:tblCellMar>
      </w:tblPr>
      <w:tblGrid>
        <w:gridCol w:w="75"/>
        <w:gridCol w:w="645"/>
        <w:gridCol w:w="231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3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1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 Davy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562" w:right="0" w:hanging="0"/>
        <w:jc w:val="center"/>
        <w:rPr>
          <w:caps w:val="false"/>
          <w:smallCaps w:val="false"/>
        </w:rPr>
      </w:pPr>
      <w:r>
        <w:rPr>
          <w:caps w:val="false"/>
          <w:smallCaps w:val="false"/>
        </w:rPr>
        <w:t> </w:t>
      </w:r>
    </w:p>
    <w:p>
      <w:pPr>
        <w:pStyle w:val="TextBody"/>
        <w:bidi w:val="0"/>
        <w:spacing w:before="0" w:after="0"/>
        <w:ind w:left="56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elects to exercise the Warrant to Purchase Common Stock No. ________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of Banzai International,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specified below. Capitalized terms used herein and not otherwise defined shall have the respective meanings set forth in the Warrant.</w:t>
      </w:r>
    </w:p>
    <w:p>
      <w:pPr>
        <w:pStyle w:val="TextBody"/>
        <w:bidi w:val="0"/>
        <w:spacing w:before="0" w:after="0"/>
        <w:ind w:left="10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Form of Exercise Price</w:t>
      </w:r>
      <w:r>
        <w:rPr>
          <w:rFonts w:ascii="Times New Roman;Times;Serif" w:hAnsi="Times New Roman;Times;Serif"/>
          <w:b w:val="false"/>
          <w:i w:val="false"/>
          <w:caps w:val="false"/>
          <w:smallCaps w:val="false"/>
          <w:sz w:val="20"/>
        </w:rPr>
        <w:t>. The Holder intends that payment of the Aggregate Exercise Price shall be made as:</w:t>
      </w:r>
    </w:p>
    <w:p>
      <w:pPr>
        <w:pStyle w:val="TextBody"/>
        <w:bidi w:val="0"/>
        <w:spacing w:before="0" w:after="0"/>
        <w:ind w:left="226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75"/>
        <w:gridCol w:w="230"/>
        <w:gridCol w:w="71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 ________________________ Warrant Shares;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71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 ___________________Warrant Shares.</w:t>
            </w:r>
          </w:p>
        </w:tc>
      </w:tr>
    </w:tbl>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(i) this Exercise Notice was executed by the Holder at _____________[a.m.][p.m.] on the date set forth below and (ii) if applicable, the Bid Price as of such time of execution of this Exercise Notice was $_______.</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Payment of Exercise Price</w:t>
      </w:r>
      <w:r>
        <w:rPr>
          <w:rFonts w:ascii="Times New Roman;Times;Serif" w:hAnsi="Times New Roman;Times;Serif"/>
          <w:b w:val="false"/>
          <w:i w:val="false"/>
          <w:caps w:val="false"/>
          <w:smallCaps w:val="false"/>
          <w:sz w:val="20"/>
        </w:rPr>
        <w:t>. In the event that the Holder has elected a Cash Exercise with respect to some or all of the Warrant Shares to be issued pursuant hereto, the Holder shall pay the Aggregate Exercise Price in the sum of $________________to the Company in accordance with the terms of the Warrant.</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Delivery of Warrant Shares</w:t>
      </w:r>
      <w:r>
        <w:rPr>
          <w:rFonts w:ascii="Times New Roman;Times;Serif" w:hAnsi="Times New Roman;Times;Serif"/>
          <w:b w:val="false"/>
          <w:i w:val="false"/>
          <w:caps w:val="false"/>
          <w:smallCaps w:val="false"/>
          <w:sz w:val="20"/>
        </w:rPr>
        <w:t>. The Company shall deliver to Holder, or its designee or agent as specified below, _____________shares of Common Stock in accordance with the terms of the Warrant. Delivery shall be made to Holder, or for its benefit, as follows:</w:t>
      </w:r>
    </w:p>
    <w:p>
      <w:pPr>
        <w:pStyle w:val="TextBody"/>
        <w:bidi w:val="0"/>
        <w:spacing w:before="0" w:after="0"/>
        <w:ind w:left="100" w:right="0" w:firstLine="1439"/>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230"/>
        <w:gridCol w:w="81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w:t>
            </w:r>
          </w:p>
        </w:tc>
        <w:tc>
          <w:tcPr>
            <w:tcW w:w="8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Check here if requesting delivery as a certificate to the following name and to the following address:</w:t>
            </w:r>
          </w:p>
        </w:tc>
      </w:tr>
    </w:tbl>
    <w:p>
      <w:pPr>
        <w:pStyle w:val="TextBody"/>
        <w:bidi w:val="0"/>
        <w:spacing w:before="0" w:after="0"/>
        <w:ind w:left="0" w:right="0" w:hanging="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695"/>
        <w:gridCol w:w="7490"/>
      </w:tblGrid>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to:</w:t>
            </w:r>
          </w:p>
        </w:tc>
        <w:tc>
          <w:tcPr>
            <w:tcW w:w="7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caps w:val="false"/>
                <w:smallCaps w:val="false"/>
              </w:rPr>
            </w:pPr>
            <w:r>
              <w:rPr>
                <w:caps w:val="false"/>
                <w:smallCaps w:val="false"/>
              </w:rPr>
              <w:t> </w:t>
            </w:r>
          </w:p>
        </w:tc>
        <w:tc>
          <w:tcPr>
            <w:tcW w:w="74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caps w:val="false"/>
                <w:smallCaps w:val="false"/>
              </w:rPr>
            </w:pPr>
            <w:r>
              <w:rPr>
                <w:caps w:val="false"/>
                <w:smallCaps w:val="false"/>
              </w:rPr>
              <w:t> </w:t>
            </w:r>
          </w:p>
        </w:tc>
        <w:tc>
          <w:tcPr>
            <w:tcW w:w="7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caps w:val="false"/>
                <w:smallCaps w:val="false"/>
              </w:rPr>
            </w:pPr>
            <w:r>
              <w:rPr>
                <w:caps w:val="false"/>
                <w:smallCaps w:val="false"/>
              </w:rPr>
              <w:t> </w:t>
            </w:r>
          </w:p>
        </w:tc>
        <w:tc>
          <w:tcPr>
            <w:tcW w:w="74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caps w:val="false"/>
                <w:smallCaps w:val="false"/>
              </w:rPr>
            </w:pPr>
            <w:r>
              <w:rPr>
                <w:caps w:val="false"/>
                <w:smallCaps w:val="false"/>
              </w:rPr>
              <w:t> </w:t>
            </w:r>
          </w:p>
        </w:tc>
        <w:tc>
          <w:tcPr>
            <w:tcW w:w="7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75"/>
        <w:gridCol w:w="230"/>
        <w:gridCol w:w="66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here if requesting delivery by Deposit/Withdrawal at Custodian as follows:</w:t>
            </w:r>
          </w:p>
        </w:tc>
      </w:tr>
    </w:tbl>
    <w:p>
      <w:pPr>
        <w:pStyle w:val="TextBody"/>
        <w:bidi w:val="0"/>
        <w:spacing w:before="0" w:after="0"/>
        <w:ind w:left="820" w:right="0" w:hanging="0"/>
        <w:jc w:val="both"/>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460"/>
        <w:gridCol w:w="6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w:t>
            </w:r>
          </w:p>
        </w:tc>
        <w:tc>
          <w:tcPr>
            <w:tcW w:w="6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caps w:val="false"/>
                <w:smallCaps w:val="false"/>
              </w:rPr>
            </w:pPr>
            <w:r>
              <w:rPr>
                <w:caps w:val="false"/>
                <w:smallCaps w:val="false"/>
              </w:rPr>
              <w:t> </w:t>
            </w:r>
          </w:p>
        </w:tc>
        <w:tc>
          <w:tcPr>
            <w:tcW w:w="67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Number:</w:t>
            </w:r>
          </w:p>
        </w:tc>
        <w:tc>
          <w:tcPr>
            <w:tcW w:w="6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caps w:val="false"/>
                <w:smallCaps w:val="false"/>
              </w:rPr>
            </w:pPr>
            <w:r>
              <w:rPr>
                <w:caps w:val="false"/>
                <w:smallCaps w:val="false"/>
              </w:rPr>
              <w:t> </w:t>
            </w:r>
          </w:p>
        </w:tc>
        <w:tc>
          <w:tcPr>
            <w:tcW w:w="67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tc>
        <w:tc>
          <w:tcPr>
            <w:tcW w:w="6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 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605"/>
        <w:gridCol w:w="60"/>
        <w:gridCol w:w="75"/>
      </w:tblGrid>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Address:_______________________</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8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to issue the above indicated number of shares of Common Stock in accordance with the Transfer Agent Instructions dated ________, 202_, from the Company and acknowledged and agreed to by _________________.</w:t>
      </w:r>
    </w:p>
    <w:p>
      <w:pPr>
        <w:pStyle w:val="TextBody"/>
        <w:bidi w:val="0"/>
        <w:spacing w:before="0" w:after="0"/>
        <w:ind w:left="0" w:right="0" w:hanging="0"/>
        <w:jc w:val="left"/>
        <w:rPr>
          <w:caps w:val="false"/>
          <w:smallCaps w:val="false"/>
        </w:rPr>
      </w:pPr>
      <w:r>
        <w:rPr>
          <w:caps w:val="false"/>
          <w:smallCaps w:val="false"/>
        </w:rPr>
        <w:t> </w:t>
      </w:r>
    </w:p>
    <w:tbl>
      <w:tblPr>
        <w:tblW w:w="3034" w:type="dxa"/>
        <w:jc w:val="left"/>
        <w:tblInd w:w="0" w:type="dxa"/>
        <w:tblLayout w:type="fixed"/>
        <w:tblCellMar>
          <w:top w:w="0" w:type="dxa"/>
          <w:left w:w="0" w:type="dxa"/>
          <w:bottom w:w="0" w:type="dxa"/>
          <w:right w:w="0" w:type="dxa"/>
        </w:tblCellMar>
      </w:tblPr>
      <w:tblGrid>
        <w:gridCol w:w="75"/>
        <w:gridCol w:w="916"/>
        <w:gridCol w:w="20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16" w:type="dxa"/>
            <w:tcBorders/>
            <w:vAlign w:val="center"/>
          </w:tcPr>
          <w:p>
            <w:pPr>
              <w:pStyle w:val="TableContents"/>
              <w:bidi w:val="0"/>
              <w:spacing w:before="0" w:after="283"/>
              <w:jc w:val="left"/>
              <w:rPr>
                <w:caps w:val="false"/>
                <w:smallCaps w:val="false"/>
              </w:rPr>
            </w:pPr>
            <w:r>
              <w:rPr>
                <w:caps w:val="false"/>
                <w:smallCaps w:val="false"/>
              </w:rPr>
              <w:t> </w:t>
            </w:r>
          </w:p>
        </w:tc>
        <w:tc>
          <w:tcPr>
            <w:tcW w:w="20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4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43"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011/000164117225017861/ex4-1.htm" TargetMode="External"/><Relationship Id="rId3" Type="http://schemas.openxmlformats.org/officeDocument/2006/relationships/hyperlink" Target="https://www.sec.gov/Archives/edgar/data/1826011/000164117225017861/ex4-2.htm" TargetMode="External"/><Relationship Id="rId4" Type="http://schemas.openxmlformats.org/officeDocument/2006/relationships/hyperlink" Target="https://www.sec.gov/Archives/edgar/data/1826011/000164117225017861/ex10-1.htm" TargetMode="External"/><Relationship Id="rId5" Type="http://schemas.openxmlformats.org/officeDocument/2006/relationships/hyperlink" Target="https://www.sec.gov/Archives/edgar/data/1826011/000164117225017861/ex10-2.htm" TargetMode="External"/><Relationship Id="rId6" Type="http://schemas.openxmlformats.org/officeDocument/2006/relationships/hyperlink" Target="https://www.sec.gov/Archives/edgar/data/1826011/000164117225017861/ex10-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56749</Words>
  <Characters>293215</Characters>
  <CharactersWithSpaces>350268</CharactersWithSpaces>
  <Paragraphs>1345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