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946" w:type="dxa"/>
        <w:jc w:val="left"/>
        <w:tblInd w:w="0" w:type="dxa"/>
        <w:tblLayout w:type="fixed"/>
        <w:tblCellMar>
          <w:top w:w="28" w:type="dxa"/>
          <w:left w:w="28" w:type="dxa"/>
          <w:bottom w:w="28" w:type="dxa"/>
          <w:right w:w="28" w:type="dxa"/>
        </w:tblCellMar>
      </w:tblPr>
      <w:tblGrid>
        <w:gridCol w:w="6946"/>
      </w:tblGrid>
      <w:tr>
        <w:trPr/>
        <w:tc>
          <w:tcPr>
            <w:tcW w:w="694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94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946" w:type="dxa"/>
            <w:tcBorders/>
            <w:vAlign w:val="center"/>
          </w:tcPr>
          <w:p>
            <w:pPr>
              <w:pStyle w:val="TableContents"/>
              <w:bidi w:val="0"/>
              <w:spacing w:before="0" w:after="0"/>
              <w:jc w:val="left"/>
              <w:rPr/>
            </w:pPr>
            <w:r>
              <w:rPr/>
              <w:t xml:space="preserve">UNDER THE SECURITIES EXCHANGE ACT OF 1934 </w:t>
            </w:r>
          </w:p>
        </w:tc>
      </w:tr>
      <w:tr>
        <w:trPr/>
        <w:tc>
          <w:tcPr>
            <w:tcW w:w="694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6946" w:type="dxa"/>
            <w:tcBorders/>
            <w:vAlign w:val="center"/>
          </w:tcPr>
          <w:p>
            <w:pPr>
              <w:pStyle w:val="TableContents"/>
              <w:bidi w:val="0"/>
              <w:spacing w:before="0" w:after="0"/>
              <w:jc w:val="center"/>
              <w:rPr>
                <w:b/>
                <w:color w:val="0000FF"/>
              </w:rPr>
            </w:pPr>
            <w:r>
              <w:rPr>
                <w:b/>
                <w:color w:val="0000FF"/>
              </w:rPr>
              <w:t>Banzai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946" w:type="dxa"/>
            <w:tcBorders/>
            <w:vAlign w:val="center"/>
          </w:tcPr>
          <w:p>
            <w:pPr>
              <w:pStyle w:val="TableContents"/>
              <w:bidi w:val="0"/>
              <w:spacing w:before="0" w:after="0"/>
              <w:jc w:val="center"/>
              <w:rPr>
                <w:b/>
                <w:color w:val="0000FF"/>
              </w:rPr>
            </w:pPr>
            <w:r>
              <w:rPr>
                <w:b/>
                <w:color w:val="0000FF"/>
              </w:rPr>
              <w:t>Class A common stock, par value $0.0001 per share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94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94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FE IV OR Aggregator,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61,331.00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61,331.00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61,331.00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Frederick N. Coulson IV</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61,331.00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61,331.00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61,331.00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6"/>
        <w:gridCol w:w="8934"/>
        <w:gridCol w:w="155"/>
      </w:tblGrid>
      <w:tr>
        <w:trPr/>
        <w:tc>
          <w:tcPr>
            <w:tcW w:w="1116" w:type="dxa"/>
            <w:tcBorders/>
            <w:vAlign w:val="center"/>
          </w:tcPr>
          <w:p>
            <w:pPr>
              <w:pStyle w:val="TableContents"/>
              <w:bidi w:val="0"/>
              <w:spacing w:before="0" w:after="283"/>
              <w:jc w:val="left"/>
              <w:rPr/>
            </w:pPr>
            <w:r>
              <w:rPr/>
              <w:t>Item 1.</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issuer: </w:t>
            </w:r>
          </w:p>
          <w:p>
            <w:pPr>
              <w:pStyle w:val="TableContents"/>
              <w:bidi w:val="0"/>
              <w:spacing w:before="0" w:after="0"/>
              <w:jc w:val="left"/>
              <w:rPr/>
            </w:pPr>
            <w:r>
              <w:rPr/>
              <w:t>Banzai International, Inc.</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435 Ericksen Ave, Suite 250, Bainbridge Island, Washington, 98110</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2.</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jointly by FE IV OR Aggregator, LLC ("FE Aggregator") and Frederick N. Coulson, IV ("Coulson" and together with FE Aggregator, the "Reporting Persons"). As the manager of FE Aggregator, Coulson holds voting and investment power over securities held by FE Aggregator.</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4801 Main Street, Suite 700, Kansas City, Missouri 64112.</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jc w:val="left"/>
              <w:rPr/>
            </w:pPr>
            <w:r>
              <w:rPr/>
              <w:t xml:space="preserve">Citizenship: </w:t>
            </w:r>
          </w:p>
          <w:p>
            <w:pPr>
              <w:pStyle w:val="TableContents"/>
              <w:bidi w:val="0"/>
              <w:spacing w:before="0" w:after="0"/>
              <w:jc w:val="left"/>
              <w:rPr/>
            </w:pPr>
            <w:r>
              <w:rPr/>
              <w:t>FE Aggregator is organized under the laws of the State of Delaware. Coulson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 (the "Shares")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3.</w:t>
            </w:r>
          </w:p>
        </w:tc>
        <w:tc>
          <w:tcPr>
            <w:tcW w:w="893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(f)</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(g)</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(h)</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(j)</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(k)</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9089" w:type="dxa"/>
            <w:gridSpan w:val="2"/>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4.</w:t>
            </w:r>
          </w:p>
        </w:tc>
        <w:tc>
          <w:tcPr>
            <w:tcW w:w="893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 As of the date of this report, FE Aggregator holds an aggregate of 61,331 Shares. As the manager of FE Aggregator, Coulson may be deemed to be a beneficial owner of the securities held by it.</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Items 4(a) - (c) and set forth in Rows 5 through 11 of the cover page for each Reporting Person is incorporated herein by reference for each such Reporting Person. The percentage amount set forth in Row 11 for all cover pages filed herewith is calculated based upon 2,112,325 Shares outstanding as of June 2, 2026, as reported by the Issuer in its registration statement on Form S-1 filed with the Securities and Exchange Commission on June 5, 2026.  %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5.</w:t>
            </w:r>
          </w:p>
        </w:tc>
        <w:tc>
          <w:tcPr>
            <w:tcW w:w="893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6.</w:t>
            </w:r>
          </w:p>
        </w:tc>
        <w:tc>
          <w:tcPr>
            <w:tcW w:w="893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7.</w:t>
            </w:r>
          </w:p>
        </w:tc>
        <w:tc>
          <w:tcPr>
            <w:tcW w:w="893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8.</w:t>
            </w:r>
          </w:p>
        </w:tc>
        <w:tc>
          <w:tcPr>
            <w:tcW w:w="893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The Reporting Persons are filing this Schedule 13G pursuant to Section 240.13d-1(c). The Reporting Persons neither disclaim nor affirm the existence of a group between them. Each reporting person is a beneficial owner only of the securities reported by it on its cover page.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9.</w:t>
            </w:r>
          </w:p>
        </w:tc>
        <w:tc>
          <w:tcPr>
            <w:tcW w:w="893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FE IV OR Aggregator, LLC</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7"/>
        <w:gridCol w:w="4268"/>
      </w:tblGrid>
      <w:tr>
        <w:trPr/>
        <w:tc>
          <w:tcPr>
            <w:tcW w:w="59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Frederick N. Coulson, IV</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Frederick N. Coulson, IV, Manager of FE IV OR Aggregator, LLC</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268"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Frederick N. Coulson IV</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4"/>
        <w:gridCol w:w="4361"/>
      </w:tblGrid>
      <w:tr>
        <w:trPr/>
        <w:tc>
          <w:tcPr>
            <w:tcW w:w="58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Frederick N. Coulson, IV</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Frederick N. Coulson IV</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1338</Words>
  <Characters>6708</Characters>
  <CharactersWithSpaces>8020</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