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1.htm"/>
      <w:bookmarkStart w:id="1" w:name="ksform424b1"/>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333-282680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877,372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filing this prospectus for the offer and sale from time to time by the selling securityholder named in this prospectus (the “Selling Securityholders”) of up to 877,372 shares of Class A Common Stock issued or issuable pursuant to the Debt Equitization Plan described elsewhere in this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Securityholders pursuant to this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 will offer or sell any of the shares of Class A Common Stock. The Selling Securityholder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 pursuant to this prospectus. We provide more information about how the Selling Securityholder may sell the shares in the section entitled “Plan of Distribution.”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Nasdaq Capital Market, under the symbol “BNZI.” On October 14, 2024, the last reported sale price of our Class A Common Stock was $3.70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and, as such, have elected to comply with certain reduced public disclosure requirements for this prospectus and future filings. This prospectus complies with the requirements that apply to an issuer that is an emerging growth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pPr>
      <w:r>
        <w:rPr>
          <w:rFonts w:ascii="Times New Roman;Times;Serif" w:hAnsi="Times New Roman;Times;Serif"/>
          <w:b/>
          <w:i w:val="false"/>
          <w:caps w:val="false"/>
          <w:smallCaps w:val="false"/>
          <w:sz w:val="20"/>
        </w:rPr>
        <w:t>See the section entitled “</w:t>
      </w:r>
      <w:hyperlink w:anchor="bs_004">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18 of this prospectus to read about factors you should consider before buying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November 13, 2024.</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left"/>
              <w:rPr/>
            </w:pPr>
            <w:hyperlink w:anchor="bs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left"/>
              <w:rPr/>
            </w:pPr>
            <w:hyperlink w:anchor="bs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left"/>
              <w:rPr/>
            </w:pPr>
            <w:hyperlink w:anchor="bs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left"/>
              <w:rPr/>
            </w:pPr>
            <w:hyperlink w:anchor="bs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470" w:type="dxa"/>
            <w:tcBorders/>
            <w:shd w:fill="CCEEFF" w:val="clear"/>
            <w:vAlign w:val="center"/>
          </w:tcPr>
          <w:p>
            <w:pPr>
              <w:pStyle w:val="TableContents"/>
              <w:bidi w:val="0"/>
              <w:spacing w:before="0" w:after="283"/>
              <w:jc w:val="left"/>
              <w:rPr/>
            </w:pPr>
            <w:hyperlink w:anchor="bs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470" w:type="dxa"/>
            <w:tcBorders/>
            <w:shd w:fill="FFFFFF" w:val="clear"/>
            <w:vAlign w:val="center"/>
          </w:tcPr>
          <w:p>
            <w:pPr>
              <w:pStyle w:val="TableContents"/>
              <w:bidi w:val="0"/>
              <w:spacing w:before="0" w:after="283"/>
              <w:jc w:val="left"/>
              <w:rPr/>
            </w:pPr>
            <w:hyperlink w:anchor="bs_006">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9470" w:type="dxa"/>
            <w:tcBorders/>
            <w:shd w:fill="CCEEFF" w:val="clear"/>
            <w:vAlign w:val="center"/>
          </w:tcPr>
          <w:p>
            <w:pPr>
              <w:pStyle w:val="TableContents"/>
              <w:bidi w:val="0"/>
              <w:spacing w:before="0" w:after="283"/>
              <w:jc w:val="left"/>
              <w:rPr/>
            </w:pPr>
            <w:hyperlink w:anchor="bs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470" w:type="dxa"/>
            <w:tcBorders/>
            <w:shd w:fill="FFFFFF" w:val="clear"/>
            <w:vAlign w:val="center"/>
          </w:tcPr>
          <w:p>
            <w:pPr>
              <w:pStyle w:val="TableContents"/>
              <w:bidi w:val="0"/>
              <w:spacing w:before="0" w:after="283"/>
              <w:jc w:val="left"/>
              <w:rPr/>
            </w:pPr>
            <w:hyperlink w:anchor="aj_001">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470" w:type="dxa"/>
            <w:tcBorders/>
            <w:shd w:fill="CCEEFF" w:val="clear"/>
            <w:vAlign w:val="center"/>
          </w:tcPr>
          <w:p>
            <w:pPr>
              <w:pStyle w:val="TableContents"/>
              <w:bidi w:val="0"/>
              <w:spacing w:before="0" w:after="283"/>
              <w:jc w:val="left"/>
              <w:rPr/>
            </w:pPr>
            <w:hyperlink w:anchor="aj_002">
              <w:r>
                <w:rPr>
                  <w:rStyle w:val="InternetLink"/>
                  <w:rFonts w:ascii="Times New Roman;Times;Serif" w:hAnsi="Times New Roman;Times;Serif"/>
                  <w:b w:val="false"/>
                  <w:i w:val="false"/>
                  <w:caps w:val="false"/>
                  <w:smallCaps w:val="false"/>
                  <w:sz w:val="20"/>
                </w:rPr>
                <w:t>MANAGEMENT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470" w:type="dxa"/>
            <w:tcBorders/>
            <w:shd w:fill="FFFFFF" w:val="clear"/>
            <w:vAlign w:val="center"/>
          </w:tcPr>
          <w:p>
            <w:pPr>
              <w:pStyle w:val="TableContents"/>
              <w:bidi w:val="0"/>
              <w:spacing w:before="0" w:after="283"/>
              <w:jc w:val="left"/>
              <w:rPr/>
            </w:pPr>
            <w:hyperlink w:anchor="aj_003">
              <w:r>
                <w:rPr>
                  <w:rStyle w:val="InternetLink"/>
                  <w:rFonts w:ascii="Times New Roman;Times;Serif" w:hAnsi="Times New Roman;Times;Serif"/>
                  <w:b w:val="false"/>
                  <w:i w:val="false"/>
                  <w:caps w:val="false"/>
                  <w:smallCaps w:val="false"/>
                  <w:sz w:val="20"/>
                </w:rPr>
                <w:t>EXECUTIVE AND DIRECTOR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470" w:type="dxa"/>
            <w:tcBorders/>
            <w:shd w:fill="CCEEFF" w:val="clear"/>
            <w:vAlign w:val="center"/>
          </w:tcPr>
          <w:p>
            <w:pPr>
              <w:pStyle w:val="TableContents"/>
              <w:bidi w:val="0"/>
              <w:spacing w:before="0" w:after="283"/>
              <w:jc w:val="left"/>
              <w:rPr/>
            </w:pPr>
            <w:hyperlink w:anchor="aj_004">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470" w:type="dxa"/>
            <w:tcBorders/>
            <w:shd w:fill="FFFFFF" w:val="clear"/>
            <w:vAlign w:val="center"/>
          </w:tcPr>
          <w:p>
            <w:pPr>
              <w:pStyle w:val="TableContents"/>
              <w:bidi w:val="0"/>
              <w:spacing w:before="0" w:after="283"/>
              <w:jc w:val="left"/>
              <w:rPr/>
            </w:pPr>
            <w:hyperlink w:anchor="nd_006">
              <w:r>
                <w:rPr>
                  <w:rStyle w:val="InternetLink"/>
                  <w:rFonts w:ascii="Times New Roman;Times;Serif" w:hAnsi="Times New Roman;Times;Serif"/>
                  <w:b w:val="false"/>
                  <w:i w:val="false"/>
                  <w:caps w:val="false"/>
                  <w:smallCaps w:val="false"/>
                  <w:sz w:val="20"/>
                </w:rPr>
                <w:t>PRINCIPAL SECURITYHOLDERS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470" w:type="dxa"/>
            <w:tcBorders/>
            <w:shd w:fill="CCEEFF" w:val="clear"/>
            <w:vAlign w:val="center"/>
          </w:tcPr>
          <w:p>
            <w:pPr>
              <w:pStyle w:val="TableContents"/>
              <w:bidi w:val="0"/>
              <w:spacing w:before="0" w:after="283"/>
              <w:jc w:val="left"/>
              <w:rPr/>
            </w:pPr>
            <w:hyperlink w:anchor="ds_001">
              <w:r>
                <w:rPr>
                  <w:rStyle w:val="InternetLink"/>
                  <w:rFonts w:ascii="Times New Roman;Times;Serif" w:hAnsi="Times New Roman;Times;Serif"/>
                  <w:b w:val="false"/>
                  <w:i w:val="false"/>
                  <w:caps w:val="false"/>
                  <w:smallCaps w:val="false"/>
                  <w:sz w:val="20"/>
                </w:rPr>
                <w:t>SELLING SECURITYHOLDER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470" w:type="dxa"/>
            <w:tcBorders/>
            <w:shd w:fill="FFFFFF" w:val="clear"/>
            <w:vAlign w:val="center"/>
          </w:tcPr>
          <w:p>
            <w:pPr>
              <w:pStyle w:val="TableContents"/>
              <w:bidi w:val="0"/>
              <w:spacing w:before="0" w:after="283"/>
              <w:jc w:val="left"/>
              <w:rPr/>
            </w:pPr>
            <w:hyperlink w:anchor="ds_00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CCEEFF" w:val="clear"/>
            <w:vAlign w:val="center"/>
          </w:tcPr>
          <w:p>
            <w:pPr>
              <w:pStyle w:val="TableContents"/>
              <w:bidi w:val="0"/>
              <w:spacing w:before="0" w:after="283"/>
              <w:jc w:val="left"/>
              <w:rPr/>
            </w:pPr>
            <w:hyperlink w:anchor="nd_007">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FFFFFF" w:val="clear"/>
            <w:vAlign w:val="center"/>
          </w:tcPr>
          <w:p>
            <w:pPr>
              <w:pStyle w:val="TableContents"/>
              <w:bidi w:val="0"/>
              <w:spacing w:before="0" w:after="283"/>
              <w:jc w:val="left"/>
              <w:rPr/>
            </w:pPr>
            <w:hyperlink w:anchor="nd_008">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r>
      <w:tr>
        <w:trPr/>
        <w:tc>
          <w:tcPr>
            <w:tcW w:w="9470" w:type="dxa"/>
            <w:tcBorders/>
            <w:shd w:fill="CCEEFF" w:val="clear"/>
            <w:vAlign w:val="center"/>
          </w:tcPr>
          <w:p>
            <w:pPr>
              <w:pStyle w:val="TableContents"/>
              <w:bidi w:val="0"/>
              <w:spacing w:before="0" w:after="283"/>
              <w:jc w:val="left"/>
              <w:rPr/>
            </w:pPr>
            <w:hyperlink w:anchor="nd_010">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9470" w:type="dxa"/>
            <w:tcBorders/>
            <w:shd w:fill="FFFFFF" w:val="clear"/>
            <w:vAlign w:val="center"/>
          </w:tcPr>
          <w:p>
            <w:pPr>
              <w:pStyle w:val="TableContents"/>
              <w:bidi w:val="0"/>
              <w:spacing w:before="0" w:after="283"/>
              <w:jc w:val="left"/>
              <w:rPr/>
            </w:pPr>
            <w:hyperlink w:anchor="nd_011">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9470" w:type="dxa"/>
            <w:tcBorders/>
            <w:shd w:fill="CCEEFF" w:val="clear"/>
            <w:vAlign w:val="center"/>
          </w:tcPr>
          <w:p>
            <w:pPr>
              <w:pStyle w:val="TableContents"/>
              <w:bidi w:val="0"/>
              <w:spacing w:before="0" w:after="283"/>
              <w:jc w:val="left"/>
              <w:rPr/>
            </w:pPr>
            <w:hyperlink w:anchor="nd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9470" w:type="dxa"/>
            <w:tcBorders/>
            <w:shd w:fill="FFFFFF" w:val="clear"/>
            <w:vAlign w:val="center"/>
          </w:tcPr>
          <w:p>
            <w:pPr>
              <w:pStyle w:val="TableContents"/>
              <w:bidi w:val="0"/>
              <w:spacing w:before="0" w:after="283"/>
              <w:jc w:val="left"/>
              <w:rPr/>
            </w:pPr>
            <w:hyperlink w:anchor="nd_013">
              <w:r>
                <w:rPr>
                  <w:rStyle w:val="InternetLink"/>
                  <w:rFonts w:ascii="Times New Roman;Times;Serif" w:hAnsi="Times New Roman;Times;Serif"/>
                  <w:b w:val="false"/>
                  <w:i w:val="false"/>
                  <w:caps w:val="false"/>
                  <w:smallCaps w:val="false"/>
                  <w:sz w:val="20"/>
                </w:rPr>
                <w:t>INDEX TO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in connection with this offering is accurate only as of the date of such free writing prospectus. Our business, financial condition, results of operations and prospects may have changed since those dates.</w:t>
      </w:r>
    </w:p>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2" w:name="bs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“Closing Date”), 7GC, our predecessor company, consummated the previously announced business combination pursuant to that certain Agreement and Plan of Merger and Reorganization, dated as of December 8, 2022 (the “Original Merger Agreement”), by and among 7GC, Banzai International, Inc. (“Legacy Banzai”), 7GC Merger Sub I, Inc., a Delaware corporation and an indirect wholly owned subsidiary of 7GC (“First Merger Sub”), and 7GC Merger Sub II, LLC, a Delaware limited liability company and a direct wholly owned subsidiary of 7GC (“Second Merger Sub”), as amended by the Amendment to Agreement and Plan of Merger, dated as of August 4, 2023 (the “Merger Agreement Amendment” and, together with the Original Merger Agreement, the “Merger Agreement”), by and between 7GC and Legacy Banzai. Pursuant to the terms of the Merger Agreement, a business combination between 7GC and Legacy Banzai was effected through (a) the merger of First Merger Sub with and into Legacy Banzai, with Legacy Banzai surviving as a wholly-owned subsidiary of 7GC (Legacy Banzai, in its capacity as the surviving corporation of the merger, the “Surviving Corporation”) (the “First Merger”) and (b) the subsequent merger of the Surviving Corporation with and into Second Merger Sub, with Second Merger Sub being the surviving entity of the Second Merger, which ultimately resulted in Legacy Banzai becoming a wholly-owned direct subsidiary of 7GC (the “Second Merger” and, together with the First Merger, the “Mergers” and, collectively with the other transactions described in the Merger Agreement, the “Business Combination”). On the Closing Date, and in connection with the closing of the Business Combination (the “Closing”), 7GC changed its name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caps w:val="false"/>
          <w:smallCaps w:val="false"/>
          <w:color w:val="212529"/>
          <w:sz w:val="20"/>
        </w:rPr>
      </w:pPr>
      <w:r>
        <w:rPr>
          <w:rFonts w:ascii="Times New Roman;Times;Serif" w:hAnsi="Times New Roman;Times;Serif"/>
          <w:b/>
          <w:i/>
          <w:caps w:val="false"/>
          <w:smallCaps w:val="false"/>
          <w:color w:val="212529"/>
          <w:sz w:val="20"/>
        </w:rPr>
        <w:t>As disclosed in more detail in this prospectus, effective September 19, 2024, we completed a one-for-fifty (1-for-50) reverse stock split of our issued and outstanding shares of Class A Common Stock without a corresponding reduction in the total number of authorized shares of our Class A Common Stock (the “Reverse Stock Split”). All references to shares of our Class A Common Stock in this prospectus refer to the number of shares of Class A Common Stock after giving effect to the Reverse Stock Split and are presented as if the Reverse Stock Split had occurred at the beginning of the earliest period presented.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bs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financial, business and operating performance and goals; </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annualized recurring revenue and customer retention;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ongoing, future or ability to maintain or improve its financial position, cash flows, and liquidity and its expected financial needs; </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financing and ability to obtain financing;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2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acquisition strategy and proposed acquisitions and, if completed, their potential success and financial contributions; </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strategy and strategic goals, including being able to capitalize on opportunities; </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relating to the Company’s industry, outlook and market trends; </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addressable market and serviceable addressable market and related projections;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plans, strategies and expectations for retaining existing or acquiring new customers, increasing revenue and executing growth initiatives; and </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areas of focus and additional products that may be sold in the future.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bs_003"/>
      <w:bookmarkEnd w:id="4"/>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Banzai is a marketing technology (“MarTech”) company that produces data-driven marketing and sales solutions for businesses of all sizes. Our mission is to help our customers accomplish their mission-to enable better marketing, sales, and customer engagement outcomes by increasing the value of every customer interaction. We plan to do this by delivering software-as-a-service (“SaaS”) MarTech tools that leverage data, analytics, and artificial intelligence (“AI”) to improve all types of customer interactions and provide powerful benefits to our customers across three key areas of focus: targeting, engagement, and measurement. As part of our acquisition strategy, we also endeavor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platform currently includes three products. The first product we launched was Reach, a SaaS and managed services offering designed to increase registration and attendance of marketing events, followed by the acquisition of Demio Holding, Inc., a Delaware corporation (“Demio”), a SaaS solution for webinars designed for marketing, sales, and customer success teams in 2021. In 2023, we launched Boost, a SaaS solution for social sharing designed to increase attendance for Demio-hosted events by enabling easy social sharing by event registrants.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sell our products using a recurring subscription license model typical in SaaS businesses, with customer contracts that vary in term length from single months to multiple years. As of December 31, 2023, our customer base included over 2,770 customers operating in over 90 countries, representing a variety of industries, including (among others) healthcare, financial services, e-commerce, technology, media and others. Our customers range in size from solo entrepreneurs and small businesses to Fortune 500 companies. No single customer represents more than 10% of our revenue.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Class A Common Stock is currently listed on The Nasdaq Global Market under the symbol “BNZI.” Our warrants, each exercisable for one share of Class A Common Stock at a price of $11.50 per share, originally issued in the IPO (the “Public Warrants”), are currently listed on The Nasdaq Global Market under the symbol “BNZIW.”</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rights of holders of our Class A Common Stock and Public Warrants are governed by our second amended and restated certificate of incorporation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 See the sections entitled “Description of our Securities” and “Certain Relationships and Related Party Transactions.”</w:t>
      </w:r>
    </w:p>
    <w:p>
      <w:pPr>
        <w:pStyle w:val="TextBody"/>
        <w:bidi w:val="0"/>
        <w:spacing w:before="0" w:after="0"/>
        <w:ind w:left="0" w:right="0" w:firstLine="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Background</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Business Combination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were originally known as 7GC &amp; Co. Holdings Inc. On December 14, 2023, 7GC consummated the Business Combination with Legacy Banzai pursuant to the Merger Agreement. In connection with the Closing of the Business Combination, 7GC changed its name to Banzai International, Inc. Legacy Banzai was deemed to be the accounting acquirer in the Mergers based on an analysis of the criteria outlined in Accounting Standards Codification 805. While 7GC was the legal acquirer in the Mergers, because Legacy Banzai was deemed the accounting acquirer, the historical financial statements of Legacy Banzai became the historical financial statements of the combined company upon the consummation of the Mergers. The Business Combination is described in further detail in the section titled “Business” beginning on page 77.</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Material Agreements in Connection with the IPO and Business Combination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Cohen Engagement Letter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14, 2023, 7GC entered into an engagement, as amended by an amendment to such engagement letter, dated December 12, 2023, and a second amendment, dated December 27, 2023 (as amended, the “Cohen Engagement Letter”) with J.V.B. Financial Group, LLC acting through its Cohen &amp; Company Capital Markets Division (“Cohen”). Pursuant to the Cohen Engagement Letter, Cohen agreed to act as 7GC’s capital markets advisor in connection with seeking extension of the date by which 7GC was required to consummate its initial business combination and in connection with an initial business combination with an unaffiliated third party, as well as to act as placement agent, on a non-exclusive basis, in connection with any private placement of equity, convertible and/or debt securities or other capital or debt raising transaction in connection with an initial business combination, in exchange for the right to receive (x) an advisory fee of approximately 2,100 shares of Class A Common Stock following the Closing, and (y) a transaction fee in an aggregate amount equal to $207,000. On December 27, 2023, Cohen received 2,100 shares of Class A Common Stock pursuant to the terms of the Cohen Engagement Letter.</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Non-Redemption Agreements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22, 2023, 7GC and its sponsor, 7GC &amp; Co. Holdings LLC, a Delaware limited liability company (the “Sponsor”), entered into certain non-redemption agreements (the “Non-Redemption Agreements”) with certain unaffiliated third party stockholders of 7GC in exchange for such parties agreeing either not to request redemption, or to reverse any previously submitted redemption demand, with respect to an aggregate of 77,930 shares of 7GC’s Class A common stock, par value $0.0001 (“7GC Class A Common Stock”), sold in the initial public offering (“IPO”) of 7GC in connection with a special meeting called by 7GC to, among other things, approve an amendment to 7GC’s amended and restated certificate of incorporation (the “Extension Amendment”) to extend the date by which the Company was required to (i) consummate an initial business combination, (ii) cease all operations except for the purpose of winding up, and (iii) redeem or repurchase 100% of the 7GC Class A Common Stock included as part of the units sold in the IPO, from June 28, 2023 to December 28, 2023 (the “Extension”). In consideration of the foregoing agreement, immediately prior to, and substantially concurrently with, the Closing, (i) the Sponsor surrendered and forfeited to 7GC for no consideration an aggregate of 7,930 shares of 7GC Class B common stock, par value $0.0001 (“7GC Class B Common Stock and, together with 7GC Class A Common Stock, the “7GC Common Stock”) and (ii) the Company issued to such parties 7,930 shares of Class A Common Stock.</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Sponsor Forfeiture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August 4, 2023, 7GC, the Sponsor and Legacy Banzai entered into a Sponsor Forfeiture Agreement (the “Sponsor Forfeiture Agreement”), pursuant to which, at the Closing, all 147,000 of the Sponsor’s private placement warrants to purchase shares of 7GC Class A Common Stock, exercisable at $575.00 per share (the “Forfeited Private Placement Warrants”) were transferred from the Sponsor to 7GC for cancellation in exchange for no consideration, and 7GC retired and cancelled all of the Forfeited Private Placement Warrants.</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7GC Promissory Notes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12, 2023, in connection with the Business Combination, the Sponsor came to a non-binding agreement with 7GC to amend the optional conversion provision of that certain (i) unsecured promissory note, dated as of December 21, 2022 (the “7GC 2022 Promissory Note”), issued by 7GC to the Sponsor, pursuant to which 7GC may borrow up to $2,300,000 from the Sponsor, and (ii) unsecured promissory note, dated as of October 3, 2023 (the “7GC 2023 Promissory Note” and, together with the 7GC 2022 Promissory Note, the “7GC Promissory Notes”), issued by 7GC to the Sponsor, pursuant to which 7GC may borrow up to $500,000 from the Sponsor, to provide that the Sponsor has the right to elect to convert up to the full amount of the principal balance of the 7GC Promissory Notes, in whole or in part, 30 days after the Closing at a conversion price equal to the average daily volume weighted average price (“VWAP”) of Class A Common Stock for the 30 trading days following the Closing. On February 2, 2024, the Company issued 17,812 shares of Class A Common Stock to the Sponsor pursuant to conversion of the full amount of the principal balance of the 7GC Promissory Notes.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Seaport Fee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30, 2023, Seaport Global Securities LLC (“Seaport”) and 7GC entered into an engagement letter (the “Seaport Engagement Letter”), pursuant to which Seaport agreed to provide 7GC with certain advisory services in connection with the Business Combination, in exchange for the receipt of 1,000 shares of Class A Common Stock at the Closing. On February 2, 2024, the Sponsor transferred 1,000 shares of Class A Common Stock to Seaport, satisfying the amount of shares to be received by Seaport in accordance with the Seaport Engagement Letter.</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Cantor Fee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8, 2023, Cantor Fitzgerald &amp; Co. (“Cantor” or “CF&amp;CO”) and 7GC entered into a fee reduction agreement, as amended by the amendment to fee reduction agreement, dated December 28, 2023 (as amended, the “Fee Reduction Agreement”), pursuant to which Cantor agreed to forfeit $4,050,000 of the aggregate of $8,050,000 of deferred underwriting fees payable (“Original Deferred Fee”), with the remaining $4,000,000 payable by 7GC to Cantor (the “Reduced Deferred Fee”) following the Closing of the Business Combination. Pursuant to the Fee Reduction Agreement, the Reduced Deferred Fee was payable in the form of 22,279 shares of Class A Common Stock (the “Cantor Fee Shares”) and to provide that Cantor is subject to a 12-month lock-up with respect to the Cantor Fee Shares. On December 28, 2023, the Company issued the Cantor Fee Shares to Cantor, covering the Reduced Deferred Fee in accordance with the Fee Reduction Agreement. Pursuant to the Fee Reduction Agreement, the Company also agreed to use its reasonable best efforts to have a registration statement declared effective by the SEC by the 120th calendar day after December 29, 2023,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Roth Agreements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13, 2022, Roth Capital Partners, LLC (“Roth”) and Legacy Banzai entered into an engagement letter (the “Roth Engagement Letter”), pursuant to which Legacy Banzai engaged Roth as a financial advisor in connection with the Business Combination and, on October 14, 2022, MKM Partners, LLC (“MKM”) and 7GC entered into an engagement letter (the “MKM Engagement Letter”), pursuant to which 7GC engaged MKM as a financial advisor in connection with the Business Combination. In February 2023, Roth acquired MKM. Pursuant to that certain addendum to letter agreements (the “Roth Addendum” and, together with the Roth Engagement Letter and the MKM Engagement Letter, the “Roth Agreements”) by and between the Company and Roth, effective as of February 2, 2024, the Company and Roth agreed that, in lieu of payment in cash of the full amount of any advisory fees or other fees or expenses owed under the Roth Engagement Letter and the MKM Engagement Letter (collectively, the “Roth Fee”), the Company shall (i) issue to Roth 3,500 shares of Class A Common Stock (the “Roth Shares”) and include such Roth Shares in a registration statement and (ii) on or before June 30, 2024, pay to Roth an amount in cash equal to $300,000 or, if the Company determines that such payment should not be made in cash due to the Company’s cash position at such time, issue to Roth a number of shares of Class A Common Stock equal to $300,000 divided by the VWAP for the trading day immediately preceding June 30, 2024 (any such shares, the “Additional Roth Shares”). Additionally, pursuant to the Roth Addendum, the Company was required to include another 12,000 shares of Class A Common Stock (in addition to the Roth Shares) in a registration statement to cover any such issuances of Additional Roth Shares (which may be more or less than 12,000) that may occur pursuant to the Roth Addendum. On February 2, 2024, the Company issued Roth Shares to Roth.</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Material Financing Arrangements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SEPA</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14, 2023, the Company entered into that certain standby equity purchase agreement (the “Original SEPA”) with Legacy Banzai and YA II PN, LTD, a Cayman Islands exempt limited partnership managed by Yorkville Advisors Global, LP (“Yorkville”). Pursuant to the Original SEPA, subject to certain conditions, the Company has the option, but not the obligation, to sell to Yorkville, and Yorkville must subscribe for, an aggregate amount of up to $100 million of Class A Common Stock, at the Company’s request (each such request, an “Advance Notice,” and each issuance and sale of shares of Class A Common Stock pursuant to an Advance Notice, an “Advance”) any time during the commitment period terminating on the 36-month anniversary of the Original SEPA; provided that any Advance Notice may only be made if (x) no amount remains outstanding on the promissory notes made by the Company in favor of Yorkville, convertible into shares of Class A Common Stock (each, a “Yorkville Promissory Note” and, collectively, the “Yorkville Promissory Notes”), (y) there is an effective registration statement (any such registration statement, a “Resale Registration Statement”) filed with the U.S. Securities and Exchange Commission (“SEC”) for the resale under the Securities Act of 1933, as amended (the “Securities Act”), of the shares of Class A Common Stock to be issued pursuant to such Advance Notice, and (z) other customary conditions precedent. Additionally, at any time during the commitment period, provided there is a balance remaining outstanding under a Yorkville Promissory Note, Yorkville may deliver a notice to the Company (each such notice, an “Investor Notice”), causing an Advance Notice to be deemed delivered to Yorkville, subject to certain conditions. The price at which we may issue and sell shares pursuant to an Advance under the SEPA (as defined below) may be at either (a) 95% of the average VWAP of Class A Common Stock for the period commencing on the receipt of the Advance Notice by Yorkville and ending on 4:00 p.m. Eastern Time on the applicable date of the Advance Notice (“Pricing Option 1”) or (b) 96% of the lowest daily VWAP of Class A Common Stock during the three consecutive trading days commencing on the date of the Advance Notice to Yorkville (“Pricing Option 2”), provided that we are subject to certain caps on the amount of shares of Class A Common Stock that we may sell pursuant to any Advance. The SEPA is not assignable.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execution of the Original SEPA, the Company paid a structuring fee (in cash) to Yorkville in the amount of $35,000. Additionally, (a) Legacy Banzai issued to Yorkville immediately prior to the Closing such number of shares of Legacy Banzai Class A Common Stock such that upon the Closing, Yorkville received 6,000 shares of Class A Common Stock (the “Yorkville Closing Shares”) as a holder of Legacy Banzai Class A Common Stock, and (b) the Company paid a commitment fee of $500,000 to Yorkville on March 14, 2024 in Class A Common Stock through an Advance.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Additionally, Yorkville agreed to advance to the Company the principal amount of $3.5 million, which was subsequently increased pursuant to a supplemental agreement, dated February 5, 2024, by and between the Company and Yorkville (the “SEPA Supplemental Agreement” and, together with the Original SEPA, the “SEPA”), by $1.0 million to an aggregate principal amount of $4.5 million (the “Pre-Paid Advance”). The first payment of the Pre-Paid Advance in a principal amount of $2.0 million (less a 10% discount) was advanced at the Closing and was evidenced by the issuance by the Company on December 14, 2023 of a Yorkville Promissory Note having a principal amount of $2.0 million, the second payment of the Pre-Paid Advance of $1.0 million (less a 10% discount) was advanced on February 5, 2024 and is evidenced by the issuance by the Company on February 5, 2024 of a Second Yorkville Promissory Note having a principal amount of $1.0 million, and the third payment of the Pre-Paid Advance of $1.5 million (less a 10% discount) was advanced on March 26, 2024 and is evidenced by the issuance by the Company on March 26, 2024 of a Third Yorkville Promissory Note having a principal amount of $1.5 million.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outstanding Yorkville Promissory Notes were each issued pursuant to the exemption from registration contained in Section 4(a)(2) of the Securities Act and are convertible at a conversion price equal to the lower of (i) $103.83 per share or (ii) 90% of the lowest daily VWAP during the ten consecutive trading days immediately preceding the conversion date (but no lower than the “floor price” then in effect, which is $14.70, subject to adjustment from time to time in accordance with the terms contained in the Yorkville Promissory Notes).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Also on December 14, 2023, in connection with the Original SEPA, the Company entered into a registration rights agreement with Yorkville, subsequently amended by the SEPA Supplemental Agreement (as amended, the “Yorkville Registration Rights Agreement”), pursuant to which the Company agreed to file a Resale Registration Statement with the SEC for the resale under the Securities Act by Yorkville of an amount of shares of Class A Common Stock that is at least such number as is equal to the quotient of $4.5 million divided by the lowest VWAP over the ten trading days prior to the filing of the first pre-effective amendment to the Resale Registration Statement, multiplied by two. The Company agreed to maintain the effectiveness of such Resale Registration Statement.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May 28, 2024, we and Yorkville entered into the Amended and Restated Debt Repayment Agreement (as defined below). Please see “-Recent Developments” and “Description of Securities - Yorkville SEPAs” for more information.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29, 2023, we filed a registration statement on Form S-1 (File No. 333-276307) with the SEC to register up to 114,526 shares of Class A Common Stock issuable pursuant to Advances under the SEPA; the registration statement was declared effective on February 2, 2024 (the “Prior SEPA Registration Statement”). We filed another registration statement to register for resale, an additional 25,000,000 shares of Class A Common Stock issuable pursuant to Advances under the SEPA on September 20, 2024. As of the date hereof, the Company has repaid $3,750,000 of the Yorkville Advance through the issuance of an aggregate of 5.7M shares of Class A Common Stock and made a cash payment of $750,000. Accordingly, approximately there is no balance on the Yorkville Advance, and only 502 shares remain available under the Prior SEPA Registration Statement.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Share Transfer Agreements and Alco Promissory Notes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Business Combination, Legacy Banzai issued to Alco, a Subordinated Promissory Note on September 13, 2023 (the “September Alco Note”), a Subordinated Promissory Note on November 16, 2023 (the “November Alco Note”), and a Subordinated Promissory Note on December 13, 2023 (the “December Alco Note,” and collectively with the September Alco Note and the November Alco Note, the “Alco Notes”).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13, 2023, in connection with the Business Combination, 7GC and the Sponsor entered into a share transfer agreement (the “December Share Transfer Agreement”) with Alco, pursuant to which for each $10.00 in principal borrowed under the New Alco Note, the Sponsor agreed to forfeit three shares of 7GC Class B Common Stock held by the Sponsor, in exchange for the right of Alco to receive three shares of Class A Common Stock, in each case, at (and contingent upon) the Closing, with such forfeited and issued shares capped at an amount equal to 12,000. On October 3, 2023 and November 16, 2023, 7GC, the Sponsor, and Alco also entered into share transfer agreements, pursuant to which the Sponsor agreed to forfeit an aggregate of 4,500 shares of 7GC Class B Common Stock held by the Sponsor, in exchange for the right of Alco to receive 4,500 shares of Class A Common Stock at (and contingent upon) the Closing (such share transfer agreements together with the December Share Transfer Agreement, the “Share Transfer Agreements”). Alco is subject to a 180-day lock-up period with respect to such shares of Class A Common Stock pursuant to the Share Transfer Agreements, subject to customary exceptions. Additionally, in connection with the December Share Transfer Agreement, (a) Legacy Banzai issued the New Alco Note to Alco in the aggregate principal amount of $2.0 million, which bears interest at a rate of 8% per annum and will be due and payable on December 31, 2024, and (b) Legacy Banzai, Alco, and CP BF Lending LLC (“CP BF” or our “Lender”) agreed to amend that certain Subordinated Promissory Note issued by Legacy Banzai to Alco on September 13, 2023 in the aggregate principal amount of $1.5 million to extend the maturity date from January 10, 2024 to September 30, 2024. Immediately prior to, and substantially concurrently with, the Closing, (i) the Sponsor surrendered and forfeited to 7GC for no consideration an aggregate of 16,500 shares of the class B common stock of 7GC and (ii) the Company issued to Alco 16,500 shares of Class A Common Stock pursuant to the Share Transfer Agreements.</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GEM Agreements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May 27, 2022, Legacy Banzai entered into a certain share purchase agreement (the “GEM Agreement”) with GEM Global Yield LLC SCS and GEM Yield Bahamas Limited (collectively, “GEM”), pursuant to which, among other things, upon the terms and subject to the conditions of the GEM Agreement, GEM was to purchase from Legacy Banzai (or its successor per the GEM Agreement) up to the number of duly authorized, validly issued, fully paid and non-assessable shares of common stock having an aggregate value of $100,000,000. Further, on the date of public listing of Legacy Banzai, Legacy Banzai was required to make and execute a warrant granting GEM the right to purchase up to the number of common shares of Legacy Banzai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December 13, 2023, Legacy Banzai and GEM entered into that certain binding term sheet (the “GEM Term Sheet”) and, on December 14, 2023, a letter agreement (the “GEM Letter”), agreeing to terminate in its entirety the GEM Agreement by and between Legacy Banzai and GEM, other than with respect to the Company’s obligation (as the post-combination company in the Business Combination) to issue to GEM a warrant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with the documentation of such debenture to be agreed upon and finalized promptly following the Closing.</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Closing, the GEM Warrant automatically became an obligation of the Company, and on December 15, 2023, the Company issued the GEM Warrant granting GEM the right to purchase 16,571 shares at an exercise price of $324.50 per share, which will be adjusted downward to 105% of the per share consideration received in the prospectus filed on December 28, 2024 pursuant to anti-dilution price protections contained in those warrants (See “Description of Securities-Warrants-GEM Warrant”). The exercise price will be adjusted to 105% of the then-current exercise price if on the one-year anniversary date of the date of issuance, the GEM Warrant has not been exercised in full and the average closing price per share of Class A Common Stock for the 10 days preceding the anniversary date is less than 90% of the initial exercise price.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February 5, 2024, the Company and GEM entered into a certain settlement agreement (the “GEM Settlement Agreement”), pursuant to which the Company and GEM agreed to settle the Company’s obligations under the GEM Term Sheet to issue the convertible debenture by substituting a cash payment of $1.2 million and issuance of an unsecured promissory note (the “GEM Promissory Note”) in the amount of $1.0 million, payable in monthly installments of $100,000 beginning on March 1, 2024 with the final payment to be made on December 1, 2024. The GEM Promissory Note provides that, in the event the Company fails to make a required monthly payment when due, such monthly payment amount shall convert into the right of GEM to receive, and obligation of the Company to issue, an amount of shares of Class A Common Stock equal to the monthly payment amount divided by the VWAP of the trading day immediately preceding the applicable payment due date. In addition, the Company agreed to register on a registration statement 40,000 shares of Class A Common Stock that may be issuable under the terms of the GEM Promissory Note. The number of shares issuable upon conversion of the GEM Promissory Note may be less or more than 40,000, depending on the stock price of Class A Common Stock on the applicable calculation date.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Senior Convertible Notes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February 19, 2021, Legacy Banzai issued a convertible promissory note (the “First Senior Convertible Note”) in an aggregate principal amount of $1,500,000 to CP BF in connection with a loan agreement, dated February 19, 2021, between Legacy Banzai and CP BF (the “Loan Agreement”). On October 10, 2022, the Loan Agreement was amended, whereby CP BF waived payment by Legacy Banzai of four months of cash interest with respect to the term loan under the Loan Agreement in replacement for a convertible promissory note (the “Second Senior Convertible Note” and, together with the First Senior Convertible Note, the “Senior Convertible Notes”) issued by Legacy Banzai in an aggregate principal amount of $321,345. On August 24, 2023, Legacy Banzai and CP BF entered into a forbearance agreement (the “Original Forbearance Agreement”), as amended by the First Amendment to Forbearance Agreement, dated as of December 14, 2023 (the “Forbearance Amendment” and, together with the Original Forbearance Agreement, the “Forbearance Agreement”), in connection with which they agreed to amend and restate the Senior Convertible Notes so that they would not convert at the Closing of the Business Combination as a “Change of Control.”</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After Closing, the Senior Convertible Notes became convertible, at CP BF’s option on 5 days’ written notice to the Company, into shares of Class A Common Stock. The Senior Convertible Notes provide that, at all times after a SPAC Transaction (as defined in the Senior Convertible Notes), the conversion price for any such conversion is approximately $4.35 per share (subject to adjustment as set forth therein).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August 29, 2024, we held a special meeting of securityholders (the “</w:t>
      </w:r>
      <w:r>
        <w:rPr>
          <w:rFonts w:ascii="Times New Roman;Times;Serif" w:hAnsi="Times New Roman;Times;Serif"/>
          <w:b/>
          <w:i w:val="false"/>
          <w:caps w:val="false"/>
          <w:smallCaps w:val="false"/>
          <w:sz w:val="20"/>
          <w:bdr w:val="single" w:sz="8" w:space="1" w:color="000000"/>
        </w:rPr>
        <w:t>Special Meeting</w:t>
      </w:r>
      <w:r>
        <w:rPr>
          <w:rFonts w:ascii="Times New Roman;Times;Serif" w:hAnsi="Times New Roman;Times;Serif"/>
          <w:b w:val="false"/>
          <w:i w:val="false"/>
          <w:caps w:val="false"/>
          <w:smallCaps w:val="false"/>
          <w:sz w:val="20"/>
          <w:bdr w:val="single" w:sz="8" w:space="1" w:color="000000"/>
        </w:rPr>
        <w:t>”).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(the “</w:t>
      </w:r>
      <w:r>
        <w:rPr>
          <w:rFonts w:ascii="Times New Roman;Times;Serif" w:hAnsi="Times New Roman;Times;Serif"/>
          <w:b/>
          <w:i w:val="false"/>
          <w:caps w:val="false"/>
          <w:smallCaps w:val="false"/>
          <w:sz w:val="20"/>
          <w:bdr w:val="single" w:sz="8" w:space="1" w:color="000000"/>
        </w:rPr>
        <w:t>Stock Split</w:t>
      </w:r>
      <w:r>
        <w:rPr>
          <w:rFonts w:ascii="Times New Roman;Times;Serif" w:hAnsi="Times New Roman;Times;Serif"/>
          <w:b w:val="false"/>
          <w:i w:val="false"/>
          <w:caps w:val="false"/>
          <w:smallCaps w:val="false"/>
          <w:sz w:val="20"/>
          <w:bdr w:val="single" w:sz="8" w:space="1" w:color="000000"/>
        </w:rPr>
        <w:t>”), and filed an amendment to our Second Amended and Restated Certificate of Incorporation with the Secretary of State of the State of Delaware to effect same; the Stock Split is expected to be effective on September 19, 2024. A copy of the amendment is filed as Exhibit 3.3 attached hereto.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May 22, 2024, we priced a “best efforts” public offering for the sale by the Company of an aggregate of 104,556 shares of our Class A common stock, 173,222 pre-funded warrants (the “</w:t>
      </w:r>
      <w:r>
        <w:rPr>
          <w:rFonts w:ascii="Times New Roman;Times;Serif" w:hAnsi="Times New Roman;Times;Serif"/>
          <w:b/>
          <w:i w:val="false"/>
          <w:caps w:val="false"/>
          <w:smallCaps w:val="false"/>
          <w:sz w:val="20"/>
          <w:bdr w:val="single" w:sz="8" w:space="1" w:color="000000"/>
        </w:rPr>
        <w:t>Pre-Funded Warrants</w:t>
      </w:r>
      <w:r>
        <w:rPr>
          <w:rFonts w:ascii="Times New Roman;Times;Serif" w:hAnsi="Times New Roman;Times;Serif"/>
          <w:b w:val="false"/>
          <w:i w:val="false"/>
          <w:caps w:val="false"/>
          <w:smallCaps w:val="false"/>
          <w:sz w:val="20"/>
          <w:bdr w:val="single" w:sz="8" w:space="1" w:color="000000"/>
        </w:rPr>
        <w:t>”), and 277,778 common warrants (the “</w:t>
      </w:r>
      <w:r>
        <w:rPr>
          <w:rFonts w:ascii="Times New Roman;Times;Serif" w:hAnsi="Times New Roman;Times;Serif"/>
          <w:b/>
          <w:i w:val="false"/>
          <w:caps w:val="false"/>
          <w:smallCaps w:val="false"/>
          <w:sz w:val="20"/>
          <w:bdr w:val="single" w:sz="8" w:space="1" w:color="000000"/>
        </w:rPr>
        <w:t>Common Warrants</w:t>
      </w:r>
      <w:r>
        <w:rPr>
          <w:rFonts w:ascii="Times New Roman;Times;Serif" w:hAnsi="Times New Roman;Times;Serif"/>
          <w:b w:val="false"/>
          <w:i w:val="false"/>
          <w:caps w:val="false"/>
          <w:smallCaps w:val="false"/>
          <w:sz w:val="20"/>
          <w:bdr w:val="single" w:sz="8" w:space="1" w:color="000000"/>
        </w:rPr>
        <w:t>”). The public offering price was $9.00 per share and accompanying Common Warrant, or $8.9950 per Pre-Funded Warrant and accompanying Common Warrant (the “</w:t>
      </w:r>
      <w:r>
        <w:rPr>
          <w:rFonts w:ascii="Times New Roman;Times;Serif" w:hAnsi="Times New Roman;Times;Serif"/>
          <w:b/>
          <w:i w:val="false"/>
          <w:caps w:val="false"/>
          <w:smallCaps w:val="false"/>
          <w:sz w:val="20"/>
          <w:bdr w:val="single" w:sz="8" w:space="1" w:color="000000"/>
        </w:rPr>
        <w:t>Best Efforts Offering</w:t>
      </w:r>
      <w:r>
        <w:rPr>
          <w:rFonts w:ascii="Times New Roman;Times;Serif" w:hAnsi="Times New Roman;Times;Serif"/>
          <w:b w:val="false"/>
          <w:i w:val="false"/>
          <w:caps w:val="false"/>
          <w:smallCaps w:val="false"/>
          <w:sz w:val="20"/>
          <w:bdr w:val="single" w:sz="8" w:space="1" w:color="000000"/>
        </w:rPr>
        <w:t>”). The Pre-Funded Warrants were exercisable immediately, and may be exercised at any time until all of the Pre-Funded Warrants are exercised in full, and have an exercise price of $0.0050. The Common Warrants are exercisable immediately for a term of five years and have an exercise price of $9.00. As of the date hereof, all Pre-Funded Warrants have been exercised.</w:t>
      </w:r>
    </w:p>
    <w:p>
      <w:pPr>
        <w:pStyle w:val="TextBody"/>
        <w:shd w:fill="FFFFFF" w:val="clear"/>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A.G.P./Alliance Global Partners (“</w:t>
      </w:r>
      <w:r>
        <w:rPr>
          <w:rFonts w:ascii="Times New Roman;Times;Serif" w:hAnsi="Times New Roman;Times;Serif"/>
          <w:b/>
          <w:i w:val="false"/>
          <w:caps w:val="false"/>
          <w:smallCaps w:val="false"/>
          <w:sz w:val="20"/>
          <w:bdr w:val="single" w:sz="8" w:space="1" w:color="000000"/>
        </w:rPr>
        <w:t>AGP</w:t>
      </w:r>
      <w:r>
        <w:rPr>
          <w:rFonts w:ascii="Times New Roman;Times;Serif" w:hAnsi="Times New Roman;Times;Serif"/>
          <w:b w:val="false"/>
          <w:i w:val="false"/>
          <w:caps w:val="false"/>
          <w:smallCaps w:val="false"/>
          <w:sz w:val="20"/>
          <w:bdr w:val="single" w:sz="8" w:space="1" w:color="000000"/>
        </w:rPr>
        <w:t>”) acted as placement agent for the offering, pursuant to a placement agency agreement, dated May 22, 2024, between the Company and AGP (the “</w:t>
      </w:r>
      <w:r>
        <w:rPr>
          <w:rFonts w:ascii="Times New Roman;Times;Serif" w:hAnsi="Times New Roman;Times;Serif"/>
          <w:b/>
          <w:i w:val="false"/>
          <w:caps w:val="false"/>
          <w:smallCaps w:val="false"/>
          <w:sz w:val="20"/>
          <w:bdr w:val="single" w:sz="8" w:space="1" w:color="000000"/>
        </w:rPr>
        <w:t>Placement Agency Agreement</w:t>
      </w:r>
      <w:r>
        <w:rPr>
          <w:rFonts w:ascii="Times New Roman;Times;Serif" w:hAnsi="Times New Roman;Times;Serif"/>
          <w:b w:val="false"/>
          <w:i w:val="false"/>
          <w:caps w:val="false"/>
          <w:smallCaps w:val="false"/>
          <w:sz w:val="20"/>
          <w:bdr w:val="single" w:sz="8" w:space="1" w:color="000000"/>
        </w:rPr>
        <w:t>”). Under the Placement Agency Agreement, AGP received a cash fee of $174,939 and warrants (the “</w:t>
      </w:r>
      <w:r>
        <w:rPr>
          <w:rFonts w:ascii="Times New Roman;Times;Serif" w:hAnsi="Times New Roman;Times;Serif"/>
          <w:b/>
          <w:i w:val="false"/>
          <w:caps w:val="false"/>
          <w:smallCaps w:val="false"/>
          <w:sz w:val="20"/>
          <w:bdr w:val="single" w:sz="8" w:space="1" w:color="000000"/>
        </w:rPr>
        <w:t>Placement Agent Warrants</w:t>
      </w:r>
      <w:r>
        <w:rPr>
          <w:rFonts w:ascii="Times New Roman;Times;Serif" w:hAnsi="Times New Roman;Times;Serif"/>
          <w:b w:val="false"/>
          <w:i w:val="false"/>
          <w:caps w:val="false"/>
          <w:smallCaps w:val="false"/>
          <w:sz w:val="20"/>
          <w:bdr w:val="single" w:sz="8" w:space="1" w:color="000000"/>
        </w:rPr>
        <w:t>”) to purchase 16,667 shares of our Class A Common Stock at an exercise price per share equal to $10.00. The offering closed on May 28, 2024.</w:t>
      </w:r>
    </w:p>
    <w:p>
      <w:pPr>
        <w:pStyle w:val="TextBody"/>
        <w:shd w:fill="FFFFFF" w:val="clear"/>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May 22, 2024, the Company and YA II PN, Ltd. (“</w:t>
      </w:r>
      <w:r>
        <w:rPr>
          <w:rFonts w:ascii="Times New Roman;Times;Serif" w:hAnsi="Times New Roman;Times;Serif"/>
          <w:b/>
          <w:i w:val="false"/>
          <w:caps w:val="false"/>
          <w:smallCaps w:val="false"/>
          <w:sz w:val="20"/>
          <w:bdr w:val="single" w:sz="8" w:space="1" w:color="000000"/>
        </w:rPr>
        <w:t>Yorkville</w:t>
      </w:r>
      <w:r>
        <w:rPr>
          <w:rFonts w:ascii="Times New Roman;Times;Serif" w:hAnsi="Times New Roman;Times;Serif"/>
          <w:b w:val="false"/>
          <w:i w:val="false"/>
          <w:caps w:val="false"/>
          <w:smallCaps w:val="false"/>
          <w:sz w:val="20"/>
          <w:bdr w:val="single" w:sz="8" w:space="1" w:color="000000"/>
        </w:rPr>
        <w:t>”) entered into an Amended and Restated Debt Repayment Agreement (the “</w:t>
      </w:r>
      <w:r>
        <w:rPr>
          <w:rFonts w:ascii="Times New Roman;Times;Serif" w:hAnsi="Times New Roman;Times;Serif"/>
          <w:b/>
          <w:i w:val="false"/>
          <w:caps w:val="false"/>
          <w:smallCaps w:val="false"/>
          <w:sz w:val="20"/>
          <w:bdr w:val="single" w:sz="8" w:space="1" w:color="000000"/>
        </w:rPr>
        <w:t>Amended Debt Repayment Agreement</w:t>
      </w:r>
      <w:r>
        <w:rPr>
          <w:rFonts w:ascii="Times New Roman;Times;Serif" w:hAnsi="Times New Roman;Times;Serif"/>
          <w:b w:val="false"/>
          <w:i w:val="false"/>
          <w:caps w:val="false"/>
          <w:smallCaps w:val="false"/>
          <w:sz w:val="20"/>
          <w:bdr w:val="single" w:sz="8" w:space="1" w:color="000000"/>
        </w:rPr>
        <w:t>”) with respect to the unsecured promissory note in the principal amount of $2,000,000 issued to Yorkville on December 14, 2023 (the “</w:t>
      </w:r>
      <w:r>
        <w:rPr>
          <w:rFonts w:ascii="Times New Roman;Times;Serif" w:hAnsi="Times New Roman;Times;Serif"/>
          <w:b/>
          <w:i w:val="false"/>
          <w:caps w:val="false"/>
          <w:smallCaps w:val="false"/>
          <w:sz w:val="20"/>
          <w:bdr w:val="single" w:sz="8" w:space="1" w:color="000000"/>
        </w:rPr>
        <w:t>December Promissory Note</w:t>
      </w:r>
      <w:r>
        <w:rPr>
          <w:rFonts w:ascii="Times New Roman;Times;Serif" w:hAnsi="Times New Roman;Times;Serif"/>
          <w:b w:val="false"/>
          <w:i w:val="false"/>
          <w:caps w:val="false"/>
          <w:smallCaps w:val="false"/>
          <w:sz w:val="20"/>
          <w:bdr w:val="single" w:sz="8" w:space="1" w:color="000000"/>
        </w:rPr>
        <w:t>”) and the unsecured promissory note in the principal amount of $1,500,000 issued to Yorkville on March 26, 2024 (the “</w:t>
      </w:r>
      <w:r>
        <w:rPr>
          <w:rFonts w:ascii="Times New Roman;Times;Serif" w:hAnsi="Times New Roman;Times;Serif"/>
          <w:b/>
          <w:i w:val="false"/>
          <w:caps w:val="false"/>
          <w:smallCaps w:val="false"/>
          <w:sz w:val="20"/>
          <w:bdr w:val="single" w:sz="8" w:space="1" w:color="000000"/>
        </w:rPr>
        <w:t>March Promissory Note</w:t>
      </w:r>
      <w:r>
        <w:rPr>
          <w:rFonts w:ascii="Times New Roman;Times;Serif" w:hAnsi="Times New Roman;Times;Serif"/>
          <w:b w:val="false"/>
          <w:i w:val="false"/>
          <w:caps w:val="false"/>
          <w:smallCaps w:val="false"/>
          <w:sz w:val="20"/>
          <w:bdr w:val="single" w:sz="8" w:space="1" w:color="000000"/>
        </w:rPr>
        <w:t>,” together with the December Promissory Note, the “</w:t>
      </w:r>
      <w:r>
        <w:rPr>
          <w:rFonts w:ascii="Times New Roman;Times;Serif" w:hAnsi="Times New Roman;Times;Serif"/>
          <w:b/>
          <w:i w:val="false"/>
          <w:caps w:val="false"/>
          <w:smallCaps w:val="false"/>
          <w:sz w:val="20"/>
          <w:bdr w:val="single" w:sz="8" w:space="1" w:color="000000"/>
        </w:rPr>
        <w:t>Promissory Notes</w:t>
      </w:r>
      <w:r>
        <w:rPr>
          <w:rFonts w:ascii="Times New Roman;Times;Serif" w:hAnsi="Times New Roman;Times;Serif"/>
          <w:b w:val="false"/>
          <w:i w:val="false"/>
          <w:caps w:val="false"/>
          <w:smallCaps w:val="false"/>
          <w:sz w:val="20"/>
          <w:bdr w:val="single" w:sz="8" w:space="1" w:color="000000"/>
        </w:rPr>
        <w:t>”).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w:t>
      </w:r>
      <w:r>
        <w:rPr>
          <w:rFonts w:ascii="Times New Roman;Times;Serif" w:hAnsi="Times New Roman;Times;Serif"/>
          <w:b/>
          <w:i w:val="false"/>
          <w:caps w:val="false"/>
          <w:smallCaps w:val="false"/>
          <w:sz w:val="20"/>
          <w:bdr w:val="single" w:sz="8" w:space="1" w:color="000000"/>
        </w:rPr>
        <w:t>SEPA</w:t>
      </w:r>
      <w:r>
        <w:rPr>
          <w:rFonts w:ascii="Times New Roman;Times;Serif" w:hAnsi="Times New Roman;Times;Serif"/>
          <w:b w:val="false"/>
          <w:i w:val="false"/>
          <w:caps w:val="false"/>
          <w:smallCaps w:val="false"/>
          <w:sz w:val="20"/>
          <w:bdr w:val="single" w:sz="8" w:space="1" w:color="000000"/>
        </w:rPr>
        <w:t xml:space="preserve">”). As of the date hereof, there is </w:t>
      </w:r>
      <w:r>
        <w:rPr>
          <w:rFonts w:ascii="Times New Roman;Times;Serif" w:hAnsi="Times New Roman;Times;Serif"/>
          <w:b w:val="false"/>
          <w:i w:val="false"/>
          <w:caps w:val="false"/>
          <w:smallCaps w:val="false"/>
          <w:sz w:val="20"/>
          <w:bdr w:val="single" w:sz="8" w:space="1" w:color="000000"/>
          <w:shd w:fill="FFFFFF" w:val="clear"/>
        </w:rPr>
        <w:t xml:space="preserve">there is no outstanding balance </w:t>
      </w:r>
      <w:r>
        <w:rPr>
          <w:rFonts w:ascii="Times New Roman;Times;Serif" w:hAnsi="Times New Roman;Times;Serif"/>
          <w:b w:val="false"/>
          <w:i w:val="false"/>
          <w:caps w:val="false"/>
          <w:smallCaps w:val="false"/>
          <w:sz w:val="20"/>
          <w:bdr w:val="single" w:sz="8" w:space="1" w:color="000000"/>
        </w:rPr>
        <w:t>under the Promissory Notes.</w:t>
      </w:r>
    </w:p>
    <w:p>
      <w:pPr>
        <w:pStyle w:val="TextBody"/>
        <w:shd w:fill="FFFFFF" w:val="clear"/>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Amended Debt Repayment Agreement, Yorkville agreed that, upon completion of the Best Efforts Offering and repayment of an aggregate $750,000 outstanding under the Promissory Notes from the proceeds from the Best Efforts Offering (the “</w:t>
      </w:r>
      <w:r>
        <w:rPr>
          <w:rFonts w:ascii="Times New Roman;Times;Serif" w:hAnsi="Times New Roman;Times;Serif"/>
          <w:b/>
          <w:i w:val="false"/>
          <w:caps w:val="false"/>
          <w:smallCaps w:val="false"/>
          <w:sz w:val="20"/>
          <w:bdr w:val="single" w:sz="8" w:space="1" w:color="000000"/>
        </w:rPr>
        <w:t>Repayment Amount</w:t>
      </w:r>
      <w:r>
        <w:rPr>
          <w:rFonts w:ascii="Times New Roman;Times;Serif" w:hAnsi="Times New Roman;Times;Serif"/>
          <w:b w:val="false"/>
          <w:i w:val="false"/>
          <w:caps w:val="false"/>
          <w:smallCaps w:val="false"/>
          <w:sz w:val="20"/>
          <w:bdr w:val="single" w:sz="8" w:space="1" w:color="000000"/>
        </w:rPr>
        <w:t>”), Yorkville would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Class A Common Stock.</w:t>
      </w:r>
    </w:p>
    <w:p>
      <w:pPr>
        <w:pStyle w:val="TextBody"/>
        <w:shd w:fill="FFFFFF" w:val="clear"/>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August 6, 2024, </w:t>
      </w:r>
      <w:r>
        <w:rPr>
          <w:rFonts w:ascii="Times New Roman;Times;Serif" w:hAnsi="Times New Roman;Times;Serif"/>
          <w:b w:val="false"/>
          <w:i w:val="false"/>
          <w:caps w:val="false"/>
          <w:smallCaps w:val="false"/>
          <w:sz w:val="20"/>
          <w:bdr w:val="single" w:sz="8" w:space="1" w:color="000000"/>
          <w:shd w:fill="FFFFFF" w:val="clear"/>
        </w:rPr>
        <w:t>we</w:t>
      </w:r>
      <w:r>
        <w:rPr>
          <w:rFonts w:ascii="Times New Roman;Times;Serif" w:hAnsi="Times New Roman;Times;Serif"/>
          <w:b w:val="false"/>
          <w:i w:val="false"/>
          <w:caps w:val="false"/>
          <w:smallCaps w:val="false"/>
          <w:sz w:val="20"/>
          <w:bdr w:val="single" w:sz="8" w:space="1" w:color="000000"/>
        </w:rPr>
        <w:t xml:space="preserve"> received a written notice (the “Notice”) from the Listing Qualifications Department of The Nasdaq Stock Market LLC (“Nasdaq”) indicating that the Company has failed to comply with Nasdaq’s $50 million minimum “Market Value of Listed Securities” requirement set forth in Nasdaq Listing Rule 5450(b)(2)(A).</w:t>
      </w:r>
    </w:p>
    <w:p>
      <w:pPr>
        <w:pStyle w:val="TextBody"/>
        <w:bidi w:val="0"/>
        <w:jc w:val="both"/>
        <w:rPr>
          <w:caps w:val="false"/>
          <w:smallCaps w:val="false"/>
          <w:color w:val="212529"/>
          <w:bdr w:val="single" w:sz="8" w:space="1" w:color="000000"/>
        </w:rPr>
      </w:pPr>
      <w:r>
        <w:rPr>
          <w:caps w:val="false"/>
          <w:smallCaps w:val="false"/>
          <w:color w:val="212529"/>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Notice, the Company requested a hearing before The Nasdaq Hearings Panel (the “Panel”), which automatically stayed the suspension of trading on the Company’s securities, and the Company’s securities will continue to trade on The Nasdaq Global Market until the hearing process concludes and the Panel issues a written decision. The hearing was held on September 19, 2024. There can be no assurance that the Panel will grant the Company an additional extension period or that the Company will ultimately regain compliance with all applicable requirements for continued listing on The Nasdaq Global Market.</w:t>
      </w:r>
    </w:p>
    <w:p>
      <w:pPr>
        <w:pStyle w:val="TextBody"/>
        <w:shd w:fill="FFFFFF" w:val="clear"/>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3, 2024, we received a letter from the staff at Nasdaq notifying the Company that, for the 30 consecutive business days prior to the date of the letter, the Company’s Class A common stock, par value $0.0001 per share (the “</w:t>
      </w:r>
      <w:r>
        <w:rPr>
          <w:rFonts w:ascii="Times New Roman;Times;Serif" w:hAnsi="Times New Roman;Times;Serif"/>
          <w:b/>
          <w:i w:val="false"/>
          <w:caps w:val="false"/>
          <w:smallCaps w:val="false"/>
          <w:sz w:val="20"/>
          <w:bdr w:val="single" w:sz="8" w:space="1" w:color="000000"/>
        </w:rPr>
        <w:t>Common Stock</w:t>
      </w:r>
      <w:r>
        <w:rPr>
          <w:rFonts w:ascii="Times New Roman;Times;Serif" w:hAnsi="Times New Roman;Times;Serif"/>
          <w:b w:val="false"/>
          <w:i w:val="false"/>
          <w:caps w:val="false"/>
          <w:smallCaps w:val="false"/>
          <w:sz w:val="20"/>
          <w:bdr w:val="single" w:sz="8" w:space="1" w:color="000000"/>
        </w:rPr>
        <w:t>”), did not meet the minimum bid price of $1.00 per share required for continued listing on The Nasdaq Global Market pursuant to Nasdaq Listing Rule 5450(a)(1). The letter is only a notification of deficiency, not of imminent delisting, and has no current effect on the listing or trading of the Company’s securities on Nasdaq.</w:t>
      </w:r>
    </w:p>
    <w:p>
      <w:pPr>
        <w:pStyle w:val="TextBody"/>
        <w:shd w:fill="FFFFFF" w:val="clear"/>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Nasdaq listing rule 5810(c)(3)(A), the Company has 180 calendar days, or until September 30, 2024 (the “</w:t>
      </w:r>
      <w:r>
        <w:rPr>
          <w:rFonts w:ascii="Times New Roman;Times;Serif" w:hAnsi="Times New Roman;Times;Serif"/>
          <w:b/>
          <w:i w:val="false"/>
          <w:caps w:val="false"/>
          <w:smallCaps w:val="false"/>
          <w:sz w:val="20"/>
          <w:bdr w:val="single" w:sz="8" w:space="1" w:color="000000"/>
        </w:rPr>
        <w:t>Bid Price Compliance Period</w:t>
      </w:r>
      <w:r>
        <w:rPr>
          <w:rFonts w:ascii="Times New Roman;Times;Serif" w:hAnsi="Times New Roman;Times;Serif"/>
          <w:b w:val="false"/>
          <w:i w:val="false"/>
          <w:caps w:val="false"/>
          <w:smallCaps w:val="false"/>
          <w:sz w:val="20"/>
          <w:bdr w:val="single" w:sz="8" w:space="1" w:color="000000"/>
        </w:rPr>
        <w:t>”), to regain compliance. The letter notes that to regain compliance, the Company’s Common Stock must maintain a minimum closing bid price of $1.00 for at least ten consecutive business days at any time during the Bid Price Compliance Period. In the event the Company does not regain compliance by the end of the Bid Price Compliance Period, the Company may be eligible for additional time to regain compliance. To qualify for additional time, the Company must (i) submit a transfer application to transfer to the Nasdaq Capital Market, (ii) meet the continued listing requirement for the market value of its publicly held shares and all other initial listing standards for the Nasdaq Capital Market, with the exception of the bid price requirement and (iii) provide written notice of its intention to cure the deficiency during the second compliance period by effecting a reverse stock split, if necessary. If the Company meets these requirements, the Company may be granted an additional 180 calendar days to regain compliance. However, if it appears to Nasdaq that the Company will be unable to cure the deficiency, or if the Company is not otherwise eligible for the additional cure period, Nasdaq will provide written notice to the Company that its securities are subject to delisting. At that time, the Company may appeal any such delisting determination to a hearings panel.</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intends to actively monitor the Company’s bid price between now and September 30, 2024, and may, if appropriate, evaluate available options to resolve the deficiency and regain compliance with the minimum bid price requirement. While the Company is exercising diligent efforts to maintain the listing of its securities on Nasdaq, there can be no assurance that the Company will be able to regain or maintain compliance with Nasdaq listing standards. Please see “Risk Factors” for more information.</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Also on April 3, 2024, the Company also received a letter from the staff at Nasdaq notifying the Company that, for the 30 consecutive business days prior to the date of the Letter, the Company’s Market Value of Publicly Held Shares (“</w:t>
      </w:r>
      <w:r>
        <w:rPr>
          <w:rFonts w:ascii="Times New Roman;Times;Serif" w:hAnsi="Times New Roman;Times;Serif"/>
          <w:b/>
          <w:i w:val="false"/>
          <w:caps w:val="false"/>
          <w:smallCaps w:val="false"/>
          <w:sz w:val="20"/>
          <w:bdr w:val="single" w:sz="8" w:space="1" w:color="000000"/>
        </w:rPr>
        <w:t>MVPHS</w:t>
      </w:r>
      <w:r>
        <w:rPr>
          <w:rFonts w:ascii="Times New Roman;Times;Serif" w:hAnsi="Times New Roman;Times;Serif"/>
          <w:b w:val="false"/>
          <w:i w:val="false"/>
          <w:caps w:val="false"/>
          <w:smallCaps w:val="false"/>
          <w:sz w:val="20"/>
          <w:bdr w:val="single" w:sz="8" w:space="1" w:color="000000"/>
        </w:rPr>
        <w:t>”) was below the minimum of $15 million required for continued listing on The Nasdaq Global Market pursuant to Nasdaq Listing Rule 5450(b)(2)(C). The letter is only a notification of deficiency, not of imminent delisting, and has no current effect on the listing or trading of the Company’s securities on Nasdaq.</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Nasdaq listing rule 5810(c)(3)(D), the Company has 180 calendar days, or until September 30, 2024 (the “</w:t>
      </w:r>
      <w:r>
        <w:rPr>
          <w:rFonts w:ascii="Times New Roman;Times;Serif" w:hAnsi="Times New Roman;Times;Serif"/>
          <w:b/>
          <w:i w:val="false"/>
          <w:caps w:val="false"/>
          <w:smallCaps w:val="false"/>
          <w:sz w:val="20"/>
          <w:bdr w:val="single" w:sz="8" w:space="1" w:color="000000"/>
        </w:rPr>
        <w:t>MVPHS Compliance Period</w:t>
      </w:r>
      <w:r>
        <w:rPr>
          <w:rFonts w:ascii="Times New Roman;Times;Serif" w:hAnsi="Times New Roman;Times;Serif"/>
          <w:b w:val="false"/>
          <w:i w:val="false"/>
          <w:caps w:val="false"/>
          <w:smallCaps w:val="false"/>
          <w:sz w:val="20"/>
          <w:bdr w:val="single" w:sz="8" w:space="1" w:color="000000"/>
        </w:rPr>
        <w:t>”), to regain compliance. The letter notes that to regain compliance, the Company’s MVPHS must close at or above $15 million for a minimum of ten consecutive business days during the MVPHS Compliance Period. The letter further notes that if the Company is unable to satisfy the MVPHS requirement prior to such date, the Company may be eligible to transfer the listing of its securities to The Nasdaq Capital Market (provided that the Company then satisfies the requirements for continued listing on that market). If the Company does not regain compliance by the end of the MVPHS Compliance Period, Nasdaq staff will provide written notice to the Company that its securities are subject to delisting. At that time, the Company may appeal any such delisting determination to a hearings panel.</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intends to actively monitor the Company’s MVPHS between now and September 30, 2024, and may, if appropriate, evaluate available options to resolve the deficiency and regain compliance with the MVPHS requirement. While the Company is exercising diligent efforts to maintain the listing of its securities on Nasdaq, there can be no assurance that the Company will be able to regain or maintain compliance with Nasdaq listing standards. Please see “Risk Factors” for more information.</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February 5, 2024, the Company received a letter (the “</w:t>
      </w:r>
      <w:r>
        <w:rPr>
          <w:rFonts w:ascii="Times New Roman;Times;Serif" w:hAnsi="Times New Roman;Times;Serif"/>
          <w:b/>
          <w:i w:val="false"/>
          <w:caps w:val="false"/>
          <w:smallCaps w:val="false"/>
          <w:sz w:val="20"/>
          <w:bdr w:val="single" w:sz="8" w:space="1" w:color="000000"/>
        </w:rPr>
        <w:t>Letter</w:t>
      </w:r>
      <w:r>
        <w:rPr>
          <w:rFonts w:ascii="Times New Roman;Times;Serif" w:hAnsi="Times New Roman;Times;Serif"/>
          <w:b w:val="false"/>
          <w:i w:val="false"/>
          <w:caps w:val="false"/>
          <w:smallCaps w:val="false"/>
          <w:sz w:val="20"/>
          <w:bdr w:val="single" w:sz="8" w:space="1" w:color="000000"/>
        </w:rPr>
        <w:t>”) from the staff at Nasdaq notifying the Company that, for the 30 consecutive business days prior to the date of the Letter, the Company’s Minimum Value of Listed Securities (“</w:t>
      </w:r>
      <w:r>
        <w:rPr>
          <w:rFonts w:ascii="Times New Roman;Times;Serif" w:hAnsi="Times New Roman;Times;Serif"/>
          <w:b/>
          <w:i w:val="false"/>
          <w:caps w:val="false"/>
          <w:smallCaps w:val="false"/>
          <w:sz w:val="20"/>
          <w:bdr w:val="single" w:sz="8" w:space="1" w:color="000000"/>
        </w:rPr>
        <w:t>MVLS</w:t>
      </w:r>
      <w:r>
        <w:rPr>
          <w:rFonts w:ascii="Times New Roman;Times;Serif" w:hAnsi="Times New Roman;Times;Serif"/>
          <w:b w:val="false"/>
          <w:i w:val="false"/>
          <w:caps w:val="false"/>
          <w:smallCaps w:val="false"/>
          <w:sz w:val="20"/>
          <w:bdr w:val="single" w:sz="8" w:space="1" w:color="000000"/>
        </w:rPr>
        <w:t>”) was below the minimum of $50 million required for continued listing on The Nasdaq Global Market pursuant to Nasdaq Listing Rule 5450(b)(2)(A). The staff at Nasdaq also noted in the Letter that the Company is not in compliance with Nasdaq Listing Rule 5450(b)(3)(A), which requires listed companies to have total assets and total revenue of at least $50,000,000 each for the most recently completed fiscal year or for two of the three most recently completed fiscal years. The Letter is only a notification of deficiency, not of imminent delisting, and has no current effect on the listing or trading of the Company’s securities on Nasdaq.</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Nasdaq listing rule 5810(c)(3)(C), the Company has 180 calendar days, or until August 5, 2024, to regain compliance. On August 6, 2024, the Company received a written notice (the “Notice”) from the Listing Qualifications Department of Nasdaq indicating that it failed to comply with the MVLS requirement. Pursuant to the Notice, unless the Company timely requests a hearing before The Nasdaq Hearings Panel (the “Panel”), its securities will be subject to suspension and delisting from The Nasdaq Global Market. The Company had a hearing before the Panel on September 19, 2024. The hearing automatically stayed the suspension of trading on the Company’s securities, and the Company’s securities will continue to trade on The Nasdaq Global Market until the hearing process concludes and the Panel issues a written decision. There can be no assurance that the Panel will grant the Company an additional extension period or that the Company will ultimately regain compliance with all applicable requirements for continued listing on The Nasdaq Global Market.</w:t>
      </w:r>
    </w:p>
    <w:p>
      <w:pPr>
        <w:pStyle w:val="TextBody"/>
        <w:shd w:fill="FFFFFF" w:val="clear"/>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16, 2024, the Company received a letter from Nasdaq regarding the Bid Price Deficiency, noting that as of September 12, 2024, the Company’s Common Stock had a closing bid price of $0.10 or less for ten consecutive trading days and therefore the Company is subject to provisions contemplated under Listing Rule 5810(c)(3)(A)(iii) and that this serves as an additional basis for delisting.</w:t>
      </w:r>
    </w:p>
    <w:p>
      <w:pPr>
        <w:pStyle w:val="TextBody"/>
        <w:bidi w:val="0"/>
        <w:spacing w:before="0" w:after="0"/>
        <w:ind w:left="0" w:right="0" w:firstLine="4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Company had a hearing before The Nasdaq Hearings Panel (the “Panel”), on September 19, 2024, at which the Panel was going to decide whether or not to suspend and delist the Company’s securities or provide additional time for the Company to satisfy the various Nasdaq listing rules in which the Company was deficient.</w:t>
      </w:r>
    </w:p>
    <w:p>
      <w:pPr>
        <w:pStyle w:val="TextBody"/>
        <w:shd w:fill="FFFFFF" w:val="clear"/>
        <w:bidi w:val="0"/>
        <w:ind w:left="0" w:right="0" w:firstLine="490"/>
        <w:jc w:val="both"/>
        <w:rPr>
          <w:caps w:val="false"/>
          <w:smallCaps w:val="false"/>
          <w:bdr w:val="single" w:sz="8" w:space="7" w:color="000000"/>
        </w:rPr>
      </w:pPr>
      <w:r>
        <w:rPr>
          <w:caps w:val="false"/>
          <w:smallCaps w:val="false"/>
          <w:bdr w:val="single" w:sz="8" w:space="7" w:color="00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September 26, 2024, Nasdaq provided the Company with its determination. The Panel determined to phase the Company down from The Nasdaq Global Market to The Nasdaq Capital Market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or before January 31, 2024. The Panel reserved the right to reconsider the terms of the extension based on any event, condition or circumstance that exists or develops that would, in the opinion of the Panel, make continued listing of the Company’s securities on the Nasdaq Capital Market inadvisable or unwarranted.</w:t>
      </w:r>
    </w:p>
    <w:p>
      <w:pPr>
        <w:pStyle w:val="TextBody"/>
        <w:shd w:fill="FFFFFF" w:val="clear"/>
        <w:bidi w:val="0"/>
        <w:ind w:left="0" w:right="0" w:firstLine="490"/>
        <w:jc w:val="both"/>
        <w:rPr>
          <w:caps w:val="false"/>
          <w:smallCaps w:val="false"/>
          <w:bdr w:val="single" w:sz="8" w:space="7" w:color="000000"/>
        </w:rPr>
      </w:pPr>
      <w:r>
        <w:rPr>
          <w:caps w:val="false"/>
          <w:smallCaps w:val="false"/>
          <w:bdr w:val="single" w:sz="8" w:space="7" w:color="00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Company is working to file the application for The Nasdaq Capital Market and to reach compliance with all noted listing rules. However, there can be no assurance that the Company will be able to regain or maintain compliance with Nasdaq listing standards. Please see “Risk Factors” for more information.</w:t>
      </w:r>
    </w:p>
    <w:p>
      <w:pPr>
        <w:pStyle w:val="TextBody"/>
        <w:shd w:fill="FFFFFF" w:val="clear"/>
        <w:bidi w:val="0"/>
        <w:ind w:left="0" w:right="0" w:firstLine="490"/>
        <w:jc w:val="both"/>
        <w:rPr>
          <w:caps w:val="false"/>
          <w:smallCaps w:val="false"/>
          <w:bdr w:val="single" w:sz="8" w:space="7" w:color="000000"/>
        </w:rPr>
      </w:pPr>
      <w:r>
        <w:rPr>
          <w:caps w:val="false"/>
          <w:smallCaps w:val="false"/>
          <w:bdr w:val="single" w:sz="8" w:space="7" w:color="00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Between January 1, 2024 and October 14, 2024, 111,024 shares of Class A Common Stock had been issued upon conversion of the Yorkville Promissory Notes and a cash payment of $750,000.00 was made in May 2024. The aggregate principal amount was fully satisfied that no remaining outstanding balance under the Yorkville Promissory Notes as of October 14, 2024.</w:t>
      </w:r>
    </w:p>
    <w:p>
      <w:pPr>
        <w:pStyle w:val="TextBody"/>
        <w:bidi w:val="0"/>
        <w:jc w:val="center"/>
        <w:rPr>
          <w:caps w:val="false"/>
          <w:smallCaps w:val="false"/>
          <w:bdr w:val="single" w:sz="8" w:space="7" w:color="000000"/>
        </w:rPr>
      </w:pPr>
      <w:r>
        <w:rPr>
          <w:caps w:val="false"/>
          <w:smallCaps w:val="false"/>
          <w:bdr w:val="single" w:sz="8" w:space="7" w:color="000000"/>
        </w:rPr>
        <w:t> </w:t>
      </w:r>
    </w:p>
    <w:p>
      <w:pPr>
        <w:pStyle w:val="TextBody"/>
        <w:bidi w:val="0"/>
        <w:jc w:val="both"/>
        <w:rPr>
          <w:rFonts w:ascii="Times New Roman;Times;Serif" w:hAnsi="Times New Roman;Times;Serif"/>
          <w:b/>
          <w:i/>
          <w:caps w:val="false"/>
          <w:smallCaps w:val="false"/>
          <w:sz w:val="20"/>
          <w:bdr w:val="single" w:sz="8" w:space="7" w:color="000000"/>
        </w:rPr>
      </w:pPr>
      <w:r>
        <w:rPr>
          <w:rFonts w:ascii="Times New Roman;Times;Serif" w:hAnsi="Times New Roman;Times;Serif"/>
          <w:b/>
          <w:i/>
          <w:caps w:val="false"/>
          <w:smallCaps w:val="false"/>
          <w:sz w:val="20"/>
          <w:bdr w:val="single" w:sz="8" w:space="7" w:color="000000"/>
        </w:rPr>
        <w:t>Debt Equitization Plan</w:t>
      </w:r>
    </w:p>
    <w:p>
      <w:pPr>
        <w:pStyle w:val="TextBody"/>
        <w:bidi w:val="0"/>
        <w:jc w:val="center"/>
        <w:rPr>
          <w:caps w:val="false"/>
          <w:smallCaps w:val="false"/>
          <w:bdr w:val="single" w:sz="8" w:space="7" w:color="000000"/>
        </w:rPr>
      </w:pPr>
      <w:r>
        <w:rPr>
          <w:caps w:val="false"/>
          <w:smallCaps w:val="false"/>
          <w:bdr w:val="single" w:sz="8" w:space="7" w:color="00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From August 23, 2024 to October 14, 2024 the Company entered into various agreements to reorganize outstanding debt from certain creditors (collectively, the “</w:t>
      </w:r>
      <w:r>
        <w:rPr>
          <w:rFonts w:ascii="Times New Roman;Times;Serif" w:hAnsi="Times New Roman;Times;Serif"/>
          <w:b/>
          <w:i w:val="false"/>
          <w:caps w:val="false"/>
          <w:smallCaps w:val="false"/>
          <w:sz w:val="20"/>
          <w:bdr w:val="single" w:sz="8" w:space="7" w:color="000000"/>
        </w:rPr>
        <w:t>Creditors</w:t>
      </w:r>
      <w:r>
        <w:rPr>
          <w:rFonts w:ascii="Times New Roman;Times;Serif" w:hAnsi="Times New Roman;Times;Serif"/>
          <w:b w:val="false"/>
          <w:i w:val="false"/>
          <w:caps w:val="false"/>
          <w:smallCaps w:val="false"/>
          <w:sz w:val="20"/>
          <w:bdr w:val="single" w:sz="8" w:space="7" w:color="000000"/>
        </w:rPr>
        <w:t>”) into shares of the Company’s Class A Common Stock (the “</w:t>
      </w:r>
      <w:r>
        <w:rPr>
          <w:rFonts w:ascii="Times New Roman;Times;Serif" w:hAnsi="Times New Roman;Times;Serif"/>
          <w:b/>
          <w:i w:val="false"/>
          <w:caps w:val="false"/>
          <w:smallCaps w:val="false"/>
          <w:sz w:val="20"/>
          <w:bdr w:val="single" w:sz="8" w:space="7" w:color="000000"/>
        </w:rPr>
        <w:t>Shares</w:t>
      </w:r>
      <w:r>
        <w:rPr>
          <w:rFonts w:ascii="Times New Roman;Times;Serif" w:hAnsi="Times New Roman;Times;Serif"/>
          <w:b w:val="false"/>
          <w:i w:val="false"/>
          <w:caps w:val="false"/>
          <w:smallCaps w:val="false"/>
          <w:sz w:val="20"/>
          <w:bdr w:val="single" w:sz="8" w:space="7" w:color="000000"/>
        </w:rPr>
        <w:t>”) (collectively, the “</w:t>
      </w:r>
      <w:r>
        <w:rPr>
          <w:rFonts w:ascii="Times New Roman;Times;Serif" w:hAnsi="Times New Roman;Times;Serif"/>
          <w:b/>
          <w:i w:val="false"/>
          <w:caps w:val="false"/>
          <w:smallCaps w:val="false"/>
          <w:sz w:val="20"/>
          <w:bdr w:val="single" w:sz="8" w:space="7" w:color="000000"/>
        </w:rPr>
        <w:t>Debt Reorganization</w:t>
      </w:r>
      <w:r>
        <w:rPr>
          <w:rFonts w:ascii="Times New Roman;Times;Serif" w:hAnsi="Times New Roman;Times;Serif"/>
          <w:b w:val="false"/>
          <w:i w:val="false"/>
          <w:caps w:val="false"/>
          <w:smallCaps w:val="false"/>
          <w:sz w:val="20"/>
          <w:bdr w:val="single" w:sz="8" w:space="7" w:color="000000"/>
        </w:rPr>
        <w:t>”). The Shares issued as part of the Debt Reorganization are a mix of Shares that we agreed to register in this registration statement on Form S-1 and Shares that are exempt from registration. As of October 14, the Company has issued an aggregate of 614,973 Shares to the Creditors in exchange for the cancellation of an aggregate of $2,580,541.17 of debt.</w:t>
      </w:r>
    </w:p>
    <w:p>
      <w:pPr>
        <w:pStyle w:val="TextBody"/>
        <w:bidi w:val="0"/>
        <w:jc w:val="center"/>
        <w:rPr>
          <w:caps w:val="false"/>
          <w:smallCaps w:val="false"/>
          <w:bdr w:val="single" w:sz="8" w:space="7" w:color="000000"/>
        </w:rPr>
      </w:pPr>
      <w:r>
        <w:rPr>
          <w:caps w:val="false"/>
          <w:smallCaps w:val="false"/>
          <w:bdr w:val="single" w:sz="8" w:space="7" w:color="000000"/>
        </w:rPr>
        <w:t> </w:t>
      </w:r>
    </w:p>
    <w:p>
      <w:pPr>
        <w:pStyle w:val="TextBody"/>
        <w:bidi w:val="0"/>
        <w:jc w:val="left"/>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Amended and Restated Repayment Agreement with J.V.B Financial Group, LLC</w:t>
      </w:r>
    </w:p>
    <w:p>
      <w:pPr>
        <w:pStyle w:val="TextBody"/>
        <w:bidi w:val="0"/>
        <w:jc w:val="left"/>
        <w:rPr>
          <w:caps w:val="false"/>
          <w:smallCaps w:val="false"/>
          <w:bdr w:val="single" w:sz="8" w:space="7" w:color="000000"/>
        </w:rPr>
      </w:pPr>
      <w:r>
        <w:rPr>
          <w:caps w:val="false"/>
          <w:smallCaps w:val="false"/>
          <w:bdr w:val="single" w:sz="8" w:space="7" w:color="000000"/>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September 9, 2024, the Company entered into a Repayment Agreement (the “</w:t>
      </w:r>
      <w:r>
        <w:rPr>
          <w:rFonts w:ascii="Times New Roman;Times;Serif" w:hAnsi="Times New Roman;Times;Serif"/>
          <w:b/>
          <w:i w:val="false"/>
          <w:caps w:val="false"/>
          <w:smallCaps w:val="false"/>
          <w:sz w:val="20"/>
          <w:bdr w:val="single" w:sz="8" w:space="7" w:color="000000"/>
        </w:rPr>
        <w:t>Original J.V.B Agreement</w:t>
      </w:r>
      <w:r>
        <w:rPr>
          <w:rFonts w:ascii="Times New Roman;Times;Serif" w:hAnsi="Times New Roman;Times;Serif"/>
          <w:b w:val="false"/>
          <w:i w:val="false"/>
          <w:caps w:val="false"/>
          <w:smallCaps w:val="false"/>
          <w:sz w:val="20"/>
          <w:bdr w:val="single" w:sz="8" w:space="7" w:color="000000"/>
        </w:rPr>
        <w:t>”) with J.V.B Financial Group, LLC (“</w:t>
      </w:r>
      <w:r>
        <w:rPr>
          <w:rFonts w:ascii="Times New Roman;Times;Serif" w:hAnsi="Times New Roman;Times;Serif"/>
          <w:b/>
          <w:i w:val="false"/>
          <w:caps w:val="false"/>
          <w:smallCaps w:val="false"/>
          <w:sz w:val="20"/>
          <w:bdr w:val="single" w:sz="8" w:space="7" w:color="000000"/>
        </w:rPr>
        <w:t>J.V.B</w:t>
      </w:r>
      <w:r>
        <w:rPr>
          <w:rFonts w:ascii="Times New Roman;Times;Serif" w:hAnsi="Times New Roman;Times;Serif"/>
          <w:b w:val="false"/>
          <w:i w:val="false"/>
          <w:caps w:val="false"/>
          <w:smallCaps w:val="false"/>
          <w:sz w:val="20"/>
          <w:bdr w:val="single" w:sz="8" w:space="7" w:color="000000"/>
        </w:rPr>
        <w:t>”) acting through Cohen &amp; Company Capital Markets Division (“</w:t>
      </w:r>
      <w:r>
        <w:rPr>
          <w:rFonts w:ascii="Times New Roman;Times;Serif" w:hAnsi="Times New Roman;Times;Serif"/>
          <w:b/>
          <w:i w:val="false"/>
          <w:caps w:val="false"/>
          <w:smallCaps w:val="false"/>
          <w:sz w:val="20"/>
          <w:bdr w:val="single" w:sz="8" w:space="7" w:color="000000"/>
        </w:rPr>
        <w:t>Cohen</w:t>
      </w:r>
      <w:r>
        <w:rPr>
          <w:rFonts w:ascii="Times New Roman;Times;Serif" w:hAnsi="Times New Roman;Times;Serif"/>
          <w:b w:val="false"/>
          <w:i w:val="false"/>
          <w:caps w:val="false"/>
          <w:smallCaps w:val="false"/>
          <w:sz w:val="20"/>
          <w:bdr w:val="single" w:sz="8" w:space="7" w:color="000000"/>
        </w:rPr>
        <w:t>”), pursuant to which the parties agreed that for services previously rendered valued at $115,000.00 (the “</w:t>
      </w:r>
      <w:r>
        <w:rPr>
          <w:rFonts w:ascii="Times New Roman;Times;Serif" w:hAnsi="Times New Roman;Times;Serif"/>
          <w:b/>
          <w:i w:val="false"/>
          <w:caps w:val="false"/>
          <w:smallCaps w:val="false"/>
          <w:sz w:val="20"/>
          <w:bdr w:val="single" w:sz="8" w:space="7" w:color="000000"/>
        </w:rPr>
        <w:t>Outstanding Debt</w:t>
      </w:r>
      <w:r>
        <w:rPr>
          <w:rFonts w:ascii="Times New Roman;Times;Serif" w:hAnsi="Times New Roman;Times;Serif"/>
          <w:b w:val="false"/>
          <w:i w:val="false"/>
          <w:caps w:val="false"/>
          <w:smallCaps w:val="false"/>
          <w:sz w:val="20"/>
          <w:bdr w:val="single" w:sz="8" w:space="7" w:color="000000"/>
        </w:rPr>
        <w:t>”), the Company shall issue J.V.B. unrestricted, freely-trading, registered shares of Common Stock pursuant to a resale registration statement on Form S-1 or S-3. On September 9, 2024, the Company and J.V.B. entered into an Amended and Restated Repayment Agreement (the “</w:t>
      </w:r>
      <w:r>
        <w:rPr>
          <w:rFonts w:ascii="Times New Roman;Times;Serif" w:hAnsi="Times New Roman;Times;Serif"/>
          <w:b/>
          <w:i w:val="false"/>
          <w:caps w:val="false"/>
          <w:smallCaps w:val="false"/>
          <w:sz w:val="20"/>
          <w:bdr w:val="single" w:sz="8" w:space="7" w:color="000000"/>
        </w:rPr>
        <w:t>Amended J.V.B Agreement</w:t>
      </w:r>
      <w:r>
        <w:rPr>
          <w:rFonts w:ascii="Times New Roman;Times;Serif" w:hAnsi="Times New Roman;Times;Serif"/>
          <w:b w:val="false"/>
          <w:i w:val="false"/>
          <w:caps w:val="false"/>
          <w:smallCaps w:val="false"/>
          <w:sz w:val="20"/>
          <w:bdr w:val="single" w:sz="8" w:space="7" w:color="000000"/>
        </w:rPr>
        <w:t>”) that allowed for the Outstanding Debt to be paid through the issuance of 29,077 Shares to J.V.B. Under the Amended J.V.B. Agreement, the Company agreed to file a Registration Statement on Form S-1 with the SEC for the public resale of the Shares. The Company shall use reasonable best efforts to cause the Registration Statement (the “</w:t>
      </w:r>
      <w:r>
        <w:rPr>
          <w:rFonts w:ascii="Times New Roman;Times;Serif" w:hAnsi="Times New Roman;Times;Serif"/>
          <w:b/>
          <w:i w:val="false"/>
          <w:caps w:val="false"/>
          <w:smallCaps w:val="false"/>
          <w:sz w:val="20"/>
          <w:bdr w:val="single" w:sz="8" w:space="7" w:color="000000"/>
        </w:rPr>
        <w:t>Resale Registration Statement</w:t>
      </w:r>
      <w:r>
        <w:rPr>
          <w:rFonts w:ascii="Times New Roman;Times;Serif" w:hAnsi="Times New Roman;Times;Serif"/>
          <w:b w:val="false"/>
          <w:i w:val="false"/>
          <w:caps w:val="false"/>
          <w:smallCaps w:val="false"/>
          <w:sz w:val="20"/>
          <w:bdr w:val="single" w:sz="8" w:space="7" w:color="000000"/>
        </w:rPr>
        <w:t>”) to be filed within 90 days after the signing of the Amended J.V.B. Agreement. If the minimum price, as defined in the Amended J.V.B. Agreement, on the date the Resale Registration Statement is declared effective is less than $0.0791, the Company will issue additional Shares to J.V.B within one business day to ensure the total value of the Shares is equal the debt owed.</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Repayment Agreement with Perkins Coie LLP</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 xml:space="preserve">On September 9, 2024, the Company entered into a Repayment Agreement with Perkins Coie LLP </w:t>
      </w:r>
      <w:r>
        <w:rPr>
          <w:rFonts w:ascii="Times New Roman;Times;Serif" w:hAnsi="Times New Roman;Times;Serif"/>
          <w:b w:val="false"/>
          <w:i w:val="false"/>
          <w:caps w:val="false"/>
          <w:smallCaps w:val="false"/>
          <w:sz w:val="22"/>
          <w:bdr w:val="single" w:sz="8" w:space="7" w:color="000000"/>
        </w:rPr>
        <w:t>(“</w:t>
      </w:r>
      <w:r>
        <w:rPr>
          <w:rFonts w:ascii="Times New Roman;Times;Serif" w:hAnsi="Times New Roman;Times;Serif"/>
          <w:b/>
          <w:i w:val="false"/>
          <w:caps w:val="false"/>
          <w:smallCaps w:val="false"/>
          <w:sz w:val="22"/>
          <w:bdr w:val="single" w:sz="8" w:space="7" w:color="000000"/>
        </w:rPr>
        <w:t>Perkins</w:t>
      </w:r>
      <w:r>
        <w:rPr>
          <w:rFonts w:ascii="Times New Roman;Times;Serif" w:hAnsi="Times New Roman;Times;Serif"/>
          <w:b w:val="false"/>
          <w:i w:val="false"/>
          <w:caps w:val="false"/>
          <w:smallCaps w:val="false"/>
          <w:sz w:val="20"/>
          <w:bdr w:val="single" w:sz="8" w:space="7" w:color="000000"/>
        </w:rPr>
        <w:t>”) where the Company agreed to issue $1,383,500.00 worth of Shares to Perkins (the “</w:t>
      </w:r>
      <w:r>
        <w:rPr>
          <w:rFonts w:ascii="Times New Roman;Times;Serif" w:hAnsi="Times New Roman;Times;Serif"/>
          <w:b/>
          <w:i w:val="false"/>
          <w:caps w:val="false"/>
          <w:smallCaps w:val="false"/>
          <w:sz w:val="20"/>
          <w:bdr w:val="single" w:sz="8" w:space="7" w:color="000000"/>
        </w:rPr>
        <w:t>Perkins Repayment Agreement</w:t>
      </w:r>
      <w:r>
        <w:rPr>
          <w:rFonts w:ascii="Times New Roman;Times;Serif" w:hAnsi="Times New Roman;Times;Serif"/>
          <w:b w:val="false"/>
          <w:i w:val="false"/>
          <w:caps w:val="false"/>
          <w:smallCaps w:val="false"/>
          <w:sz w:val="20"/>
          <w:bdr w:val="single" w:sz="8" w:space="7" w:color="000000"/>
        </w:rPr>
        <w:t>”); the Company agreed to register such shares in a registration statement on Form S-1 within 60 days of entering into the Perkins Repayment Agreement. Under the Perkins Repayment Agreement, the Company agrees to include no fewer than 460,000 Shares, subject to adjustment, in its next registration statement on Form S-1 or S-3 for public resale and will use reasonable best efforts to ensure the Registration Statement becomes effective promptly and remains effective until all Shares issued under the Perkins Repayment Agreement are sold.</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Addendum to Letter Agreements with Roth Capital Partners, LLC</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October 5, 2022, the Company engaged Roth Capital Partners, LLC (“</w:t>
      </w:r>
      <w:r>
        <w:rPr>
          <w:rFonts w:ascii="Times New Roman;Times;Serif" w:hAnsi="Times New Roman;Times;Serif"/>
          <w:b/>
          <w:i w:val="false"/>
          <w:caps w:val="false"/>
          <w:smallCaps w:val="false"/>
          <w:sz w:val="20"/>
          <w:bdr w:val="single" w:sz="8" w:space="7" w:color="000000"/>
        </w:rPr>
        <w:t>Roth</w:t>
      </w:r>
      <w:r>
        <w:rPr>
          <w:rFonts w:ascii="Times New Roman;Times;Serif" w:hAnsi="Times New Roman;Times;Serif"/>
          <w:b w:val="false"/>
          <w:i w:val="false"/>
          <w:caps w:val="false"/>
          <w:smallCaps w:val="false"/>
          <w:sz w:val="20"/>
          <w:bdr w:val="single" w:sz="8" w:space="7" w:color="000000"/>
        </w:rPr>
        <w:t>”) to act as financial advisor to the Company in its then proposed business combination with 7GC &amp; Co. Holdings, Inc. (“</w:t>
      </w:r>
      <w:r>
        <w:rPr>
          <w:rFonts w:ascii="Times New Roman;Times;Serif" w:hAnsi="Times New Roman;Times;Serif"/>
          <w:b/>
          <w:i w:val="false"/>
          <w:caps w:val="false"/>
          <w:smallCaps w:val="false"/>
          <w:sz w:val="20"/>
          <w:bdr w:val="single" w:sz="8" w:space="7" w:color="000000"/>
        </w:rPr>
        <w:t>7GC</w:t>
      </w:r>
      <w:r>
        <w:rPr>
          <w:rFonts w:ascii="Times New Roman;Times;Serif" w:hAnsi="Times New Roman;Times;Serif"/>
          <w:b w:val="false"/>
          <w:i w:val="false"/>
          <w:caps w:val="false"/>
          <w:smallCaps w:val="false"/>
          <w:sz w:val="20"/>
          <w:bdr w:val="single" w:sz="8" w:space="7" w:color="000000"/>
        </w:rPr>
        <w:t>”), pursuant to an agreement (the “</w:t>
      </w:r>
      <w:r>
        <w:rPr>
          <w:rFonts w:ascii="Times New Roman;Times;Serif" w:hAnsi="Times New Roman;Times;Serif"/>
          <w:b/>
          <w:i w:val="false"/>
          <w:caps w:val="false"/>
          <w:smallCaps w:val="false"/>
          <w:sz w:val="20"/>
          <w:bdr w:val="single" w:sz="8" w:space="7" w:color="000000"/>
        </w:rPr>
        <w:t>Roth Agreement</w:t>
      </w:r>
      <w:r>
        <w:rPr>
          <w:rFonts w:ascii="Times New Roman;Times;Serif" w:hAnsi="Times New Roman;Times;Serif"/>
          <w:b w:val="false"/>
          <w:i w:val="false"/>
          <w:caps w:val="false"/>
          <w:smallCaps w:val="false"/>
          <w:sz w:val="20"/>
          <w:bdr w:val="single" w:sz="8" w:space="7" w:color="000000"/>
        </w:rPr>
        <w:t>”). On October 14, 2022, 7GC entered into a similar agreement where MKM Partners, LLC, later acquired by Roth, would act as financial advisor to 7GC in its then proposed business combination with the Company (the “</w:t>
      </w:r>
      <w:r>
        <w:rPr>
          <w:rFonts w:ascii="Times New Roman;Times;Serif" w:hAnsi="Times New Roman;Times;Serif"/>
          <w:b/>
          <w:i w:val="false"/>
          <w:caps w:val="false"/>
          <w:smallCaps w:val="false"/>
          <w:sz w:val="20"/>
          <w:bdr w:val="single" w:sz="8" w:space="7" w:color="000000"/>
        </w:rPr>
        <w:t>7GC Agreement</w:t>
      </w:r>
      <w:r>
        <w:rPr>
          <w:rFonts w:ascii="Times New Roman;Times;Serif" w:hAnsi="Times New Roman;Times;Serif"/>
          <w:b w:val="false"/>
          <w:i w:val="false"/>
          <w:caps w:val="false"/>
          <w:smallCaps w:val="false"/>
          <w:sz w:val="20"/>
          <w:bdr w:val="single" w:sz="8" w:space="7" w:color="000000"/>
        </w:rPr>
        <w:t>”, together with the Roth Agreement, the “</w:t>
      </w:r>
      <w:r>
        <w:rPr>
          <w:rFonts w:ascii="Times New Roman;Times;Serif" w:hAnsi="Times New Roman;Times;Serif"/>
          <w:b/>
          <w:i w:val="false"/>
          <w:caps w:val="false"/>
          <w:smallCaps w:val="false"/>
          <w:sz w:val="20"/>
          <w:bdr w:val="single" w:sz="8" w:space="7" w:color="000000"/>
        </w:rPr>
        <w:t>Letter Agreements</w:t>
      </w:r>
      <w:r>
        <w:rPr>
          <w:rFonts w:ascii="Times New Roman;Times;Serif" w:hAnsi="Times New Roman;Times;Serif"/>
          <w:b w:val="false"/>
          <w:i w:val="false"/>
          <w:caps w:val="false"/>
          <w:smallCaps w:val="false"/>
          <w:sz w:val="20"/>
          <w:bdr w:val="single" w:sz="8" w:space="7" w:color="000000"/>
        </w:rPr>
        <w:t>”). On February 2, 2024, the Company entered into an Addendum to the Letter Agreements with Roth (the “</w:t>
      </w:r>
      <w:r>
        <w:rPr>
          <w:rFonts w:ascii="Times New Roman;Times;Serif" w:hAnsi="Times New Roman;Times;Serif"/>
          <w:b/>
          <w:i w:val="false"/>
          <w:caps w:val="false"/>
          <w:smallCaps w:val="false"/>
          <w:sz w:val="20"/>
          <w:bdr w:val="single" w:sz="8" w:space="7" w:color="000000"/>
        </w:rPr>
        <w:t>Addendum</w:t>
      </w:r>
      <w:r>
        <w:rPr>
          <w:rFonts w:ascii="Times New Roman;Times;Serif" w:hAnsi="Times New Roman;Times;Serif"/>
          <w:b w:val="false"/>
          <w:i w:val="false"/>
          <w:caps w:val="false"/>
          <w:smallCaps w:val="false"/>
          <w:sz w:val="20"/>
          <w:bdr w:val="single" w:sz="8" w:space="7" w:color="000000"/>
        </w:rPr>
        <w:t>”), where the Company agreed to pay the fees owed under the Roth Agreement and 7GC Agreement by (1) issuing to Roth 3,500 Shares and amending the Company’s registration statement on Form S-1 filed with the SEC on December 29, 2023 to include the initial 3,500 Shares to be issued, and 12,000 Shares that may be issued as additional shares, as defined in the Addendum, to Roth, and (2) on or before June 30, 2024, the Company shall pay to Roth an amount in cash equal to $300,000 (the “</w:t>
      </w:r>
      <w:r>
        <w:rPr>
          <w:rFonts w:ascii="Times New Roman;Times;Serif" w:hAnsi="Times New Roman;Times;Serif"/>
          <w:b/>
          <w:i w:val="false"/>
          <w:caps w:val="false"/>
          <w:smallCaps w:val="false"/>
          <w:sz w:val="20"/>
          <w:bdr w:val="single" w:sz="8" w:space="7" w:color="000000"/>
        </w:rPr>
        <w:t>Cash Fee</w:t>
      </w:r>
      <w:r>
        <w:rPr>
          <w:rFonts w:ascii="Times New Roman;Times;Serif" w:hAnsi="Times New Roman;Times;Serif"/>
          <w:b w:val="false"/>
          <w:i w:val="false"/>
          <w:caps w:val="false"/>
          <w:smallCaps w:val="false"/>
          <w:sz w:val="20"/>
          <w:bdr w:val="single" w:sz="8" w:space="7" w:color="000000"/>
        </w:rPr>
        <w:t>”); provided that, if, as a result of the Company’s cash position at such time, the Company determines in its reasonable discretion that the cash payment should not be made in cash, then the Company may elect to satisfy the cash payment by issuing to Roth, within three business days of such date, additional Shares. The number of Shares to be issued pursuant to the Addendum shall be determined by dividing the amount of the cash payment by the VWAP for the trading day immediately preceding the cash payment date. On September 6, 2024, the Company issued 35,294 Shares to Roth in lieu of the Cash Fee. The Shares are exempt from registration pursuant to Section 4(a)(2) of the Securities Act of 1933, as amended, and are to be issued as restricted stock with an appropriate restrictive legend.</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Activate Agreement</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Company owed Activate, Inc. $261,000 for past services rendered. The parties agreed to write off 50% of that balance and for the remaining balance to be paid at the close of the Company’s next capital raise.</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Floor Price Adjustment Agreement with Yorkville Advisors</w:t>
      </w:r>
    </w:p>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September 20, 2024, the Company entered into a Floor Price Reduction Agreement (the “</w:t>
      </w:r>
      <w:r>
        <w:rPr>
          <w:rFonts w:ascii="Times New Roman;Times;Serif" w:hAnsi="Times New Roman;Times;Serif"/>
          <w:b/>
          <w:i w:val="false"/>
          <w:caps w:val="false"/>
          <w:smallCaps w:val="false"/>
          <w:sz w:val="20"/>
          <w:bdr w:val="single" w:sz="8" w:space="7" w:color="000000"/>
        </w:rPr>
        <w:t>Floor Price Reduction Agreement</w:t>
      </w:r>
      <w:r>
        <w:rPr>
          <w:rFonts w:ascii="Times New Roman;Times;Serif" w:hAnsi="Times New Roman;Times;Serif"/>
          <w:b w:val="false"/>
          <w:i w:val="false"/>
          <w:caps w:val="false"/>
          <w:smallCaps w:val="false"/>
          <w:sz w:val="20"/>
          <w:bdr w:val="single" w:sz="8" w:space="7" w:color="000000"/>
        </w:rPr>
        <w:t>”) with YA II PN, LTD., a Cayman Islands exempt limited partnership managed by Yorkville Advisors Global, LP (“</w:t>
      </w:r>
      <w:r>
        <w:rPr>
          <w:rFonts w:ascii="Times New Roman;Times;Serif" w:hAnsi="Times New Roman;Times;Serif"/>
          <w:b/>
          <w:i w:val="false"/>
          <w:caps w:val="false"/>
          <w:smallCaps w:val="false"/>
          <w:sz w:val="20"/>
          <w:bdr w:val="single" w:sz="8" w:space="7" w:color="000000"/>
        </w:rPr>
        <w:t>Yorkville</w:t>
      </w:r>
      <w:r>
        <w:rPr>
          <w:rFonts w:ascii="Times New Roman;Times;Serif" w:hAnsi="Times New Roman;Times;Serif"/>
          <w:b w:val="false"/>
          <w:i w:val="false"/>
          <w:caps w:val="false"/>
          <w:smallCaps w:val="false"/>
          <w:sz w:val="20"/>
          <w:bdr w:val="single" w:sz="8" w:space="7" w:color="000000"/>
        </w:rPr>
        <w:t>”). On May 3, 2024, the Company entered into a debt repayment agreement with Yorkville (the “</w:t>
      </w:r>
      <w:r>
        <w:rPr>
          <w:rFonts w:ascii="Times New Roman;Times;Serif" w:hAnsi="Times New Roman;Times;Serif"/>
          <w:b/>
          <w:i w:val="false"/>
          <w:caps w:val="false"/>
          <w:smallCaps w:val="false"/>
          <w:sz w:val="20"/>
          <w:bdr w:val="single" w:sz="8" w:space="7" w:color="000000"/>
        </w:rPr>
        <w:t>Original Debt Repayment Agreement</w:t>
      </w:r>
      <w:r>
        <w:rPr>
          <w:rFonts w:ascii="Times New Roman;Times;Serif" w:hAnsi="Times New Roman;Times;Serif"/>
          <w:b w:val="false"/>
          <w:i w:val="false"/>
          <w:caps w:val="false"/>
          <w:smallCaps w:val="false"/>
          <w:sz w:val="20"/>
          <w:bdr w:val="single" w:sz="8" w:space="7" w:color="000000"/>
        </w:rPr>
        <w:t>”) stating that $2 million of the proceeds from a registered sale of Shares and warrants would be used to repay a portion of the principal and interest on outstanding promissory notes (the “</w:t>
      </w:r>
      <w:r>
        <w:rPr>
          <w:rFonts w:ascii="Times New Roman;Times;Serif" w:hAnsi="Times New Roman;Times;Serif"/>
          <w:b/>
          <w:i w:val="false"/>
          <w:caps w:val="false"/>
          <w:smallCaps w:val="false"/>
          <w:sz w:val="20"/>
          <w:bdr w:val="single" w:sz="8" w:space="7" w:color="000000"/>
        </w:rPr>
        <w:t>Outstanding Promissory Notes</w:t>
      </w:r>
      <w:r>
        <w:rPr>
          <w:rFonts w:ascii="Times New Roman;Times;Serif" w:hAnsi="Times New Roman;Times;Serif"/>
          <w:b w:val="false"/>
          <w:i w:val="false"/>
          <w:caps w:val="false"/>
          <w:smallCaps w:val="false"/>
          <w:sz w:val="20"/>
          <w:bdr w:val="single" w:sz="8" w:space="7" w:color="000000"/>
        </w:rPr>
        <w:t>”). In return, Yorkville agreed not to convert any portion of the debt into shares or issue an investor notice under their Standby Equity Purchase Agreement (the “</w:t>
      </w:r>
      <w:r>
        <w:rPr>
          <w:rFonts w:ascii="Times New Roman;Times;Serif" w:hAnsi="Times New Roman;Times;Serif"/>
          <w:b/>
          <w:i w:val="false"/>
          <w:caps w:val="false"/>
          <w:smallCaps w:val="false"/>
          <w:sz w:val="20"/>
          <w:bdr w:val="single" w:sz="8" w:space="7" w:color="000000"/>
        </w:rPr>
        <w:t>SEPA</w:t>
      </w:r>
      <w:r>
        <w:rPr>
          <w:rFonts w:ascii="Times New Roman;Times;Serif" w:hAnsi="Times New Roman;Times;Serif"/>
          <w:b w:val="false"/>
          <w:i w:val="false"/>
          <w:caps w:val="false"/>
          <w:smallCaps w:val="false"/>
          <w:sz w:val="20"/>
          <w:bdr w:val="single" w:sz="8" w:space="7" w:color="000000"/>
        </w:rPr>
        <w:t>”) with Yorkville for 90 days (the “</w:t>
      </w:r>
      <w:r>
        <w:rPr>
          <w:rFonts w:ascii="Times New Roman;Times;Serif" w:hAnsi="Times New Roman;Times;Serif"/>
          <w:b/>
          <w:i w:val="false"/>
          <w:caps w:val="false"/>
          <w:smallCaps w:val="false"/>
          <w:sz w:val="20"/>
          <w:bdr w:val="single" w:sz="8" w:space="7" w:color="000000"/>
        </w:rPr>
        <w:t>Standstill Period</w:t>
      </w:r>
      <w:r>
        <w:rPr>
          <w:rFonts w:ascii="Times New Roman;Times;Serif" w:hAnsi="Times New Roman;Times;Serif"/>
          <w:b w:val="false"/>
          <w:i w:val="false"/>
          <w:caps w:val="false"/>
          <w:smallCaps w:val="false"/>
          <w:sz w:val="20"/>
          <w:bdr w:val="single" w:sz="8" w:space="7" w:color="000000"/>
        </w:rPr>
        <w:t>”). On May 22, 2024, the Company entered into an Amended Debt Repayment Agreement (the “</w:t>
      </w:r>
      <w:r>
        <w:rPr>
          <w:rFonts w:ascii="Times New Roman;Times;Serif" w:hAnsi="Times New Roman;Times;Serif"/>
          <w:b/>
          <w:i w:val="false"/>
          <w:caps w:val="false"/>
          <w:smallCaps w:val="false"/>
          <w:sz w:val="20"/>
          <w:bdr w:val="single" w:sz="8" w:space="7" w:color="000000"/>
        </w:rPr>
        <w:t>Amended Debt Repayment Agreement</w:t>
      </w:r>
      <w:r>
        <w:rPr>
          <w:rFonts w:ascii="Times New Roman;Times;Serif" w:hAnsi="Times New Roman;Times;Serif"/>
          <w:b w:val="false"/>
          <w:i w:val="false"/>
          <w:caps w:val="false"/>
          <w:smallCaps w:val="false"/>
          <w:sz w:val="20"/>
          <w:bdr w:val="single" w:sz="8" w:space="7" w:color="000000"/>
        </w:rPr>
        <w:t>”). Under the terms of the Amended Debt Repayment Agreement, the outstanding balance owed to Yorkville was reduced from $2 million to $750,000. Yorkville was still not allowed to convert debt into Shares or issue an investor notice for 90 days. On August 28, 2024, the Standstill Period ended, and Yorkville was free to resume delivering investor notices to convert outstanding debt into Shares. Due to the end of the Standstill Period and the Company’s recent reverse stock split, at a ratio of 1-to-50,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 and the maturity date for the Outstanding Promissory Notes is extended by 120 days to January 17, 2025.</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Repayment Agreement with Cooley LLP</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September 19, 2024 the Company entered into a Repayment Agreement with Cooley LLP (“</w:t>
      </w:r>
      <w:r>
        <w:rPr>
          <w:rFonts w:ascii="Times New Roman;Times;Serif" w:hAnsi="Times New Roman;Times;Serif"/>
          <w:b/>
          <w:i w:val="false"/>
          <w:caps w:val="false"/>
          <w:smallCaps w:val="false"/>
          <w:sz w:val="20"/>
          <w:bdr w:val="single" w:sz="8" w:space="7" w:color="000000"/>
        </w:rPr>
        <w:t>Cooley</w:t>
      </w:r>
      <w:r>
        <w:rPr>
          <w:rFonts w:ascii="Times New Roman;Times;Serif" w:hAnsi="Times New Roman;Times;Serif"/>
          <w:b w:val="false"/>
          <w:i w:val="false"/>
          <w:caps w:val="false"/>
          <w:smallCaps w:val="false"/>
          <w:sz w:val="20"/>
          <w:bdr w:val="single" w:sz="8" w:space="7" w:color="000000"/>
        </w:rPr>
        <w:t>”)for previously provided legal services (the “</w:t>
      </w:r>
      <w:r>
        <w:rPr>
          <w:rFonts w:ascii="Times New Roman;Times;Serif" w:hAnsi="Times New Roman;Times;Serif"/>
          <w:b/>
          <w:i w:val="false"/>
          <w:caps w:val="false"/>
          <w:smallCaps w:val="false"/>
          <w:sz w:val="20"/>
          <w:bdr w:val="single" w:sz="8" w:space="7" w:color="000000"/>
        </w:rPr>
        <w:t>Cooley Repayment Agreement</w:t>
      </w:r>
      <w:r>
        <w:rPr>
          <w:rFonts w:ascii="Times New Roman;Times;Serif" w:hAnsi="Times New Roman;Times;Serif"/>
          <w:b w:val="false"/>
          <w:i w:val="false"/>
          <w:caps w:val="false"/>
          <w:smallCaps w:val="false"/>
          <w:sz w:val="20"/>
          <w:bdr w:val="single" w:sz="8" w:space="7" w:color="000000"/>
        </w:rPr>
        <w:t>”). Under the Cooley Repayment Agreement, the Company’s outstanding fees have been lowered from $1,523,029.39 to $400,000.00 (the “</w:t>
      </w:r>
      <w:r>
        <w:rPr>
          <w:rFonts w:ascii="Times New Roman;Times;Serif" w:hAnsi="Times New Roman;Times;Serif"/>
          <w:b/>
          <w:i w:val="false"/>
          <w:caps w:val="false"/>
          <w:smallCaps w:val="false"/>
          <w:sz w:val="20"/>
          <w:bdr w:val="single" w:sz="8" w:space="7" w:color="000000"/>
        </w:rPr>
        <w:t>Cooley Unpaid Fee</w:t>
      </w:r>
      <w:r>
        <w:rPr>
          <w:rFonts w:ascii="Times New Roman;Times;Serif" w:hAnsi="Times New Roman;Times;Serif"/>
          <w:b w:val="false"/>
          <w:i w:val="false"/>
          <w:caps w:val="false"/>
          <w:smallCaps w:val="false"/>
          <w:sz w:val="20"/>
          <w:bdr w:val="single" w:sz="8" w:space="7" w:color="000000"/>
        </w:rPr>
        <w:t>”) in exchange for 11 monthly installments of $36,300.00, with the first payment to be made on October 1, 2024. If payments are not made in accordance with the Repayment Agreement, Cooley retains the right to seek to collect the entire Cooley Unpaid Fee. </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Settlement Letter with CohnReznick LLP</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September 19, 2024, the Company entered into a Settlement Letter with CohnReznick LLP (“</w:t>
      </w:r>
      <w:r>
        <w:rPr>
          <w:rFonts w:ascii="Times New Roman;Times;Serif" w:hAnsi="Times New Roman;Times;Serif"/>
          <w:b/>
          <w:i w:val="false"/>
          <w:caps w:val="false"/>
          <w:smallCaps w:val="false"/>
          <w:sz w:val="20"/>
          <w:bdr w:val="single" w:sz="8" w:space="7" w:color="000000"/>
        </w:rPr>
        <w:t>CohnReznick</w:t>
      </w:r>
      <w:r>
        <w:rPr>
          <w:rFonts w:ascii="Times New Roman;Times;Serif" w:hAnsi="Times New Roman;Times;Serif"/>
          <w:b w:val="false"/>
          <w:i w:val="false"/>
          <w:caps w:val="false"/>
          <w:smallCaps w:val="false"/>
          <w:sz w:val="20"/>
          <w:bdr w:val="single" w:sz="8" w:space="7" w:color="000000"/>
        </w:rPr>
        <w:t>”) regarding the Company’s unpaid balance totaling $817,400.00 for services rendered in connection with the 7GC business combination with the Company (the “</w:t>
      </w:r>
      <w:r>
        <w:rPr>
          <w:rFonts w:ascii="Times New Roman;Times;Serif" w:hAnsi="Times New Roman;Times;Serif"/>
          <w:b/>
          <w:i w:val="false"/>
          <w:caps w:val="false"/>
          <w:smallCaps w:val="false"/>
          <w:sz w:val="20"/>
          <w:bdr w:val="single" w:sz="8" w:space="7" w:color="000000"/>
        </w:rPr>
        <w:t>Settlement Letter</w:t>
      </w:r>
      <w:r>
        <w:rPr>
          <w:rFonts w:ascii="Times New Roman;Times;Serif" w:hAnsi="Times New Roman;Times;Serif"/>
          <w:b w:val="false"/>
          <w:i w:val="false"/>
          <w:caps w:val="false"/>
          <w:smallCaps w:val="false"/>
          <w:sz w:val="20"/>
          <w:bdr w:val="single" w:sz="8" w:space="7" w:color="000000"/>
        </w:rPr>
        <w:t>”). Under the Settlement Letter, the Company and CohnReznick agreed to settle the total unpaid balance due, upon CohnReznick’s receipt of $450,000 (the “</w:t>
      </w:r>
      <w:r>
        <w:rPr>
          <w:rFonts w:ascii="Times New Roman;Times;Serif" w:hAnsi="Times New Roman;Times;Serif"/>
          <w:b/>
          <w:i w:val="false"/>
          <w:caps w:val="false"/>
          <w:smallCaps w:val="false"/>
          <w:sz w:val="20"/>
          <w:bdr w:val="single" w:sz="8" w:space="7" w:color="000000"/>
        </w:rPr>
        <w:t>Settlement Amount</w:t>
      </w:r>
      <w:r>
        <w:rPr>
          <w:rFonts w:ascii="Times New Roman;Times;Serif" w:hAnsi="Times New Roman;Times;Serif"/>
          <w:b w:val="false"/>
          <w:i w:val="false"/>
          <w:caps w:val="false"/>
          <w:smallCaps w:val="false"/>
          <w:sz w:val="20"/>
          <w:bdr w:val="single" w:sz="8" w:space="7" w:color="000000"/>
        </w:rPr>
        <w:t>”), which will be paid in 15 equal monthly installments of $30,000.00. In consideration of the Settlement Letter, CohnReznick has agreed to not to pursue collection efforts now or at any time in the future, except as otherwise provided in the Settlement Letter.</w:t>
      </w:r>
    </w:p>
    <w:p>
      <w:pPr>
        <w:pStyle w:val="TextBody"/>
        <w:bidi w:val="0"/>
        <w:spacing w:before="0" w:after="0"/>
        <w:ind w:left="0" w:right="0" w:firstLine="720"/>
        <w:jc w:val="both"/>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7" w:color="000000"/>
        </w:rPr>
      </w:pPr>
      <w:r>
        <w:rPr>
          <w:rFonts w:ascii="Times New Roman;Times;Serif" w:hAnsi="Times New Roman;Times;Serif"/>
          <w:b w:val="false"/>
          <w:i/>
          <w:caps w:val="false"/>
          <w:smallCaps w:val="false"/>
          <w:sz w:val="20"/>
          <w:bdr w:val="single" w:sz="8" w:space="7" w:color="000000"/>
        </w:rPr>
        <w:t>Repayment Agreement with Sidley Austin LLP</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On September 19, 2024, the Company entered into a Repayment Agreement with Sidley Austin LLP (“</w:t>
      </w:r>
      <w:r>
        <w:rPr>
          <w:rFonts w:ascii="Times New Roman;Times;Serif" w:hAnsi="Times New Roman;Times;Serif"/>
          <w:b/>
          <w:i w:val="false"/>
          <w:caps w:val="false"/>
          <w:smallCaps w:val="false"/>
          <w:sz w:val="20"/>
          <w:bdr w:val="single" w:sz="8" w:space="7" w:color="000000"/>
        </w:rPr>
        <w:t>Sidley</w:t>
      </w:r>
      <w:r>
        <w:rPr>
          <w:rFonts w:ascii="Times New Roman;Times;Serif" w:hAnsi="Times New Roman;Times;Serif"/>
          <w:b w:val="false"/>
          <w:i w:val="false"/>
          <w:caps w:val="false"/>
          <w:smallCaps w:val="false"/>
          <w:sz w:val="20"/>
          <w:bdr w:val="single" w:sz="8" w:space="7" w:color="000000"/>
        </w:rPr>
        <w:t>”) for previously provided legal services (the “</w:t>
      </w:r>
      <w:r>
        <w:rPr>
          <w:rFonts w:ascii="Times New Roman;Times;Serif" w:hAnsi="Times New Roman;Times;Serif"/>
          <w:b/>
          <w:i w:val="false"/>
          <w:caps w:val="false"/>
          <w:smallCaps w:val="false"/>
          <w:sz w:val="20"/>
          <w:bdr w:val="single" w:sz="8" w:space="7" w:color="000000"/>
        </w:rPr>
        <w:t>Sidley Repayment Agreement</w:t>
      </w:r>
      <w:r>
        <w:rPr>
          <w:rFonts w:ascii="Times New Roman;Times;Serif" w:hAnsi="Times New Roman;Times;Serif"/>
          <w:b w:val="false"/>
          <w:i w:val="false"/>
          <w:caps w:val="false"/>
          <w:smallCaps w:val="false"/>
          <w:sz w:val="20"/>
          <w:bdr w:val="single" w:sz="8" w:space="7" w:color="000000"/>
        </w:rPr>
        <w:t>”). Under the Sidley Repayment Agreement, the Company’s outstanding fees have been lowered from $4,815,979.37 to $1,605,326.00 (the “</w:t>
      </w:r>
      <w:r>
        <w:rPr>
          <w:rFonts w:ascii="Times New Roman;Times;Serif" w:hAnsi="Times New Roman;Times;Serif"/>
          <w:b/>
          <w:i w:val="false"/>
          <w:caps w:val="false"/>
          <w:smallCaps w:val="false"/>
          <w:sz w:val="20"/>
          <w:bdr w:val="single" w:sz="8" w:space="7" w:color="000000"/>
        </w:rPr>
        <w:t>Sidley Unpaid Fee</w:t>
      </w:r>
      <w:r>
        <w:rPr>
          <w:rFonts w:ascii="Times New Roman;Times;Serif" w:hAnsi="Times New Roman;Times;Serif"/>
          <w:b w:val="false"/>
          <w:i w:val="false"/>
          <w:caps w:val="false"/>
          <w:smallCaps w:val="false"/>
          <w:sz w:val="20"/>
          <w:bdr w:val="single" w:sz="8" w:space="7" w:color="000000"/>
        </w:rPr>
        <w:t>”).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w:t>
      </w:r>
    </w:p>
    <w:p>
      <w:pPr>
        <w:pStyle w:val="TextBody"/>
        <w:bidi w:val="0"/>
        <w:spacing w:before="0" w:after="0"/>
        <w:ind w:left="0" w:right="0" w:hanging="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Repayment Agreement with Donnelley Financial LLC</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13, 2024, the Company entered into a Repayment Agreement with Donnelley Financial LLC (“</w:t>
      </w:r>
      <w:r>
        <w:rPr>
          <w:rFonts w:ascii="Times New Roman;Times;Serif" w:hAnsi="Times New Roman;Times;Serif"/>
          <w:b/>
          <w:i w:val="false"/>
          <w:caps w:val="false"/>
          <w:smallCaps w:val="false"/>
          <w:sz w:val="20"/>
          <w:bdr w:val="single" w:sz="8" w:space="1" w:color="000000"/>
        </w:rPr>
        <w:t>Donnelley</w:t>
      </w:r>
      <w:r>
        <w:rPr>
          <w:rFonts w:ascii="Times New Roman;Times;Serif" w:hAnsi="Times New Roman;Times;Serif"/>
          <w:b w:val="false"/>
          <w:i w:val="false"/>
          <w:caps w:val="false"/>
          <w:smallCaps w:val="false"/>
          <w:sz w:val="20"/>
          <w:bdr w:val="single" w:sz="8" w:space="1" w:color="000000"/>
        </w:rPr>
        <w:t>”) for previously provided services (the “</w:t>
      </w:r>
      <w:r>
        <w:rPr>
          <w:rFonts w:ascii="Times New Roman;Times;Serif" w:hAnsi="Times New Roman;Times;Serif"/>
          <w:b/>
          <w:i w:val="false"/>
          <w:caps w:val="false"/>
          <w:smallCaps w:val="false"/>
          <w:sz w:val="20"/>
          <w:bdr w:val="single" w:sz="8" w:space="1" w:color="000000"/>
        </w:rPr>
        <w:t>Donnelley Repayment Agreement</w:t>
      </w:r>
      <w:r>
        <w:rPr>
          <w:rFonts w:ascii="Times New Roman;Times;Serif" w:hAnsi="Times New Roman;Times;Serif"/>
          <w:b w:val="false"/>
          <w:i w:val="false"/>
          <w:caps w:val="false"/>
          <w:smallCaps w:val="false"/>
          <w:sz w:val="20"/>
          <w:bdr w:val="single" w:sz="8" w:space="1" w:color="000000"/>
        </w:rPr>
        <w:t>”). Under the Donnelley Repayment Agreement, the Company’s outstanding fees have been lowered from $1,072,147.75 to $715,122.55 (the “</w:t>
      </w:r>
      <w:r>
        <w:rPr>
          <w:rFonts w:ascii="Times New Roman;Times;Serif" w:hAnsi="Times New Roman;Times;Serif"/>
          <w:b/>
          <w:i w:val="false"/>
          <w:caps w:val="false"/>
          <w:smallCaps w:val="false"/>
          <w:sz w:val="20"/>
          <w:bdr w:val="single" w:sz="8" w:space="1" w:color="000000"/>
        </w:rPr>
        <w:t>Donnelley Unpaid Fee</w:t>
      </w:r>
      <w:r>
        <w:rPr>
          <w:rFonts w:ascii="Times New Roman;Times;Serif" w:hAnsi="Times New Roman;Times;Serif"/>
          <w:b w:val="false"/>
          <w:i w:val="false"/>
          <w:caps w:val="false"/>
          <w:smallCaps w:val="false"/>
          <w:sz w:val="20"/>
          <w:bdr w:val="single" w:sz="8" w:space="1" w:color="000000"/>
        </w:rPr>
        <w:t>”). The Donnelley Unpaid Fee will be paid in 12 monthly installments, with the first monthly payment of $45,000.00 due on October 1, 2024; the remaining 11 payments shall each be in the amount of $28,365.93. Under the Donnelly Repayment Agreement, the Donnelly Unpaid Fee shall become immediately due and payable upon the occurrence of certain events, including failure to make a payment of the Donnelly Unpaid Fee when due and failure to pay for any additional services.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Repayment Agreement with Verista Partners, Inc.</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August 26, 2024, the Company entered into a Repayment Agreement with Verista Partners, Inc. aka Winterberry Group, (“</w:t>
      </w:r>
      <w:r>
        <w:rPr>
          <w:rFonts w:ascii="Times New Roman;Times;Serif" w:hAnsi="Times New Roman;Times;Serif"/>
          <w:b/>
          <w:i w:val="false"/>
          <w:caps w:val="false"/>
          <w:smallCaps w:val="false"/>
          <w:sz w:val="20"/>
          <w:bdr w:val="single" w:sz="8" w:space="1" w:color="000000"/>
        </w:rPr>
        <w:t>Verista</w:t>
      </w:r>
      <w:r>
        <w:rPr>
          <w:rFonts w:ascii="Times New Roman;Times;Serif" w:hAnsi="Times New Roman;Times;Serif"/>
          <w:b w:val="false"/>
          <w:i w:val="false"/>
          <w:caps w:val="false"/>
          <w:smallCaps w:val="false"/>
          <w:sz w:val="20"/>
          <w:bdr w:val="single" w:sz="8" w:space="1" w:color="000000"/>
        </w:rPr>
        <w:t>” or “</w:t>
      </w:r>
      <w:r>
        <w:rPr>
          <w:rFonts w:ascii="Times New Roman;Times;Serif" w:hAnsi="Times New Roman;Times;Serif"/>
          <w:b/>
          <w:i w:val="false"/>
          <w:caps w:val="false"/>
          <w:smallCaps w:val="false"/>
          <w:sz w:val="20"/>
          <w:bdr w:val="single" w:sz="8" w:space="1" w:color="000000"/>
        </w:rPr>
        <w:t>Winterberry</w:t>
      </w:r>
      <w:r>
        <w:rPr>
          <w:rFonts w:ascii="Times New Roman;Times;Serif" w:hAnsi="Times New Roman;Times;Serif"/>
          <w:b w:val="false"/>
          <w:i w:val="false"/>
          <w:caps w:val="false"/>
          <w:smallCaps w:val="false"/>
          <w:sz w:val="20"/>
          <w:bdr w:val="single" w:sz="8" w:space="1" w:color="000000"/>
        </w:rPr>
        <w:t>”) for previously provided services (the “</w:t>
      </w:r>
      <w:r>
        <w:rPr>
          <w:rFonts w:ascii="Times New Roman;Times;Serif" w:hAnsi="Times New Roman;Times;Serif"/>
          <w:b/>
          <w:i w:val="false"/>
          <w:caps w:val="false"/>
          <w:smallCaps w:val="false"/>
          <w:sz w:val="20"/>
          <w:bdr w:val="single" w:sz="8" w:space="1" w:color="000000"/>
        </w:rPr>
        <w:t>Verista Repayment Agreement</w:t>
      </w:r>
      <w:r>
        <w:rPr>
          <w:rFonts w:ascii="Times New Roman;Times;Serif" w:hAnsi="Times New Roman;Times;Serif"/>
          <w:b w:val="false"/>
          <w:i w:val="false"/>
          <w:caps w:val="false"/>
          <w:smallCaps w:val="false"/>
          <w:sz w:val="20"/>
          <w:bdr w:val="single" w:sz="8" w:space="1" w:color="000000"/>
        </w:rPr>
        <w:t>”). Under the Verista Repayment Agreement, the Company’s outstanding fees are $196,666.00 (the “</w:t>
      </w:r>
      <w:r>
        <w:rPr>
          <w:rFonts w:ascii="Times New Roman;Times;Serif" w:hAnsi="Times New Roman;Times;Serif"/>
          <w:b/>
          <w:i w:val="false"/>
          <w:caps w:val="false"/>
          <w:smallCaps w:val="false"/>
          <w:sz w:val="20"/>
          <w:bdr w:val="single" w:sz="8" w:space="1" w:color="000000"/>
        </w:rPr>
        <w:t>Verista Unpaid Fee</w:t>
      </w:r>
      <w:r>
        <w:rPr>
          <w:rFonts w:ascii="Times New Roman;Times;Serif" w:hAnsi="Times New Roman;Times;Serif"/>
          <w:b w:val="false"/>
          <w:i w:val="false"/>
          <w:caps w:val="false"/>
          <w:smallCaps w:val="false"/>
          <w:sz w:val="20"/>
          <w:bdr w:val="single" w:sz="8" w:space="1" w:color="000000"/>
        </w:rPr>
        <w:t>”). The Company and Verista have agreed that the Verista Unpaid Fee will be repaid with $66,666.00 worth of Shares of the Company, and $130,000.00 in 16 equal cash installment payments of $8,125.00, beginning on October 1, 2024, and on the first day of each month thereafter through January 1, 2026.</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copy of the Transaction Documents are attached hereto as Exhibits and are incorporated by reference herein. The foregoing summaries of the terms of the Transaction Documents do not purport to be a complete description of each of the documents described in this report and are qualified in their entirety by such documents.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Alco and CP BF</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February 19, 2021, the Company, along with Joe Davy and Demio, Inc. (the “</w:t>
      </w:r>
      <w:r>
        <w:rPr>
          <w:rFonts w:ascii="Times New Roman;Times;Serif" w:hAnsi="Times New Roman;Times;Serif"/>
          <w:b/>
          <w:i w:val="false"/>
          <w:caps w:val="false"/>
          <w:smallCaps w:val="false"/>
          <w:sz w:val="20"/>
          <w:bdr w:val="single" w:sz="8" w:space="1" w:color="000000"/>
        </w:rPr>
        <w:t>Guarantors</w:t>
      </w:r>
      <w:r>
        <w:rPr>
          <w:rFonts w:ascii="Times New Roman;Times;Serif" w:hAnsi="Times New Roman;Times;Serif"/>
          <w:b w:val="false"/>
          <w:i w:val="false"/>
          <w:caps w:val="false"/>
          <w:smallCaps w:val="false"/>
          <w:sz w:val="20"/>
          <w:bdr w:val="single" w:sz="8" w:space="1" w:color="000000"/>
        </w:rPr>
        <w:t>”), issued a convertible promissory note (the “</w:t>
      </w:r>
      <w:r>
        <w:rPr>
          <w:rFonts w:ascii="Times New Roman;Times;Serif" w:hAnsi="Times New Roman;Times;Serif"/>
          <w:b/>
          <w:i w:val="false"/>
          <w:caps w:val="false"/>
          <w:smallCaps w:val="false"/>
          <w:sz w:val="20"/>
          <w:bdr w:val="single" w:sz="8" w:space="1" w:color="000000"/>
        </w:rPr>
        <w:t>First Senior Convertible Note</w:t>
      </w:r>
      <w:r>
        <w:rPr>
          <w:rFonts w:ascii="Times New Roman;Times;Serif" w:hAnsi="Times New Roman;Times;Serif"/>
          <w:b w:val="false"/>
          <w:i w:val="false"/>
          <w:caps w:val="false"/>
          <w:smallCaps w:val="false"/>
          <w:sz w:val="20"/>
          <w:bdr w:val="single" w:sz="8" w:space="1" w:color="000000"/>
        </w:rPr>
        <w:t>”) in an aggregate principal amount of $1,500,000 to CP BF Lending, LLC (“</w:t>
      </w:r>
      <w:r>
        <w:rPr>
          <w:rFonts w:ascii="Times New Roman;Times;Serif" w:hAnsi="Times New Roman;Times;Serif"/>
          <w:b/>
          <w:i w:val="false"/>
          <w:caps w:val="false"/>
          <w:smallCaps w:val="false"/>
          <w:sz w:val="20"/>
          <w:bdr w:val="single" w:sz="8" w:space="1" w:color="000000"/>
        </w:rPr>
        <w:t>CP BF</w:t>
      </w:r>
      <w:r>
        <w:rPr>
          <w:rFonts w:ascii="Times New Roman;Times;Serif" w:hAnsi="Times New Roman;Times;Serif"/>
          <w:b w:val="false"/>
          <w:i w:val="false"/>
          <w:caps w:val="false"/>
          <w:smallCaps w:val="false"/>
          <w:sz w:val="20"/>
          <w:bdr w:val="single" w:sz="8" w:space="1" w:color="000000"/>
        </w:rPr>
        <w:t>”) in connection with a loan agreement, dated February 19, 2021, between the Company and CP BF (the “</w:t>
      </w:r>
      <w:r>
        <w:rPr>
          <w:rFonts w:ascii="Times New Roman;Times;Serif" w:hAnsi="Times New Roman;Times;Serif"/>
          <w:b/>
          <w:i w:val="false"/>
          <w:caps w:val="false"/>
          <w:smallCaps w:val="false"/>
          <w:sz w:val="20"/>
          <w:bdr w:val="single" w:sz="8" w:space="1" w:color="000000"/>
        </w:rPr>
        <w:t>Loan Agreement</w:t>
      </w:r>
      <w:r>
        <w:rPr>
          <w:rFonts w:ascii="Times New Roman;Times;Serif" w:hAnsi="Times New Roman;Times;Serif"/>
          <w:b w:val="false"/>
          <w:i w:val="false"/>
          <w:caps w:val="false"/>
          <w:smallCaps w:val="false"/>
          <w:sz w:val="20"/>
          <w:bdr w:val="single" w:sz="8" w:space="1" w:color="000000"/>
        </w:rPr>
        <w:t>”). On October 10, 2022, the Loan Agreement was amended, whereby CP BF waived payment by the Company of four months of cash interest with respect to the term loan under the Loan Agreement in replacement for a convertible promissory note (the “</w:t>
      </w:r>
      <w:r>
        <w:rPr>
          <w:rFonts w:ascii="Times New Roman;Times;Serif" w:hAnsi="Times New Roman;Times;Serif"/>
          <w:b/>
          <w:i w:val="false"/>
          <w:caps w:val="false"/>
          <w:smallCaps w:val="false"/>
          <w:sz w:val="20"/>
          <w:bdr w:val="single" w:sz="8" w:space="1" w:color="000000"/>
        </w:rPr>
        <w:t>Second Senior Convertible Note</w:t>
      </w:r>
      <w:r>
        <w:rPr>
          <w:rFonts w:ascii="Times New Roman;Times;Serif" w:hAnsi="Times New Roman;Times;Serif"/>
          <w:b w:val="false"/>
          <w:i w:val="false"/>
          <w:caps w:val="false"/>
          <w:smallCaps w:val="false"/>
          <w:sz w:val="20"/>
          <w:bdr w:val="single" w:sz="8" w:space="1" w:color="000000"/>
        </w:rPr>
        <w:t>” and, together with the First Senior Convertible Note, the “</w:t>
      </w:r>
      <w:r>
        <w:rPr>
          <w:rFonts w:ascii="Times New Roman;Times;Serif" w:hAnsi="Times New Roman;Times;Serif"/>
          <w:b/>
          <w:i w:val="false"/>
          <w:caps w:val="false"/>
          <w:smallCaps w:val="false"/>
          <w:sz w:val="20"/>
          <w:bdr w:val="single" w:sz="8" w:space="1" w:color="000000"/>
        </w:rPr>
        <w:t>Senior Convertible Notes</w:t>
      </w:r>
      <w:r>
        <w:rPr>
          <w:rFonts w:ascii="Times New Roman;Times;Serif" w:hAnsi="Times New Roman;Times;Serif"/>
          <w:b w:val="false"/>
          <w:i w:val="false"/>
          <w:caps w:val="false"/>
          <w:smallCaps w:val="false"/>
          <w:sz w:val="20"/>
          <w:bdr w:val="single" w:sz="8" w:space="1" w:color="000000"/>
        </w:rPr>
        <w:t>”) issued by the Company in an aggregate principal amount of $321,345. On August 24, 2023, the Company and CP BF entered into a forbearance agreement (the “</w:t>
      </w:r>
      <w:r>
        <w:rPr>
          <w:rFonts w:ascii="Times New Roman;Times;Serif" w:hAnsi="Times New Roman;Times;Serif"/>
          <w:b/>
          <w:i w:val="false"/>
          <w:caps w:val="false"/>
          <w:smallCaps w:val="false"/>
          <w:sz w:val="20"/>
          <w:bdr w:val="single" w:sz="8" w:space="1" w:color="000000"/>
        </w:rPr>
        <w:t>Original Forbearance Agreement</w:t>
      </w:r>
      <w:r>
        <w:rPr>
          <w:rFonts w:ascii="Times New Roman;Times;Serif" w:hAnsi="Times New Roman;Times;Serif"/>
          <w:b w:val="false"/>
          <w:i w:val="false"/>
          <w:caps w:val="false"/>
          <w:smallCaps w:val="false"/>
          <w:sz w:val="20"/>
          <w:bdr w:val="single" w:sz="8" w:space="1" w:color="000000"/>
        </w:rPr>
        <w:t>”), as amended by the First Amendment to Forbearance Agreement, dated as of December 14, 2023 (collectively, the “</w:t>
      </w:r>
      <w:r>
        <w:rPr>
          <w:rFonts w:ascii="Times New Roman;Times;Serif" w:hAnsi="Times New Roman;Times;Serif"/>
          <w:b/>
          <w:i w:val="false"/>
          <w:caps w:val="false"/>
          <w:smallCaps w:val="false"/>
          <w:sz w:val="20"/>
          <w:bdr w:val="single" w:sz="8" w:space="1" w:color="000000"/>
        </w:rPr>
        <w:t>Forbearance Agreement</w:t>
      </w:r>
      <w:r>
        <w:rPr>
          <w:rFonts w:ascii="Times New Roman;Times;Serif" w:hAnsi="Times New Roman;Times;Serif"/>
          <w:b w:val="false"/>
          <w:i w:val="false"/>
          <w:caps w:val="false"/>
          <w:smallCaps w:val="false"/>
          <w:sz w:val="20"/>
          <w:bdr w:val="single" w:sz="8" w:space="1" w:color="000000"/>
        </w:rPr>
        <w:t>”), pursuant to which they agreed to amend and restate the Senior Convertible Notes so that they would not convert at the closing of a business combination as a “Change of Control” event. After the closing of the business combination that occurred on December 14, 2023, the Senior Convertible Notes became convertible, at CP BF’s option on 5 days’ written notice to the Company, into shares of the Company’s Class A Common Stock. The Senior Convertible Notes provide that, at all times after a SPAC Transaction (as defined in the Senior Convertible Notes), the conversion price for any such conversion is approximately $4.35 per share, subject to adjustment as set forth therein.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of September 23, 2024, the Company owed an aggregate of $10,758,774.75 under the Senior Convertible Notes.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After Closing, the Senior Convertible Notes became convertible, at CP BF’s option on 5 days’ written notice to the Company, into shares of Class A Common Stock. The Senior Convertible Notes provide that, at all times after a SPAC Transaction (as defined in the Senior Convertible Notes), the conversion price for any such conversion is approximately $4.35 per share (subject to adjustment as set forth therein).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5, 2024, the Company entered into a Side Letter to the Loan Agreement whereby the Company agreed to enter into definitive transaction documents with CP BF and the Guarantors, whereby each agreed that substantially all of the outstanding obligations of the Company and Guarantors with regard to the Loan Agreement shall be consolidated and evidenced by a single convertible note (the “</w:t>
      </w:r>
      <w:r>
        <w:rPr>
          <w:rFonts w:ascii="Times New Roman;Times;Serif" w:hAnsi="Times New Roman;Times;Serif"/>
          <w:b/>
          <w:i w:val="false"/>
          <w:caps w:val="false"/>
          <w:smallCaps w:val="false"/>
          <w:sz w:val="20"/>
          <w:bdr w:val="single" w:sz="8" w:space="1" w:color="000000"/>
        </w:rPr>
        <w:t>Convertible Note</w:t>
      </w:r>
      <w:r>
        <w:rPr>
          <w:rFonts w:ascii="Times New Roman;Times;Serif" w:hAnsi="Times New Roman;Times;Serif"/>
          <w:b w:val="false"/>
          <w:i w:val="false"/>
          <w:caps w:val="false"/>
          <w:smallCaps w:val="false"/>
          <w:sz w:val="20"/>
          <w:bdr w:val="single" w:sz="8" w:space="1" w:color="000000"/>
        </w:rPr>
        <w:t>”), and that, absent an event of default, the Convertible Note shall accrue interest at a rate of 15.5%, which interest shall be paid in kind monthly (collectively, the “</w:t>
      </w:r>
      <w:r>
        <w:rPr>
          <w:rFonts w:ascii="Times New Roman;Times;Serif" w:hAnsi="Times New Roman;Times;Serif"/>
          <w:b/>
          <w:i w:val="false"/>
          <w:caps w:val="false"/>
          <w:smallCaps w:val="false"/>
          <w:sz w:val="20"/>
          <w:bdr w:val="single" w:sz="8" w:space="1" w:color="000000"/>
        </w:rPr>
        <w:t>Rate Reduction</w:t>
      </w:r>
      <w:r>
        <w:rPr>
          <w:rFonts w:ascii="Times New Roman;Times;Serif" w:hAnsi="Times New Roman;Times;Serif"/>
          <w:b w:val="false"/>
          <w:i w:val="false"/>
          <w:caps w:val="false"/>
          <w:smallCaps w:val="false"/>
          <w:sz w:val="20"/>
          <w:bdr w:val="single" w:sz="8" w:space="1" w:color="000000"/>
        </w:rPr>
        <w:t>”). In exchange for agreeing to the Rate Reduction, CP BF subscribed (the “</w:t>
      </w:r>
      <w:r>
        <w:rPr>
          <w:rFonts w:ascii="Times New Roman;Times;Serif" w:hAnsi="Times New Roman;Times;Serif"/>
          <w:b/>
          <w:i w:val="false"/>
          <w:caps w:val="false"/>
          <w:smallCaps w:val="false"/>
          <w:sz w:val="20"/>
          <w:bdr w:val="single" w:sz="8" w:space="1" w:color="000000"/>
        </w:rPr>
        <w:t>Subscription</w:t>
      </w:r>
      <w:r>
        <w:rPr>
          <w:rFonts w:ascii="Times New Roman;Times;Serif" w:hAnsi="Times New Roman;Times;Serif"/>
          <w:b w:val="false"/>
          <w:i w:val="false"/>
          <w:caps w:val="false"/>
          <w:smallCaps w:val="false"/>
          <w:sz w:val="20"/>
          <w:bdr w:val="single" w:sz="8" w:space="1" w:color="000000"/>
        </w:rPr>
        <w:t>”) for, and the Company agreed to issue to CP BF, 70,000 Shares; the Company also agreed to register those shares in a registration statement on Form S-1.</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23, 2024, the Company entered into such definitive transaction documents with CP BF, including a Securities Purchase Agreement (the “</w:t>
      </w:r>
      <w:r>
        <w:rPr>
          <w:rFonts w:ascii="Times New Roman;Times;Serif" w:hAnsi="Times New Roman;Times;Serif"/>
          <w:b/>
          <w:i w:val="false"/>
          <w:caps w:val="false"/>
          <w:smallCaps w:val="false"/>
          <w:sz w:val="20"/>
          <w:bdr w:val="single" w:sz="8" w:space="1" w:color="000000"/>
        </w:rPr>
        <w:t>CP BF SPA</w:t>
      </w:r>
      <w:r>
        <w:rPr>
          <w:rFonts w:ascii="Times New Roman;Times;Serif" w:hAnsi="Times New Roman;Times;Serif"/>
          <w:b w:val="false"/>
          <w:i w:val="false"/>
          <w:caps w:val="false"/>
          <w:smallCaps w:val="false"/>
          <w:sz w:val="20"/>
          <w:bdr w:val="single" w:sz="8" w:space="1" w:color="000000"/>
        </w:rPr>
        <w:t>”), a Registration Rights Agreement (the “</w:t>
      </w:r>
      <w:r>
        <w:rPr>
          <w:rFonts w:ascii="Times New Roman;Times;Serif" w:hAnsi="Times New Roman;Times;Serif"/>
          <w:b/>
          <w:i w:val="false"/>
          <w:caps w:val="false"/>
          <w:smallCaps w:val="false"/>
          <w:sz w:val="20"/>
          <w:bdr w:val="single" w:sz="8" w:space="1" w:color="000000"/>
        </w:rPr>
        <w:t>RRA</w:t>
      </w:r>
      <w:r>
        <w:rPr>
          <w:rFonts w:ascii="Times New Roman;Times;Serif" w:hAnsi="Times New Roman;Times;Serif"/>
          <w:b w:val="false"/>
          <w:i w:val="false"/>
          <w:caps w:val="false"/>
          <w:smallCaps w:val="false"/>
          <w:sz w:val="20"/>
          <w:bdr w:val="single" w:sz="8" w:space="1" w:color="000000"/>
        </w:rPr>
        <w:t>”), a Lock-Up Agreement (the “</w:t>
      </w:r>
      <w:r>
        <w:rPr>
          <w:rFonts w:ascii="Times New Roman;Times;Serif" w:hAnsi="Times New Roman;Times;Serif"/>
          <w:b/>
          <w:i w:val="false"/>
          <w:caps w:val="false"/>
          <w:smallCaps w:val="false"/>
          <w:sz w:val="20"/>
          <w:bdr w:val="single" w:sz="8" w:space="1" w:color="000000"/>
        </w:rPr>
        <w:t>Lock Up</w:t>
      </w:r>
      <w:r>
        <w:rPr>
          <w:rFonts w:ascii="Times New Roman;Times;Serif" w:hAnsi="Times New Roman;Times;Serif"/>
          <w:b w:val="false"/>
          <w:i w:val="false"/>
          <w:caps w:val="false"/>
          <w:smallCaps w:val="false"/>
          <w:sz w:val="20"/>
          <w:bdr w:val="single" w:sz="8" w:space="1" w:color="000000"/>
        </w:rPr>
        <w:t>”) and issued CP BF a Common Stock Purchase Warrant (the “</w:t>
      </w:r>
      <w:r>
        <w:rPr>
          <w:rFonts w:ascii="Times New Roman;Times;Serif" w:hAnsi="Times New Roman;Times;Serif"/>
          <w:b/>
          <w:i w:val="false"/>
          <w:caps w:val="false"/>
          <w:smallCaps w:val="false"/>
          <w:sz w:val="20"/>
          <w:bdr w:val="single" w:sz="8" w:space="1" w:color="000000"/>
        </w:rPr>
        <w:t>Warrant</w:t>
      </w:r>
      <w:r>
        <w:rPr>
          <w:rFonts w:ascii="Times New Roman;Times;Serif" w:hAnsi="Times New Roman;Times;Serif"/>
          <w:b w:val="false"/>
          <w:i w:val="false"/>
          <w:caps w:val="false"/>
          <w:smallCaps w:val="false"/>
          <w:sz w:val="20"/>
          <w:bdr w:val="single" w:sz="8" w:space="1" w:color="000000"/>
        </w:rPr>
        <w:t>”) and a Pre-Funded Warrant (the “</w:t>
      </w:r>
      <w:r>
        <w:rPr>
          <w:rFonts w:ascii="Times New Roman;Times;Serif" w:hAnsi="Times New Roman;Times;Serif"/>
          <w:b/>
          <w:i w:val="false"/>
          <w:caps w:val="false"/>
          <w:smallCaps w:val="false"/>
          <w:sz w:val="20"/>
          <w:bdr w:val="single" w:sz="8" w:space="1" w:color="000000"/>
        </w:rPr>
        <w:t>Pre-Funded Warrant</w:t>
      </w:r>
      <w:r>
        <w:rPr>
          <w:rFonts w:ascii="Times New Roman;Times;Serif" w:hAnsi="Times New Roman;Times;Serif"/>
          <w:b w:val="false"/>
          <w:i w:val="false"/>
          <w:caps w:val="false"/>
          <w:smallCaps w:val="false"/>
          <w:sz w:val="20"/>
          <w:bdr w:val="single" w:sz="8" w:space="1" w:color="000000"/>
        </w:rPr>
        <w:t>,” together with the CP BF SPA, RRA, Lock Up and Warrant, the “</w:t>
      </w:r>
      <w:r>
        <w:rPr>
          <w:rFonts w:ascii="Times New Roman;Times;Serif" w:hAnsi="Times New Roman;Times;Serif"/>
          <w:b/>
          <w:i w:val="false"/>
          <w:caps w:val="false"/>
          <w:smallCaps w:val="false"/>
          <w:sz w:val="20"/>
          <w:bdr w:val="single" w:sz="8" w:space="1" w:color="000000"/>
        </w:rPr>
        <w:t>CP BF Transaction Documents</w:t>
      </w:r>
      <w:r>
        <w:rPr>
          <w:rFonts w:ascii="Times New Roman;Times;Serif" w:hAnsi="Times New Roman;Times;Serif"/>
          <w:b w:val="false"/>
          <w:i w:val="false"/>
          <w:caps w:val="false"/>
          <w:smallCaps w:val="false"/>
          <w:sz w:val="20"/>
          <w:bdr w:val="single" w:sz="8" w:space="1" w:color="000000"/>
        </w:rPr>
        <w:t>”). Pursuant to the CP BF SPA, CP BF agreed to convert $2,000,000 in debt into $2,200,000 in equity, consisting of 260,849 shares of Class A Common Stock, Warrants to purchase up to 565,553 shares of Class A Common Stock and Pre-Funded Warrants to purchase up to 304,704 shares of Class A Common Stock (all such securities and shares collectively referred to as the “</w:t>
      </w:r>
      <w:r>
        <w:rPr>
          <w:rFonts w:ascii="Times New Roman;Times;Serif" w:hAnsi="Times New Roman;Times;Serif"/>
          <w:b/>
          <w:i w:val="false"/>
          <w:caps w:val="false"/>
          <w:smallCaps w:val="false"/>
          <w:sz w:val="20"/>
          <w:bdr w:val="single" w:sz="8" w:space="1" w:color="000000"/>
        </w:rPr>
        <w:t>CP BF Registrable Securities</w:t>
      </w:r>
      <w:r>
        <w:rPr>
          <w:rFonts w:ascii="Times New Roman;Times;Serif" w:hAnsi="Times New Roman;Times;Serif"/>
          <w:b w:val="false"/>
          <w:i w:val="false"/>
          <w:caps w:val="false"/>
          <w:smallCaps w:val="false"/>
          <w:sz w:val="20"/>
          <w:bdr w:val="single" w:sz="8" w:space="1" w:color="000000"/>
        </w:rPr>
        <w:t>”). Under the CP BF SPA, CP BF elected to purchase Pre-Funded Warrants in lieu of shares of Common Stock in such manner to result in them paying the full Subscription Amount ($2,000,000) to the Company. The Warrant can be exercised at an initial exercise price of $4.02 per share, subject to adjustment for a term of five years. The Pre-Funded Warrants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RRA, the Company agreed to file a registration statement to register the CP BF Registrable Securities and for the registration statement to become effective on or before December 9, 2024.Under the Lock-Up, the Company’s CEO, Joe Davy, agreed not to sell an aggregate of 2,311,143 shares of Class B Common Stock that he owns until such time as CP BF no longer owns any of the CP BF Registrable Securities. Under the terms of the CP BF SPA, for a period of 45 days after the date the related Registration Statement is filed, except for certain specified transactions, the Company may not issue or enter into any agreement to issue shares of common stock, without CP BF’s prior written consent; the Company is similarly prohibited from entering into any variable rate transactions for a period of 12 months.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Although the Note has a principal amount of $10,758,774.75, taking into account the purchase and sale pursuant to the CP BF SPA, the Company continued to owe$8,758,775 to CP BF   . CP BF agreed to convert such debt into a consolidated convertible loan, evidenced by a convertible note (the “</w:t>
      </w:r>
      <w:r>
        <w:rPr>
          <w:rFonts w:ascii="Times New Roman;Times;Serif" w:hAnsi="Times New Roman;Times;Serif"/>
          <w:b/>
          <w:i w:val="false"/>
          <w:caps w:val="false"/>
          <w:smallCaps w:val="false"/>
          <w:sz w:val="20"/>
          <w:bdr w:val="single" w:sz="8" w:space="1" w:color="000000"/>
        </w:rPr>
        <w:t>Note</w:t>
      </w:r>
      <w:r>
        <w:rPr>
          <w:rFonts w:ascii="Times New Roman;Times;Serif" w:hAnsi="Times New Roman;Times;Serif"/>
          <w:b w:val="false"/>
          <w:i w:val="false"/>
          <w:caps w:val="false"/>
          <w:smallCaps w:val="false"/>
          <w:sz w:val="20"/>
          <w:bdr w:val="single" w:sz="8" w:space="1" w:color="000000"/>
        </w:rPr>
        <w:t>”), via the Second Amendment to Loan Agreement, dated as of September 23, 2024 (the “</w:t>
      </w:r>
      <w:r>
        <w:rPr>
          <w:rFonts w:ascii="Times New Roman;Times;Serif" w:hAnsi="Times New Roman;Times;Serif"/>
          <w:b/>
          <w:i w:val="false"/>
          <w:caps w:val="false"/>
          <w:smallCaps w:val="false"/>
          <w:sz w:val="20"/>
          <w:bdr w:val="single" w:sz="8" w:space="1" w:color="000000"/>
        </w:rPr>
        <w:t>Amended Loan Agreement</w:t>
      </w:r>
      <w:r>
        <w:rPr>
          <w:rFonts w:ascii="Times New Roman;Times;Serif" w:hAnsi="Times New Roman;Times;Serif"/>
          <w:b w:val="false"/>
          <w:i w:val="false"/>
          <w:caps w:val="false"/>
          <w:smallCaps w:val="false"/>
          <w:sz w:val="20"/>
          <w:bdr w:val="single" w:sz="8" w:space="1" w:color="000000"/>
        </w:rPr>
        <w:t>”). Pursuant to the Amended Loan Agreement, interest shall accrue as payable-in-kind at an annual interest rate of 15.5% per annum, which shall increase to 20% upon the occurrence of an event of default. The Company shall also pay CP BF a $900 monthly servicing fee, which may increase by 7% annually if certain fees increase in cost and paid CP BF a one-time origination fee in the amount of $160,000. The Amended Loan Agreement also provides certain instances in which the Company must prepay the loan. Until such time as the loan is paid in full, CP BF maintains the right to appoint one representative to the Company’s Board of Directors to attend and observe the Board of Director meetings. Adding in a 1% exit fee on the Note, we agreed to register an aggregate of 2,279,271 shares of Class A Common Stock underlying the Note in the related registration statement. The Note may be converted into shares of the Company’s Class A Common Stock at a conversion price of $3.89 per share and matures on February 19, 2027.</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19, 2024, the Company and Alco agreed to convert $4,708,099 of debt into $5,178,908.90 in equity, on the same terms as set forth in the CP BF Transaction Documents (the “</w:t>
      </w:r>
      <w:r>
        <w:rPr>
          <w:rFonts w:ascii="Times New Roman;Times;Serif" w:hAnsi="Times New Roman;Times;Serif"/>
          <w:b/>
          <w:i w:val="false"/>
          <w:caps w:val="false"/>
          <w:smallCaps w:val="false"/>
          <w:sz w:val="20"/>
          <w:bdr w:val="single" w:sz="8" w:space="1" w:color="000000"/>
        </w:rPr>
        <w:t>Alco Transaction Documents</w:t>
      </w:r>
      <w:r>
        <w:rPr>
          <w:rFonts w:ascii="Times New Roman;Times;Serif" w:hAnsi="Times New Roman;Times;Serif"/>
          <w:b w:val="false"/>
          <w:i w:val="false"/>
          <w:caps w:val="false"/>
          <w:smallCaps w:val="false"/>
          <w:sz w:val="20"/>
          <w:bdr w:val="single" w:sz="8" w:space="1" w:color="000000"/>
        </w:rPr>
        <w:t>”, together with the CP BF Transaction Documents, the “</w:t>
      </w:r>
      <w:r>
        <w:rPr>
          <w:rFonts w:ascii="Times New Roman;Times;Serif" w:hAnsi="Times New Roman;Times;Serif"/>
          <w:b/>
          <w:i w:val="false"/>
          <w:caps w:val="false"/>
          <w:smallCaps w:val="false"/>
          <w:sz w:val="20"/>
          <w:bdr w:val="single" w:sz="8" w:space="1" w:color="000000"/>
        </w:rPr>
        <w:t>Transaction Documents</w:t>
      </w:r>
      <w:r>
        <w:rPr>
          <w:rFonts w:ascii="Times New Roman;Times;Serif" w:hAnsi="Times New Roman;Times;Serif"/>
          <w:b w:val="false"/>
          <w:i w:val="false"/>
          <w:caps w:val="false"/>
          <w:smallCaps w:val="false"/>
          <w:sz w:val="20"/>
          <w:bdr w:val="single" w:sz="8" w:space="1" w:color="000000"/>
        </w:rPr>
        <w:t>”). Accordingly, Alco shall receive, and we agreed to register 282,420 shares of Class A Common Stock, Warrants to purchase up to 1,331,340 shares of Class A Common Stock and Pre-Funded Warrants to purchase up to 1,048,920 shares of Class A Common Stock (collectively, the “</w:t>
      </w:r>
      <w:r>
        <w:rPr>
          <w:rFonts w:ascii="Times New Roman;Times;Serif" w:hAnsi="Times New Roman;Times;Serif"/>
          <w:b/>
          <w:i w:val="false"/>
          <w:caps w:val="false"/>
          <w:smallCaps w:val="false"/>
          <w:sz w:val="20"/>
          <w:bdr w:val="single" w:sz="8" w:space="1" w:color="000000"/>
        </w:rPr>
        <w:t>Alco Securities</w:t>
      </w:r>
      <w:r>
        <w:rPr>
          <w:rFonts w:ascii="Times New Roman;Times;Serif" w:hAnsi="Times New Roman;Times;Serif"/>
          <w:b w:val="false"/>
          <w:i w:val="false"/>
          <w:caps w:val="false"/>
          <w:smallCaps w:val="false"/>
          <w:sz w:val="20"/>
          <w:bdr w:val="single" w:sz="8" w:space="1" w:color="000000"/>
        </w:rPr>
        <w:t>”). As consideration for the repayment of all of Alco’s outstanding debt, $470,809.90 was credited toward the purchase price of the Alco Securities.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copy of the Transaction Documents are attached hereto as Exhibits and are incorporated by reference herein. The foregoing summaries of the terms of the Transaction Documents do not purport to be a complete description of each of the documents described in this report and are qualified in their entirety by such documents.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initially filed a registration statement on Form S-1 (File No. 333-282306) on September 24, 2024 to register the shares of Class A Common Stock issuable to CP BF and Alco pursuant to the above mentioned agreements and the registration statement was declared effective on October 10, 2024.</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Recent Wainwright Private Financing</w:t>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September 24, 2024, the Company entered into a securities purchase agreement (the “</w:t>
      </w:r>
      <w:r>
        <w:rPr>
          <w:rFonts w:ascii="Times New Roman;Times;Serif" w:hAnsi="Times New Roman;Times;Serif"/>
          <w:b/>
          <w:i/>
          <w:caps w:val="false"/>
          <w:smallCaps w:val="false"/>
          <w:sz w:val="20"/>
          <w:bdr w:val="single" w:sz="8" w:space="1" w:color="000000"/>
        </w:rPr>
        <w:t>Purchase Agreement</w:t>
      </w:r>
      <w:r>
        <w:rPr>
          <w:rFonts w:ascii="Times New Roman;Times;Serif" w:hAnsi="Times New Roman;Times;Serif"/>
          <w:b w:val="false"/>
          <w:i w:val="false"/>
          <w:caps w:val="false"/>
          <w:smallCaps w:val="false"/>
          <w:sz w:val="20"/>
          <w:bdr w:val="single" w:sz="8" w:space="1" w:color="000000"/>
        </w:rPr>
        <w:t>”) with an institutional investor for the issuance and sale in a private placement (the “</w:t>
      </w:r>
      <w:r>
        <w:rPr>
          <w:rFonts w:ascii="Times New Roman;Times;Serif" w:hAnsi="Times New Roman;Times;Serif"/>
          <w:b/>
          <w:i/>
          <w:caps w:val="false"/>
          <w:smallCaps w:val="false"/>
          <w:sz w:val="20"/>
          <w:bdr w:val="single" w:sz="8" w:space="1" w:color="000000"/>
        </w:rPr>
        <w:t>Private Placement</w:t>
      </w:r>
      <w:r>
        <w:rPr>
          <w:rFonts w:ascii="Times New Roman;Times;Serif" w:hAnsi="Times New Roman;Times;Serif"/>
          <w:b w:val="false"/>
          <w:i w:val="false"/>
          <w:caps w:val="false"/>
          <w:smallCaps w:val="false"/>
          <w:sz w:val="20"/>
          <w:bdr w:val="single" w:sz="8" w:space="1" w:color="000000"/>
        </w:rPr>
        <w:t>”) of (i) pre-funded warrants (“</w:t>
      </w:r>
      <w:r>
        <w:rPr>
          <w:rFonts w:ascii="Times New Roman;Times;Serif" w:hAnsi="Times New Roman;Times;Serif"/>
          <w:b/>
          <w:i/>
          <w:caps w:val="false"/>
          <w:smallCaps w:val="false"/>
          <w:sz w:val="20"/>
          <w:bdr w:val="single" w:sz="8" w:space="1" w:color="000000"/>
        </w:rPr>
        <w:t>Pre-Funded Warrants</w:t>
      </w:r>
      <w:r>
        <w:rPr>
          <w:rFonts w:ascii="Times New Roman;Times;Serif" w:hAnsi="Times New Roman;Times;Serif"/>
          <w:b w:val="false"/>
          <w:i w:val="false"/>
          <w:caps w:val="false"/>
          <w:smallCaps w:val="false"/>
          <w:sz w:val="20"/>
          <w:bdr w:val="single" w:sz="8" w:space="1" w:color="000000"/>
        </w:rPr>
        <w:t>”) to purchase up to 1,176,471 shares of the Company’s Class A common stock, par value $0.0001 per share (the “</w:t>
      </w:r>
      <w:r>
        <w:rPr>
          <w:rFonts w:ascii="Times New Roman;Times;Serif" w:hAnsi="Times New Roman;Times;Serif"/>
          <w:b/>
          <w:i/>
          <w:caps w:val="false"/>
          <w:smallCaps w:val="false"/>
          <w:sz w:val="20"/>
          <w:bdr w:val="single" w:sz="8" w:space="1" w:color="000000"/>
        </w:rPr>
        <w:t>Common Stock</w:t>
      </w:r>
      <w:r>
        <w:rPr>
          <w:rFonts w:ascii="Times New Roman;Times;Serif" w:hAnsi="Times New Roman;Times;Serif"/>
          <w:b w:val="false"/>
          <w:i w:val="false"/>
          <w:caps w:val="false"/>
          <w:smallCaps w:val="false"/>
          <w:sz w:val="20"/>
          <w:bdr w:val="single" w:sz="8" w:space="1" w:color="000000"/>
        </w:rPr>
        <w:t>”), at an exercise price of $0.001 per share, (ii) Series A warrants (the “</w:t>
      </w:r>
      <w:r>
        <w:rPr>
          <w:rFonts w:ascii="Times New Roman;Times;Serif" w:hAnsi="Times New Roman;Times;Serif"/>
          <w:b/>
          <w:i/>
          <w:caps w:val="false"/>
          <w:smallCaps w:val="false"/>
          <w:sz w:val="20"/>
          <w:bdr w:val="single" w:sz="8" w:space="1" w:color="000000"/>
        </w:rPr>
        <w:t>Series A Warrants</w:t>
      </w:r>
      <w:r>
        <w:rPr>
          <w:rFonts w:ascii="Times New Roman;Times;Serif" w:hAnsi="Times New Roman;Times;Serif"/>
          <w:b w:val="false"/>
          <w:i w:val="false"/>
          <w:caps w:val="false"/>
          <w:smallCaps w:val="false"/>
          <w:sz w:val="20"/>
          <w:bdr w:val="single" w:sz="8" w:space="1" w:color="000000"/>
        </w:rPr>
        <w:t>”) to purchase up to 1,176,471 shares of Common Stock, at an exercise price of $4.00 per share, and (iii) Series B warrants (the “</w:t>
      </w:r>
      <w:r>
        <w:rPr>
          <w:rFonts w:ascii="Times New Roman;Times;Serif" w:hAnsi="Times New Roman;Times;Serif"/>
          <w:b/>
          <w:i/>
          <w:caps w:val="false"/>
          <w:smallCaps w:val="false"/>
          <w:sz w:val="20"/>
          <w:bdr w:val="single" w:sz="8" w:space="1" w:color="000000"/>
        </w:rPr>
        <w:t>Series B Warrants</w:t>
      </w:r>
      <w:r>
        <w:rPr>
          <w:rFonts w:ascii="Times New Roman;Times;Serif" w:hAnsi="Times New Roman;Times;Serif"/>
          <w:b w:val="false"/>
          <w:i w:val="false"/>
          <w:caps w:val="false"/>
          <w:smallCaps w:val="false"/>
          <w:sz w:val="20"/>
          <w:bdr w:val="single" w:sz="8" w:space="1" w:color="000000"/>
        </w:rPr>
        <w:t>” and together with the Series A Warrants and the Placement Agent Warrants (defined below), the “</w:t>
      </w:r>
      <w:r>
        <w:rPr>
          <w:rFonts w:ascii="Times New Roman;Times;Serif" w:hAnsi="Times New Roman;Times;Serif"/>
          <w:b/>
          <w:i/>
          <w:caps w:val="false"/>
          <w:smallCaps w:val="false"/>
          <w:sz w:val="20"/>
          <w:bdr w:val="single" w:sz="8" w:space="1" w:color="000000"/>
        </w:rPr>
        <w:t>Warrants</w:t>
      </w:r>
      <w:r>
        <w:rPr>
          <w:rFonts w:ascii="Times New Roman;Times;Serif" w:hAnsi="Times New Roman;Times;Serif"/>
          <w:b w:val="false"/>
          <w:i w:val="false"/>
          <w:caps w:val="false"/>
          <w:smallCaps w:val="false"/>
          <w:sz w:val="20"/>
          <w:bdr w:val="single" w:sz="8" w:space="1" w:color="000000"/>
        </w:rPr>
        <w:t>” ) to purchase up to 1,176,471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Pre-Funded Warrant and accompanying Warrants was $4.249. The Private Placement closed on September 26, 2024.</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holder of the Pre-Funded Warrants and the Warrants may not exercise any portion of such holder’s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Private Placement, the Company entered into a registration rights agreement (the “</w:t>
      </w:r>
      <w:r>
        <w:rPr>
          <w:rFonts w:ascii="Times New Roman;Times;Serif" w:hAnsi="Times New Roman;Times;Serif"/>
          <w:b/>
          <w:i/>
          <w:caps w:val="false"/>
          <w:smallCaps w:val="false"/>
          <w:sz w:val="20"/>
          <w:bdr w:val="single" w:sz="8" w:space="1" w:color="000000"/>
        </w:rPr>
        <w:t>Registration Rights Agreement</w:t>
      </w:r>
      <w:r>
        <w:rPr>
          <w:rFonts w:ascii="Times New Roman;Times;Serif" w:hAnsi="Times New Roman;Times;Serif"/>
          <w:b w:val="false"/>
          <w:i w:val="false"/>
          <w:caps w:val="false"/>
          <w:smallCaps w:val="false"/>
          <w:sz w:val="20"/>
          <w:bdr w:val="single" w:sz="8" w:space="1" w:color="000000"/>
        </w:rPr>
        <w:t>”), dated as of September 24, 2024, with the investor, pursuant to which the Company agreed to prepare and file a registration statement on Form S-1 to register the resale of the shares of Common Stock underlying the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net proceeds to the Company from the Private Placement were approximately $4.4 million, after deducting placement agent fees and estimated offering expenses payable by the Company. The Company intends to use the net proceeds received from the Private Placement to pay off in full its outstanding credit facility with Yorkville Advisors and for general corporate purposes and working capital.</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H.C. Wainwright &amp; Co., LLC (“</w:t>
      </w:r>
      <w:r>
        <w:rPr>
          <w:rFonts w:ascii="Times New Roman;Times;Serif" w:hAnsi="Times New Roman;Times;Serif"/>
          <w:b/>
          <w:i/>
          <w:caps w:val="false"/>
          <w:smallCaps w:val="false"/>
          <w:sz w:val="20"/>
          <w:bdr w:val="single" w:sz="8" w:space="1" w:color="000000"/>
        </w:rPr>
        <w:t>Wainwright</w:t>
      </w:r>
      <w:r>
        <w:rPr>
          <w:rFonts w:ascii="Times New Roman;Times;Serif" w:hAnsi="Times New Roman;Times;Serif"/>
          <w:b w:val="false"/>
          <w:i w:val="false"/>
          <w:caps w:val="false"/>
          <w:smallCaps w:val="false"/>
          <w:sz w:val="20"/>
          <w:bdr w:val="single" w:sz="8" w:space="1" w:color="000000"/>
        </w:rPr>
        <w:t>”) acted as the Company’s exclusive placement agent in connection with the Private Placement, pursuant to that certain engagement letter, dated as of September 12, 2024, as amended, between the Company and Wainwright (the “</w:t>
      </w:r>
      <w:r>
        <w:rPr>
          <w:rFonts w:ascii="Times New Roman;Times;Serif" w:hAnsi="Times New Roman;Times;Serif"/>
          <w:b/>
          <w:i/>
          <w:caps w:val="false"/>
          <w:smallCaps w:val="false"/>
          <w:sz w:val="20"/>
          <w:bdr w:val="single" w:sz="8" w:space="1" w:color="000000"/>
        </w:rPr>
        <w:t>Engagement Letter</w:t>
      </w:r>
      <w:r>
        <w:rPr>
          <w:rFonts w:ascii="Times New Roman;Times;Serif" w:hAnsi="Times New Roman;Times;Serif"/>
          <w:b w:val="false"/>
          <w:i w:val="false"/>
          <w:caps w:val="false"/>
          <w:smallCaps w:val="false"/>
          <w:sz w:val="20"/>
          <w:bdr w:val="single" w:sz="8" w:space="1" w:color="000000"/>
        </w:rPr>
        <w:t>”). Pursuant to the Engagement Letter,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w:t>
      </w:r>
      <w:r>
        <w:rPr>
          <w:rFonts w:ascii="Times New Roman;Times;Serif" w:hAnsi="Times New Roman;Times;Serif"/>
          <w:b/>
          <w:i/>
          <w:caps w:val="false"/>
          <w:smallCaps w:val="false"/>
          <w:sz w:val="20"/>
          <w:bdr w:val="single" w:sz="8" w:space="1" w:color="000000"/>
        </w:rPr>
        <w:t>Placement Agent Warrants</w:t>
      </w:r>
      <w:r>
        <w:rPr>
          <w:rFonts w:ascii="Times New Roman;Times;Serif" w:hAnsi="Times New Roman;Times;Serif"/>
          <w:b w:val="false"/>
          <w:i w:val="false"/>
          <w:caps w:val="false"/>
          <w:smallCaps w:val="false"/>
          <w:sz w:val="20"/>
          <w:bdr w:val="single" w:sz="8" w:space="1" w:color="000000"/>
        </w:rPr>
        <w:t>”) to purchase up to an aggregate of 88,235 shares of Common Stock at an exercise price equal to $5.3125 per share and, if any Warrants are exercised for cash will be obligated to issue to Wainwright additional Placement Agent Warrants equal to 7.5% of the total Warrants exercised, if any. The Placement Agent Warrants have substantially the same terms as the Warrants, are exercisable immediately upon issuance and have a term of exercise equal to five (5) years from the date of issuance.</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w:t>
      </w:r>
    </w:p>
    <w:p>
      <w:pPr>
        <w:pStyle w:val="TextBody"/>
        <w:bidi w:val="0"/>
        <w:jc w:val="both"/>
        <w:rPr>
          <w:caps w:val="false"/>
          <w:smallCaps w:val="false"/>
          <w:bdr w:val="single" w:sz="8" w:space="1" w:color="000000"/>
        </w:rPr>
      </w:pPr>
      <w:r>
        <w:rPr>
          <w:caps w:val="false"/>
          <w:smallCaps w:val="false"/>
          <w:bdr w:val="single" w:sz="8" w:space="1"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Engagement Letter and the Purchase Agreement contain customary representations and warranties and agreements and obligations, conditions to closing and termination provisions. The foregoing descriptions of terms and conditions of the Purchase Agreement, the Pre-Funded Warrants, the Series A Warrants, the Series B Warrants, the Placement Agent Warrants, and the Registration Rights Agreement do not purport to be complete and are qualified in their entirety by the full text of the form of the Purchase Agreement, the form of the Pre-Funded Warrant, the form of the Series A Warrant, the form of the Series B Warrant, the form of the Placement Agent Warrant, and the form of the Registration Rights Agreement, which are attached hereto as Exhibits.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Associated with Our Business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Risks Related to our Business and Industry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8860" w:type="dxa"/>
        <w:jc w:val="center"/>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incurred significant operating losses in the past and may never achieve or maintain profitability.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limited operating history with our current offerings, which makes it difficult to evaluate our current and future business prospects and increases the risk of your investment.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revenue growth rate depends on existing customers renewing and maintaining or expanding their subscriptions, and if we fail to retain our customers at current or expanded subscriptions, our business will be harmed.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assumptions, analyses, and estimates upon which our forecasts, projections and outlook are based prove to be incorrect or inaccurate, our actual results may differ materially from those forecasted or projected.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successfully develop or introduce new and enhanced products that achieve market acceptance, or successfully integrate acquired products or services with our existing products, and our business could be harmed and our revenue could suffer as a result.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acquisitions of, and investments in, other businesses, products, or technologies may not yield expected benefits and our inability to successfully integrate acquisitions may negatively impact our business, financial condition, and results of operations.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we recognize revenue from subscriptions for our product offerings over the terms of the subscriptions, our financial results in any period may not be indicative of our financial health and future performance.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and data security breaches and ransomware attacks may create financial liabilities for us, damage our reputation, and harm our business.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9595" w:type="dxa"/>
        <w:jc w:val="center"/>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and data security laws and regulations could impose additional costs and reduce demand for our solutions.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9100" w:type="dxa"/>
        <w:jc w:val="center"/>
        <w:tblInd w:w="0" w:type="dxa"/>
        <w:tblLayout w:type="fixed"/>
        <w:tblCellMar>
          <w:top w:w="0" w:type="dxa"/>
          <w:left w:w="0" w:type="dxa"/>
          <w:bottom w:w="0" w:type="dxa"/>
          <w:right w:w="0" w:type="dxa"/>
        </w:tblCellMar>
      </w:tblPr>
      <w:tblGrid>
        <w:gridCol w:w="75"/>
        <w:gridCol w:w="170"/>
        <w:gridCol w:w="8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use our net operating loss to offset future taxable income may be subject to certain limitations.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6760" w:type="dxa"/>
        <w:jc w:val="center"/>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litigation results could have a material adverse impact on our business.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parties may initiate legal proceedings alleging that we are infringing or otherwise violating their intellectual property rights, the outcome of which would be uncertain and could harm our business.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use of open source software could adversely affect our ability to offer our solutions and subject us to possible litigation.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Risks Related to Offering and Ownership of Our Securities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6640" w:type="dxa"/>
        <w:jc w:val="center"/>
        <w:tblInd w:w="0" w:type="dxa"/>
        <w:tblLayout w:type="fixed"/>
        <w:tblCellMar>
          <w:top w:w="0" w:type="dxa"/>
          <w:left w:w="0" w:type="dxa"/>
          <w:bottom w:w="0" w:type="dxa"/>
          <w:right w:w="0" w:type="dxa"/>
        </w:tblCellMar>
      </w:tblPr>
      <w:tblGrid>
        <w:gridCol w:w="75"/>
        <w:gridCol w:w="170"/>
        <w:gridCol w:w="6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sales of shares of Class A Common Stock may depress their stock price.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Issuances of shares of our Class A Common Stock pursuant to any Advances under the SEPA and conversion of any amounts under the Yorkville Promissory Notes, exercise of the GEM Warrant and conversion of any amounts under the GEM Promissory Note, and conversion of any amounts under the Senior Convertible Notes (the “Notes”) would result in substantial dilution of our stockholders and may have a negative impact on the market price of our Class A Common Stock.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Nasdaq Stock Market LLC (“Nasdaq”) may delist our securities from trading on its exchange, which could limit investors’ ability to make transactions in our securities and subject us to additional trading restrictions.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Class A Common Stock ceases to be listed on a national securities exchange it will become subject to the so-called “penny stock” rules that impose restrictive sales practice requirements.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dual class common stock structure has the effect of concentrating voting power with our Chief Executive Officer and Co-Founder, Joseph Davy, which limits an investor’s ability to influence the outcome of important transactions, including a change in control.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Class A Common Stock is likely to be highly volatile, and you may lose some or all of your investment. This volatility could also subject us to securities class action litigation.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or industry analysts do not publish research or reports about us, or publish negative reports, then our stock price and trading volume could decline.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incurred and will continue to incur increased costs and demands upon management as a result of complying with the laws and regulations affecting public companies, which could adversely affect our business, results of operations, and financial condition.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executive officers and directors collectively beneficially own approximately 94.560% of the voting power of our outstanding Common Stock and have substantial control over us, which will limit your ability to influence the outcome of important transactions, including a change in control.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additional shares of Common Stock or Preferred Stock, including under our equity incentive plan. Any such issuances would dilute the interest of our stockholders and likely present other risks.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certain holders of Class A Common Stock sell a significant portion of their securities, it may negatively impact the market price of the shares of Class A Common Stock and such holders still may receive significant proceeds.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not possible to predict the actual number of shares we will sell under the SEPA, or the actual gross proceeds resulting from those sales. Further, we may not have access to any or the full amount available under the SEPA.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 Our principal executive offices are located at 435 Ericksen Ave NE, Suite 250, Bainbridge Island, WA 98110. Our telephone number is (206) 414-1777. Our website address is www.banzai.io. Information contained on our website or connected thereto does not constitute part of, and is not incorporated by reference into, this prospectus or the registration statement of which it forms a part.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 and a Smaller Reporting Company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emerging growth company as defined in the Jumpstart Our Business Startups Act of 2012 (the “JOBS Act”). We will remain an emerging growth company under the JOBS Act until the earliest of (i) the last day of our first fiscal year (a) following the fifth anniversary of 7GC’s IPO (December 22, 2025),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the information in this prospectus and that we provide to our investors in the future may be different than what you might receive from other public reporting companies.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7" w:color="000000"/>
        </w:rPr>
      </w:pPr>
      <w:r>
        <w:rPr>
          <w:rFonts w:ascii="Times New Roman;Times;Serif" w:hAnsi="Times New Roman;Times;Serif"/>
          <w:b/>
          <w:i w:val="false"/>
          <w:caps w:val="false"/>
          <w:smallCaps w:val="false"/>
          <w:sz w:val="20"/>
          <w:bdr w:val="single" w:sz="8" w:space="7" w:color="000000"/>
        </w:rPr>
        <w:t>THE OFFERING</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2635" w:type="dxa"/>
        <w:jc w:val="left"/>
        <w:tblInd w:w="0" w:type="dxa"/>
        <w:tblLayout w:type="fixed"/>
        <w:tblCellMar>
          <w:top w:w="0" w:type="dxa"/>
          <w:left w:w="0" w:type="dxa"/>
          <w:bottom w:w="0" w:type="dxa"/>
          <w:right w:w="0" w:type="dxa"/>
        </w:tblCellMar>
      </w:tblPr>
      <w:tblGrid>
        <w:gridCol w:w="500"/>
        <w:gridCol w:w="21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w:t>
            </w:r>
          </w:p>
        </w:tc>
      </w:tr>
    </w:tbl>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1677"/>
        <w:gridCol w:w="8528"/>
      </w:tblGrid>
      <w:tr>
        <w:trPr/>
        <w:tc>
          <w:tcPr>
            <w:tcW w:w="1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w:t>
            </w:r>
          </w:p>
        </w:tc>
        <w:tc>
          <w:tcPr>
            <w:tcW w:w="85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877,372 shares of Class A Common Stock, consisting of the following shares of Class A Common Stock issuable pursuant to the agreements related to the Debt Equitization Plan: (1) 600,000 shares issuable to Perkins; (2) 30,000 shares issuable pursuant to Winterberry; (3) 150,000 shares issuable to GEM; (4) 29,078 shares previously issued to J.V.B; (5) an aggregate of 23,294 shares previously issued to Roth; and (6) 45,000 shares previously issued to Hudson Global Venture LLC.</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an additional 15% of shares of Class A Common Stock to account for the additional shares that may be owed to the Selling Shareholders as a result of our changing stock price, since the number of shares issuable to the Selling Shareholders under the applicable Debt Equitization Plan agreement is based upon our stock price at the time of issuance, which is after this Registration Statement is declared effective. For purposes of this Registration Statement, to calculate the number of shares to register, we assumed the issuance date was October 9, 2024 and used a stock price of $3.666 per share, which is the average of the closing price of our Class A Common Stock for the five trading days preceding October 9, 2024.</w:t>
            </w:r>
          </w:p>
        </w:tc>
      </w:tr>
      <w:tr>
        <w:trPr/>
        <w:tc>
          <w:tcPr>
            <w:tcW w:w="1677" w:type="dxa"/>
            <w:tcBorders/>
            <w:vAlign w:val="center"/>
          </w:tcPr>
          <w:p>
            <w:pPr>
              <w:pStyle w:val="TableContents"/>
              <w:bidi w:val="0"/>
              <w:spacing w:before="0" w:after="283"/>
              <w:jc w:val="left"/>
              <w:rPr>
                <w:caps w:val="false"/>
                <w:smallCaps w:val="false"/>
              </w:rPr>
            </w:pPr>
            <w:r>
              <w:rPr>
                <w:caps w:val="false"/>
                <w:smallCaps w:val="false"/>
              </w:rPr>
              <w:t> </w:t>
            </w:r>
          </w:p>
        </w:tc>
        <w:tc>
          <w:tcPr>
            <w:tcW w:w="85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A Common Stock outstanding on October 14, 2024 </w:t>
            </w:r>
          </w:p>
        </w:tc>
        <w:tc>
          <w:tcPr>
            <w:tcW w:w="85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2,039,152</w:t>
            </w:r>
          </w:p>
        </w:tc>
      </w:tr>
      <w:tr>
        <w:trPr/>
        <w:tc>
          <w:tcPr>
            <w:tcW w:w="1677" w:type="dxa"/>
            <w:tcBorders/>
            <w:vAlign w:val="center"/>
          </w:tcPr>
          <w:p>
            <w:pPr>
              <w:pStyle w:val="TableContents"/>
              <w:bidi w:val="0"/>
              <w:spacing w:before="0" w:after="283"/>
              <w:jc w:val="left"/>
              <w:rPr>
                <w:caps w:val="false"/>
                <w:smallCaps w:val="false"/>
              </w:rPr>
            </w:pPr>
            <w:r>
              <w:rPr>
                <w:caps w:val="false"/>
                <w:smallCaps w:val="false"/>
              </w:rPr>
              <w:t> </w:t>
            </w:r>
          </w:p>
        </w:tc>
        <w:tc>
          <w:tcPr>
            <w:tcW w:w="85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of proceeds </w:t>
            </w:r>
          </w:p>
        </w:tc>
        <w:tc>
          <w:tcPr>
            <w:tcW w:w="85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shares of Class A Common Stock by the Selling Securityholders.</w:t>
            </w:r>
          </w:p>
        </w:tc>
      </w:tr>
      <w:tr>
        <w:trPr/>
        <w:tc>
          <w:tcPr>
            <w:tcW w:w="1677" w:type="dxa"/>
            <w:tcBorders/>
            <w:vAlign w:val="center"/>
          </w:tcPr>
          <w:p>
            <w:pPr>
              <w:pStyle w:val="TableContents"/>
              <w:bidi w:val="0"/>
              <w:spacing w:before="0" w:after="283"/>
              <w:jc w:val="left"/>
              <w:rPr>
                <w:caps w:val="false"/>
                <w:smallCaps w:val="false"/>
              </w:rPr>
            </w:pPr>
            <w:r>
              <w:rPr>
                <w:caps w:val="false"/>
                <w:smallCaps w:val="false"/>
              </w:rPr>
              <w:t> </w:t>
            </w:r>
          </w:p>
        </w:tc>
        <w:tc>
          <w:tcPr>
            <w:tcW w:w="85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 factors </w:t>
            </w:r>
          </w:p>
        </w:tc>
        <w:tc>
          <w:tcPr>
            <w:tcW w:w="85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the section entitled “Risk Factors” and other information included in this prospectus for a discussion of factors you should consider before investing in our securities. </w:t>
            </w:r>
          </w:p>
        </w:tc>
      </w:tr>
      <w:tr>
        <w:trPr/>
        <w:tc>
          <w:tcPr>
            <w:tcW w:w="1677" w:type="dxa"/>
            <w:tcBorders/>
            <w:vAlign w:val="center"/>
          </w:tcPr>
          <w:p>
            <w:pPr>
              <w:pStyle w:val="TableContents"/>
              <w:bidi w:val="0"/>
              <w:spacing w:before="0" w:after="283"/>
              <w:jc w:val="left"/>
              <w:rPr>
                <w:caps w:val="false"/>
                <w:smallCaps w:val="false"/>
              </w:rPr>
            </w:pPr>
            <w:r>
              <w:rPr>
                <w:caps w:val="false"/>
                <w:smallCaps w:val="false"/>
              </w:rPr>
              <w:t> </w:t>
            </w:r>
          </w:p>
        </w:tc>
        <w:tc>
          <w:tcPr>
            <w:tcW w:w="85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Symbol </w:t>
            </w:r>
          </w:p>
        </w:tc>
        <w:tc>
          <w:tcPr>
            <w:tcW w:w="85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Common Stock is currently traded on The Nasdaq Global Market under the symbol “BNZI.” </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7" w:color="000000"/>
        </w:rPr>
      </w:pPr>
      <w:r>
        <w:rPr>
          <w:rFonts w:ascii="Times New Roman;Times;Serif" w:hAnsi="Times New Roman;Times;Serif"/>
          <w:b w:val="false"/>
          <w:i w:val="false"/>
          <w:caps w:val="false"/>
          <w:smallCaps w:val="false"/>
          <w:sz w:val="20"/>
          <w:bdr w:val="single" w:sz="8" w:space="7" w:color="000000"/>
        </w:rPr>
        <w:t>The number of shares of our Class A Common Stock that are and will be outstanding immediately before and after this registration statement is effective is based on 2,039,152 shares of our Class A Common Stock outstanding as of October 14, 2024, which excludes:</w:t>
      </w:r>
    </w:p>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8770" w:type="dxa"/>
        <w:jc w:val="left"/>
        <w:tblInd w:w="0" w:type="dxa"/>
        <w:tblLayout w:type="fixed"/>
        <w:tblCellMar>
          <w:top w:w="0" w:type="dxa"/>
          <w:left w:w="0" w:type="dxa"/>
          <w:bottom w:w="0" w:type="dxa"/>
          <w:right w:w="0" w:type="dxa"/>
        </w:tblCellMar>
      </w:tblPr>
      <w:tblGrid>
        <w:gridCol w:w="75"/>
        <w:gridCol w:w="170"/>
        <w:gridCol w:w="8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230,000 shares issuable upon exercise of outstanding Public Warrants with an exercise price of $575.00; </w:t>
            </w:r>
          </w:p>
        </w:tc>
      </w:tr>
    </w:tbl>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16,571 shares issuable upon exercise of the GEM Warrant with an exercise price of $324.50 per share, which will be adjusted downward to 105% of the per share consideration received in this offering pursuant to anti-dilution price protections contained within those warrants (See “Description of Securities-Warrants-GEM Warrant”); </w:t>
            </w:r>
          </w:p>
        </w:tc>
      </w:tr>
    </w:tbl>
    <w:p>
      <w:pPr>
        <w:pStyle w:val="TextBody"/>
        <w:bidi w:val="0"/>
        <w:spacing w:before="0" w:after="0"/>
        <w:ind w:left="0" w:right="0" w:hanging="0"/>
        <w:jc w:val="both"/>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121,661 shares issuable for repayment of GEM Promissory Noted based on a VWAP of $3.864;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10,205 shares issuable upon exercise of outstanding stock options with a weighted average exercise price of $253.99 granted through October 14, 2024;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12,959 shares issuable upon vesting of outstanding restricted stock units granted through October 14, 2024;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2,698,696 shares issuable upon conversion of Senior Convertible Notes;</w:t>
            </w:r>
          </w:p>
        </w:tc>
      </w:tr>
    </w:tbl>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2,311,134 shares issuable upon conversion of outstanding shares of Class B Common Stock; </w:t>
            </w:r>
          </w:p>
        </w:tc>
      </w:tr>
    </w:tbl>
    <w:p>
      <w:pPr>
        <w:pStyle w:val="TextBody"/>
        <w:bidi w:val="0"/>
        <w:spacing w:before="0" w:after="0"/>
        <w:ind w:left="0" w:right="0" w:hanging="0"/>
        <w:jc w:val="left"/>
        <w:rPr>
          <w:caps w:val="false"/>
          <w:smallCaps w:val="false"/>
          <w:bdr w:val="single" w:sz="8" w:space="7" w:color="000000"/>
        </w:rPr>
      </w:pPr>
      <w:r>
        <w:rPr>
          <w:caps w:val="false"/>
          <w:smallCaps w:val="false"/>
          <w:bdr w:val="single" w:sz="8" w:space="7"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277,778 shares issuable upon exercise of outstanding Common Stock Purchase Warrants with an exercise price of $9.00;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 shares issuable upon exercise of Placement Agent Warrants issued pursuant to the “best efforts” public offering the Company completed in May 2024.</w:t>
            </w:r>
          </w:p>
        </w:tc>
      </w:tr>
    </w:tbl>
    <w:p>
      <w:pPr>
        <w:pStyle w:val="TextBody"/>
        <w:bidi w:val="0"/>
        <w:spacing w:before="0" w:after="0"/>
        <w:jc w:val="center"/>
        <w:rPr>
          <w:caps w:val="false"/>
          <w:smallCaps w:val="false"/>
          <w:bdr w:val="single" w:sz="8" w:space="7" w:color="000000"/>
        </w:rPr>
      </w:pPr>
      <w:r>
        <w:rPr>
          <w:caps w:val="false"/>
          <w:smallCaps w:val="false"/>
          <w:bdr w:val="single" w:sz="8" w:space="7"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bs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$9.8 million, $6.2 million, $8.7 million and $7.3 million in the years ended December 31, 2023, and 2022 and the six months ended June 30, 2024 and 2023,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 ended December 31, 2023 and December 31, 2022 and the six months ended June 30, 2024 and June 30, 2023, respectively,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Annual Report on Form 10-K for the year ended December 31, 2023 (the “2023 Form 10-K”) reflect, that there is substantial doubt about our ability to continue as a going concern within 12 months after the date of the filing of the 2023 Form 10-K.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in 2021, we acquired Demio, a webinar platform startup, and integrated Demio’s platform into our service offerings, and in 2023, we launched Boost, a tool used by Demio customers to enhance participation in their Demio webinars.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For example, in 2021, we acquired webinar platform startup Demio and integrated Demio’s platform into our service offerings.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unanticipated costs or liabilities resulting from our acquisitions; </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retention of key employees from acquired businesses; </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integrating acquired operations, personnel, technologies, or products; </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diversion of management attention from existing business operations and strategy; </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diversion of resources that are needed in other parts of our business, including integration of other acquisitions; </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write-offs of acquired assets;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maintain relationships with customers and partners of the acquired businesses; </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difficulty of transitioning acquired technology and related infrastructures into our existing product offerings; </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difficulty maintaining security and privacy standards of acquired technology consistent with our existing products; </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financial and credit risks associated with the acquired businesses or their customers; </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need to implement internal controls, procedures, and policies at the acquired companies; </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need to comply with additional laws and regulations applicable to the acquired businesses; and </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and indirect tax impacts of any such acquisitions.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Vimeo, Zoom, and GoToWebinar with respect to video platforms; </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Mailchimp and Constant Contact with respect to email marketing; and </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Marketo, Hubspot, and Braze with respect to marketing automation platforms.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new customers and retain existing customers; </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condition of our current and potential customers; </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our sales and implementation cycles; </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introductions and expansions of our product offerings, offerings, or challenges with their introduction; </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our pricing or fee structures or those of our competitors;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and success of new offering introductions by us or our competitors or any other change in the competitive landscape of our industry;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operating expenses that we may incur to grow and expand our operations and to remain competitive; </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successfully expand our business; </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breaches of information security or privacy; </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stock-based compensation expenses; </w:t>
            </w:r>
          </w:p>
        </w:tc>
      </w:tr>
    </w:tbl>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and timing of operating costs and capital expenditures related to the expansion of our business; </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litigation judgments, settlements, or other litigation-related costs; </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and potential outcomes of ongoing or future regulatory investigations or examinations, or of future litigation; </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our effective tax rate;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make accurate accounting estimates and appropriately recognize revenue for our existing and future offerings; </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accounting standards, policies, guidance, interpretations, or principles; </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instability in the financial markets; </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economic conditions, both domestic and international; </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volatility in the global financial markets;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political, economic, and social instability, including terrorist activities and outbreaks of public health threats, such as coronavirus, influenza, or other highly communicable diseases or viruses, and any disruption these events may cause to the global economy; and </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170"/>
        <w:gridCol w:w="4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business or macroeconomic conditions.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we entered into the Loan Agreement with CP BF. The Loan Agreement contains a number of provisions that impose operating and financial restrictions which, subject to certain exceptions, limit our ability to, among other things: incur additional indebtedness, pay dividends or make distributions or redeem or repurchase our securities, make certain investments, grant liens on assets, sell or dispose of any material assets; and acquire the assets of, or merge or consolidate with, other companies. Additionally, the Loan Agreement contains affirmative covenants that require to us take, and have taken by certain dates, specific actions, some of which have not been satisfied. As a result, on August 24, 2023, we entered into the Original Forbearance Agreement, as amended by the Forbearance Amendment dated as of December 14, 2023, under which we acknowledged that we were in default of several obligations and such holder acknowledged such defaults and agreed, subject to certain conditions, not to exercise any right or remedy under the Loan Agreement, including its right to accelerate the aggregate amount outstanding under the Loan Agreement, until June 14,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If we do not maintain and regain compliance with our continuing obligations or any covenants, terms and conditions of the Loan Agreement, after the expiration of the Forbearance Agreement, we could be in default and required to repay outstanding borrowings on an accelerated basis, which could subject us to decreased liquidity and other negative impacts on our business, results of operations and financial condition. In the case of an event of default, we may not have sufficient funds available to make the required payments under the Loan Agreement and may not be able to borrow sufficient funds to refinance the Loan Agreement. Even if new financing is available, it may not be on terms that are acceptable to us. If we are unable to repay amounts owed under the terms of the Loan Agreement, our Lender may choose to exercise its remedies in respect to the collateral, including a foreclosure of their lien (which may result in a sale of certain of our assets to satisfy our obligations under the Loan Agreement or ultimately in a bankruptcy or liquidation). The foregoing would materially and adversely affect the ongoing viability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have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as well as in several international countries,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harm our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 security. Any of these occurrences could create liability for us, put our reputation in jeopardy, and harm our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 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2023, we held two registered trademarks in the United States: Banzai and Demio.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there is no assurance that any resulting patents or other intellectual property rights will adequately protect our intellectual property, or provide us with any competitive advantages. Moreover, we cannot guarantee that any of our pending patent or trademark applications will issue or be approved. Even where we have intellectual property rights,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In such an event, our competitors might be able to develop and commercialize substantially similar and competing applications, which would harm our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the years ended December 31, 2023 and 2022, Legacy Banzai’s net cash used in operating activities was $1.6 million and $5.2 million, respectively. As of June 30, 2024, December 31, 2023 and 2022, Banzai and Legacy Banzai, respectively, had $0.5 million, $2.1 million and $1.0 million of cash, respectively, which was held for working capital purposes. As of June 30, 2024, December 31, 2023 and 2022, Banzai and Legacy Banzai, respectively, had borrowings of $16.1 million, $16.2 million and $13.7 million, respectively, outstanding under its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170"/>
        <w:gridCol w:w="5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70"/>
        <w:gridCol w:w="38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In addition, if we do not identify additional financing to refinance our existing Loan Agreement prior to the expiration of the forbearance granted by our Lender through June 14, 2024, we will be in default of our obligations under the Loan Agreement. Additional financing may not be available on favorable terms, or at all.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their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“Sales of a substantial number of shares of Class A Common Stock in the public market pursuant to our registration statements could reduce the market price of Class A Common Stock.” Subject to certain exceptions, the Amended and Restated Registration Rights Agreement executed at the time of the Closing provides for certain restrictions on transfer with respect to our securities. Such restrictions began upon the Closing and end the earliest of (A) 180 days after the Closing and (B) the first date on which (x) the closing price of our Class A Common Stock equals or exceeds $12.00 per share for any 20 trading days within any 30-trading day period commencing at least 150 days after the Closing or (y) we complete a liquidation, merger, capital stock exchange, reorganization or other similar transaction that results in our stockholders having the right to exchange their shares of our Class A Common Stock for cash, securities, or other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we and certain stockholders of Legacy Banzai, including Legacy Banzai’s officers, directors, and certain holders of 10% or more of the outstanding shares of Legacy Banzai Common Stock as of the date of the Merger Agreement, entered into the lock-up agreements effective as of the Closing Date (the “Lock-Up Agreements”). Pursuant to the Lock-Up Agreements, such stockholders agree not to, without our prior written consent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such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Cantor is subject to a 12-month lock-up period with respect to Class A Common Stock issued pursuant to the Fee Reduction Agreement, subject to customary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equity holders not subject to a lock-up and, following the expiration of the applicable lock-up periods, such equity holders referred to above will not be restricted from selling shares of our Common Stock held by them, other than by applicable securities laws, and sales could occur at any time and such sales could depress the stock price.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Advances under the SEPA and conversion of any amounts under the Yorkville Promissory Notes, exercise of the GEM Warrant and conversion of any amounts under the GEM Promissory Note, and conversion of any amounts under the Senior Convertible Notes would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Senior Convertible Notes and the obligation to issue the GEM Warrant automatically became our obligation. On December 15, 2023, we issued the GEM Warrant in the amount of 16,571 shares of Class A Common Stock at an exercise price of $324.50 per share, which will be adjusted to 105% of the then-current exercise price if, on the one-year anniversary date of the date of issuance, the GEM Warrant has not been exercised in full and the average closing price per share of shares of Class A Common Stock for the 10 days preceding the anniversary date is less than 90% of the initial exercise price.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 GEM may exercise the GEM Warrant at any time and from time to time until December 14,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we issued the GEM Promissory Note, which is convertible upon nonpayment of and in lieu of a monthly payment in the amount of $100,000, payable for ten months on the first of the month starting on March 1, 2024. The GEM Promissory Note provides for the issuance of shares of Class A Common Stock at a conversion price equal to the VWAP of the trading day immediately preceding the applicable payment due date. As of the date of this prospectus, we have issued an aggregate of 40,000 shares of Class A Common Stock to GEM in lieu of monthly payment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issuable pursuant to the GEM Warrant and the GEM Promissory Note, to the extent exercised, converted and issued, would impose significant dilution on our stockholders. Under the terms of the GEM Warrant and the GEM Promissory Note, as of October 14, 2024, 16,571 and 121,661 additional shares of Class A Common Stock may be issued assuming full exercise and conversion (and no adjustments to the exercise or conversion price thereof) of each of the GEM Warrant and the GEM Promissory Note, respectively, which would reflect approximately 0.81% or 5.63% respectively, of the outstanding shares of our Class A Common Stock as of October 14, 2024 after giving effect to such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shares of Class A Common Stock issuable pursuant to the Senior Convertible Notes, to the extent exercised, converted and issued, would impose significant dilution on our stockholders. As of October 14, 2024, up to 2,698,696 additional shares of Class A Common Stock may be issued assuming full conversion (and no adjustments to the conversion price thereof) of the Senior Convertible Notes, which would reflect approximately 56.96% of the outstanding shares of our Class A Common Stock as of October 14, 2024 after giving effect to such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subject to certain conditions and Yorkville’s right to require issuances while its promissory notes are outstanding, we have the option, but not the obligation, to sell to Yorkville, and Yorkville will subscribe for, an aggregate amount of up to $100,000,000 of shares of Class A Common Stock, at our request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other customary conditions precedent are satisfied. The price at which we may issue and sell shares pursuant to an Advance under the SEPA may be at either (a) Pricing Option 1 or (b) Pricing Option 2, provided that we are subject to certain caps on the amount of shares of Class A Common Stock that we may sell pursuant to any advance under the SEPA.</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at any time during the commitment period, provided there is a balance remaining outstanding under a Yorkville Promissory Note, Yorkville may deliver an Investor Notice, causing an Advance Notice to be deemed delivered to Yorkville, subject to certain conditions. As of October 14, 2024, 111,024 shares of Class A Common Stock had been issued upon conversion of the Yorkville Promissory Notes and the Company made a $750,000.00 cash payment in May 2024. The aggregate principal amount was fully satisfied with no remaining outstanding balance under the Yorkville Promissory Notes. In addition, 14,201 shares of Class A Common Stock had been issued in satisfaction of a deferred fee payment in the amount of $500,000. Assuming that (a) we issue and sell the full $100 million of shares of Class A Common Stock under the SEPA to Yorkville, (b) there are no beneficial ownership limitations, and (c) the issue price for such sales is $1.00 or $3.00 per share, such additional issuances would represent in the aggregate approximately 2,000,000 or 6,000,000 additional shares of Class A Common Stock, respectively, or approximately 50% or 75% of the total number of shares of Class A Common Stock outstanding as of October 14, 2024, after giving effect to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we received a letter from the staff at Nasdaq notifying us that, for 30 consecutive business days prior to the date of the letter, our Market Value of Listed Securities was below the minimum of $50 million required for continued listing on The Nasdaq Global Market pursuant to Nasdaq Listing Rule 5450(b)(2)(A) (the “MVLS Requirement”). The staff at Nasdaq also noted that we were not in compliance with Nasdaq Listing Rule 5450(b)(3)(A), which requires listed companies to have total assets and total revenue of at least $50,000,000 each for the most recently completed fiscal year or for two of the three most recently completed fiscal years. We had 180 calendar days, or until August 5, 2024, to regain compliance. On August 6, 2024, </w:t>
      </w:r>
      <w:r>
        <w:rPr>
          <w:rFonts w:ascii="Times New Roman;Times;Serif" w:hAnsi="Times New Roman;Times;Serif"/>
          <w:b w:val="false"/>
          <w:i w:val="false"/>
          <w:caps w:val="false"/>
          <w:smallCaps w:val="false"/>
          <w:sz w:val="20"/>
          <w:shd w:fill="FFFFFF" w:val="clear"/>
        </w:rPr>
        <w:t xml:space="preserve">we </w:t>
      </w:r>
      <w:r>
        <w:rPr>
          <w:rFonts w:ascii="Times New Roman;Times;Serif" w:hAnsi="Times New Roman;Times;Serif"/>
          <w:b w:val="false"/>
          <w:i w:val="false"/>
          <w:caps w:val="false"/>
          <w:smallCaps w:val="false"/>
          <w:sz w:val="20"/>
        </w:rPr>
        <w:t>received a written notice (the “Notice”) from the Listing Qualifications Department of Nasdaq indicating that we failed to comply with the MVLS requirement. Pursuant to the Notice, unless we timely request a hearing before The Nasdaq Hearings Panel (the “Panel”), our securities will be subject to suspension and delisting from The Nasdaq Global Market. Accordingly, we intend to timely request a hearing before the Panel. A hearing request will automatically stay the suspension of trading on our securities, and our securities will continue to trade on The Nasdaq Global Market until the hearing process concludes and the Panel issues a written decision. There can be no assurance that the Panel will grant us an additional extension period or that we will ultimately regain compliance with all applicable requirements for continued listing on The Nasdaq Global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we received a second letter from the staff at Nasdaq notifying us that, for the 30 consecutive business days prior to the date of the letter, Class A Common Stock did not meet the minimum bid price of $1.00 per share required for continued listing on The Nasdaq Global Market pursuant to Nasdaq Listing Rule 5450(a)(1). Also on April 3, 2024, we received a third letter from the staff at Nasdaq notifying us that, for the 30 consecutive business days prior to the date of the third letter, our Market Value of Publicly Held Shares was below the minimum of $15 million required for continued listing on The Nasdaq Global Market pursuant to Nasdaq Listing Rule 5450(b)(2)(C). We have 180 calendar days, or until September 30, 2024, to regain compliance with these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w:t>
      </w:r>
      <w:r>
        <w:rPr>
          <w:rFonts w:ascii="Times New Roman;Times;Serif" w:hAnsi="Times New Roman;Times;Serif"/>
          <w:b w:val="false"/>
          <w:i w:val="false"/>
          <w:caps w:val="false"/>
          <w:smallCaps w:val="false"/>
          <w:sz w:val="20"/>
          <w:shd w:fill="FFFFFF" w:val="clear"/>
        </w:rPr>
        <w:t xml:space="preserve">we </w:t>
      </w:r>
      <w:r>
        <w:rPr>
          <w:rFonts w:ascii="Times New Roman;Times;Serif" w:hAnsi="Times New Roman;Times;Serif"/>
          <w:b w:val="false"/>
          <w:i w:val="false"/>
          <w:caps w:val="false"/>
          <w:smallCaps w:val="false"/>
          <w:sz w:val="20"/>
        </w:rPr>
        <w:t>received a written notice (the “Notice”) from the Listing Qualifications Department of The Nasdaq Stock Market LLC (“Nasdaq”) indicating that the Company has failed to comply with Nasdaq’s $50 million minimum “Market Value of Listed Securities” requirement set forth in Nasdaq Listing Rule 5450(b)(2)(A). Pursuant to the Notice, the Company requested a hearing before The Nasdaq Hearings Panel (the “Panel”), which automatically stayed the suspension of trading on the Company’s securities, and the Company’s securities will continue to trade on The Nasdaq Global Market until the hearing process concludes and the Panel issues a written decision. The hearing was held on September 19, 2024. On September 26, 2024, Nasdaq provided the Company with its determination. The Panel determined to phase the Company down from The Nasdaq Global Market to The Nasdaq Capital Market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or before January 31, 2024. The Panel reserved the right to reconsider the terms of the extension based on any event, condition or circumstance that exists or develops that would, in the opinion of the Panel, make continued listing of the Company’s securities on the Nasdaq Capital Market inadvisable or unwarranted.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limited availability of market quotations for our securities; </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75"/>
        <w:gridCol w:w="170"/>
        <w:gridCol w:w="9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reduced liquidity for our securities;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determination that our common stock is a “penny stock” which will require brokers trading in our Class A Common Stock to adhere to more stringent rules and possibly result in a reduced level of trading activity in the secondary trading market for our securities;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limited amount of news and analyst coverage;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70"/>
        <w:gridCol w:w="7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decreased ability to issue additional securities or obtain additional financing in the future; and </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being subject to regulation in each state in which we offer our securities.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Global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voting power with our Chief Executive Officer and Co-Founder, Joseph Davy, which limits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91.89% of our outstanding voting power as of October 14, 2024 and is able to control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concentrated control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actual or anticipated fluctuations in our financial condition and operating results, including fluctuations in its quarterly and annual results; </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involving our competitors; </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laws and regulations affecting our business; </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variations in our operating performance and the performance of our competitors in general; </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public’s reaction to our press releases, our other public announcements and our filings with the SEC; </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additions and departures of key personnel;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announcements of significant acquisitions, strategic partnerships, joint ventures or capital commitments by us or our competitors;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failure to meet the estimates and projections of the investment community or that we may otherwise provide to the public;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publication of research reports about us or our industry, or positive or negative recommendations or withdrawal of research coverage by securities analysts; </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market valuations of similar companies; </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overall performance of the equity markets; </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Common Stock by us or our stockholders in the future; </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trading volume of Class A Common Stock; </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lawsuits, including stockholder litigation; </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170"/>
        <w:gridCol w:w="4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comply with the requirements of Nasdaq; </w:t>
            </w:r>
          </w:p>
        </w:tc>
      </w:tr>
    </w:tbl>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any natural disasters, pandemics, epidemics or other public health emergencies; </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economic, industry and market conditions and other events or factors, many of which are beyond our control; and </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70"/>
        <w:gridCol w:w="6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accounting standards, policies, guidelines, interpretations, or principles.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2023, Legacy Banzai identified material weaknesses in its internal control over financial reporting.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&amp;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93.47% of the voting power of our outstanding Common Stock and have substantial control over us, which will limit your ability to influence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93.47% of the voting power of our outstanding shares of Common Stock as of the date of this prospectus, based on the number of shares outstanding as of October 14, 2024. As a result, these stockholders, if acting together, will be able to influence or control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in control of the Company, could deprive our stockholders of an opportunity to receive a premium for their Class A Common Stock as part of a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shares of our Class B Common Stock are entitled to 10 votes per share;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limitation of the liability of, and the indemnification of, our directors and officers;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 </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controlling the procedures for the conduct and scheduling of Board and stockholder meetings;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of the Board to amend the Bylaws, which may allow the Board to take additional actions to prevent an unsolicited takeover and inhibit the ability of an acquirer to amend the Bylaws to facilitate an unsolicited takeover attempt;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smaller reporting company, and the reduced reporting requirements applicable to emerging growth companies and smaller reporting companies may make our shares of Class A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We will remain an emerging growth company until the earlier of: (i) the last day of the fiscal year (a) following the fifth anniversary of the closing of 7GC’s initial public offering (December 22, 2025), (b) in which we have total annual gross revenue of at least $1.235 billion, or (c) in which we are deemed to be a large accelerated filer, which means the market value of our common equity that is held by non-affiliates exceeds $700.0 million as of the last business day of our most recently completed second fiscal quarter; and (ii) the date on which we have issued more than $1.0 billion in non-convertible debt securities during the prior three-year period.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JOBS Act, emerging growth companies can delay adopting new or revised accounting standards until such time as those standards apply to private companies. We have elected to use this extended transition period for complying with new or revised accounting standards and, therefore, we will not be subject to the same new or revised accounting standards as other public companies that are not emerging growth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Exchange Act. 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of the Sarbanes-Oxley Act and reduced disclosure obligations regarding executive compensation in this prospectus and our other periodic reports and proxy statements.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Class A Common Stock less attractive because we may rely on these exemptions. If some investors find Class A Common Stock less attractive as a result, there may be a less active trading market for Class A Common Stock and its market price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“Management’s Discussion and Analysis of Financial Condition and Results of Operations-Critical Accounting Estimates.”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warrants and SAFEs, including the valuation of the bifurcated embedded derivatives liabilities, and measurement and recognition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which had 71,522 unissued shares authorized as of December 31, 2023. Any such issuances of additional shares of Common Stock or Preferred Stock:</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significantly dilute the equity interests of our investors;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subordinate the rights of holders of Common Stock if preferred stock is issued with rights senior to those afforded our Common Stock;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 </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adversely affect prevailing market prices for our Common Stock and/or Public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the Registration Statements on Form S-1 (File Nos. 333-276307 and 333-278871) (the “S-1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S-1 Registration Statements permit the resale of shares held by the Sponsor, who has beneficial ownership of approximately 2.98% of our outstanding shares of Class A Common Stock, and Mr. Joseph Davy, who holds approximately 53.13% of outstanding Common Stock of the Company, including shares of both Class A Common Stock and Class B Common Stock and approximately 91.89% of our outstanding voting power,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S-1 Registration Statements, the selling securityholders will continue to offer the securities covered thereby pursuant to the S-1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certain holders of Class A Common Stock sell a significant portion of their securities, it may negatively impact the market price of the shares of Class A Common Stock and such holders still may receive significant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market price of our Class A Common Stock is below $10.00 per share, which was the price per unit sold in the IPO, the per-share value of the consideration issued to Legacy Banzai stockholders upon consummation of the Business Combination. However, certain of our stockholders hold shares of Class A Common Stock that were originally purchased by the Sponsor in a private placement prior to the IPO (“Founder Shares”) and may nonetheless be inclined to sell such Founder Shares, as they were originally purchased at an effective price significantly less than $10.00 per share. The currently outstanding 60,747 Founder Shares, representing 2.98% of our Class A Common Stock as of October 14, 2024, were purchased at an effective price of $0.0050 per share. Accordingly, holders of the Founder Shares could sell their securities at a per-share price that is less than $10.00 and still realize a significant profit from the sale of those securities that could not be realized by our other stockholders. On October 14, 2024, the closing price of our Class A Common Stock was $3.70 Based on this closing price, the aggregate sales price of the Founder Shares would be approximately $0.2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SEPA, or the actual gross proceeds resulting from those sales. Further, we may not have access to any or the full amount available under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we entered into the SEPA with Yorkville, pursuant to which Yorkville has committed to purchase up to $100 million of Class A Common Stock, pursuant to Advance Notices delivered by the Company any time during the commitment period terminating on the 36-month anniversary of the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other customary conditions precedent. Additionally, at any time during the commitment period, provided there is a balance remaining outstanding under a Yorkville Promissory Note, Yorkville may deliver an Investor Notice, causing an Advance Notice to be deemed delivered to Yorkville, subject to certain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issuance of shares of Class A Common Stock following receipt of an Investor Notice (as defined in the SEPA) or pursuant to conversion of a Yorkville Promissory Note, we generally have the right to control the timing and amount of any sales of shares of Class A Common Stock to Yorkville under the SEPA. Sales of Class A Common Stock, if any, to Yorkville under the SEPA will depend upon market conditions and other factors to be determined by us. We may ultimately decide to sell to Yorkville all, some or none of the shares of Class A Common Stock that may be available for us to sell to Yorkville pursuant to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purchase price per share to be paid by Yorkville for the shares of Class A Common Stock that we may elect to sell to Yorkville under the SEPA, if any, will fluctuate based on the market prices of Class A Common Stock prior to each sale made pursuant to the SEPA, if any, it is not possible for us to predict, as of the date of this prospectus and prior to any such sales, the number of shares of Class A Common Stock that we will sell to Yorkville under the SEPA, the purchase price per share that Yorkville will pay for shares purchased from us under the SEPA, or the aggregate gross proceeds that we will receive from those purchases by Yorkville under the SEPA,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although the SEPA provides that we may issue up to an aggregate of $100 million of our Class A Common Stock to Yorkville, only 114,526 shares of Class A Common Stock (excluding 6,000 shares issued to Yorkville in lieu of a commitment fee at Closing) were previously registered for resale under the Prior SEPA Registration Statement. If we issue to Yorkville all of the 114,526 shares of Class A Common Stock registered for resale under the Prior SEPA Registration Statement, depending on the market price of our Class A Common Stock prior to each Advance made pursuant to the SEPA, the actual gross proceeds from the sale of all such shares may be substantially less than the $100 million available to us under the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 has become necessary for us to issue to Yorkville under the SEPA more than the 114,526 shares of Class A Common Stock previously registered, to receive aggregate gross proceeds equal to $100 million under the SEPA, we filed another registration statement to register under the Securities Act the resale by Yorkville such additional shares of Class A Common Stock we now seek to issue from time to time under the SEPA, which the SEC must declare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obligate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Resales of our shares of Common Stock in the public market during this Offering by the Selling Securityholder may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Resale Shares could result in resales of our Common Stock by our current securityholders concerned about the potential dilution of their holdings. In turn, these resales could have the effect of depressing the market price for our Common Stock.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bs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will not receive any of the proceeds from the sale of the shares of Common Stock being offered by the Selling Securityholder.</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bs_006"/>
      <w:bookmarkEnd w:id="7"/>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14, 2024, our Class A Common Stock is listed on The Nasdaq Global Market under the symbol “BNZI”. Our Public Warrants are currently listed on The Nasdaq Global Market under the symbol “BNZIW.” As of October 14, 2024, there were 64 holders of record of our Class A Common Stock and one holder of record of our Public Warrants. These numbers do not include beneficial owners whose securities were held in street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receipt of the necessary shareholder and Nasdaq approval, we have implemented a reverse stock split of our Class A Common Stock at a 1:50 ratio, to be effective on September 19, 2024. Following the split, we have a new cusip number 06682J308.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0"/>
        <w:gridCol w:w="60"/>
        <w:gridCol w:w="144"/>
        <w:gridCol w:w="1422"/>
        <w:gridCol w:w="60"/>
        <w:gridCol w:w="60"/>
        <w:gridCol w:w="342"/>
        <w:gridCol w:w="1625"/>
        <w:gridCol w:w="60"/>
        <w:gridCol w:w="60"/>
        <w:gridCol w:w="210"/>
        <w:gridCol w:w="2093"/>
        <w:gridCol w:w="79"/>
      </w:tblGrid>
      <w:tr>
        <w:trPr/>
        <w:tc>
          <w:tcPr>
            <w:tcW w:w="39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of 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warrants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for future issuance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equity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(excluding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 column (a)) (c) (1)</w:t>
            </w:r>
          </w:p>
        </w:tc>
        <w:tc>
          <w:tcPr>
            <w:tcW w:w="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approved by securityholders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82,965</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not approved by securityholders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293.74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82,965</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71,522 shares available pursuant to our 2023 Equity Incentive Plan and 11,443 shares available pursuant to our Employee Stock Purchase Plan.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bs_009"/>
      <w:bookmarkEnd w:id="8"/>
      <w:r>
        <w:rPr>
          <w:rFonts w:ascii="Times New Roman;Times;Serif" w:hAnsi="Times New Roman;Times;Serif"/>
          <w:b/>
          <w:i w:val="false"/>
          <w:caps w:val="false"/>
          <w:smallCaps w:val="false"/>
          <w:sz w:val="20"/>
        </w:rPr>
        <w:t>MANAGEMENT’S DISCUSSION AND ANALYSIS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MarTech company that produces data-driven marketing and sales solutions for businesses of all sizes. Our mission is to help our customers accomplish their mission-by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2,700 customers as of December 31, 2023 and comes from a variety of industries, including (among others) healthcare, financial services, e-commerce, technology and media, operating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116 on December 31, 2023, an approximately 10-fold increase.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generated revenue of $4.6 million, $5.3 million, $2.1 million and $2.4 million in the years ended December 31, 2023 and 2022 and the six months ended June 30, 2024 and 2023, respectively. Banzai has incurred significant net losses since inception, including net losses of $14.4 million, $15.5 million, $8.7 million and $7.3 million in the years ended December 31, 2023 and 2022 and the six months ended June 30, 2024 and 2023, respectively. Banzai had an accumulated deficit of $46.8 million, $32.4 million and $55.4 million as of December 31, 2023 and 2022 and June 30, 2024,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we consummated the Business Combination with Legacy Banzai. Pursuant to the terms of the Merger Agreement, the Business Combination was effected through (a) the merger of First Merger Sub with and into Legacy Banzai, with Legacy Banzai surviving as a wholly-owned subsidiary of 7GC and (b) the subsequent merger of Legacy Banzai with and into Second Merger Sub, with the Second Merger Sub being the surviving entity of the Second Merger, which ultimately resulted in Legacy Banzai becoming a wholly-owned direct subsidiary of 7GC. Upon closing the Business Combination, we changed our name from 7GC &amp; Co. Holdings Inc.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securityholders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effective as of September 19, 2024 and filed an amendment with the Secretary of State of the State of Delaware. A copy of the amendment is filed as Exhibit 3.3 attached 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is seeking to raise additional capital through a private placement leveraging SEPA with the proceeds to support its operation and expansion through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we priced a “best efforts” public offering for the sale by the Company of an aggregate of 104,556 shares of our Class A common stock, 173,222 pre-funded warrants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277,778 common warrants (the “</w:t>
      </w:r>
      <w:r>
        <w:rPr>
          <w:rFonts w:ascii="Times New Roman;Times;Serif" w:hAnsi="Times New Roman;Times;Serif"/>
          <w:b/>
          <w:i w:val="false"/>
          <w:caps w:val="false"/>
          <w:smallCaps w:val="false"/>
          <w:sz w:val="20"/>
        </w:rPr>
        <w:t>Common Warrants</w:t>
      </w:r>
      <w:r>
        <w:rPr>
          <w:rFonts w:ascii="Times New Roman;Times;Serif" w:hAnsi="Times New Roman;Times;Serif"/>
          <w:b w:val="false"/>
          <w:i w:val="false"/>
          <w:caps w:val="false"/>
          <w:smallCaps w:val="false"/>
          <w:sz w:val="20"/>
        </w:rPr>
        <w:t>”). The public offering price was $9.00 per share and accompanying Common Warrant, or $8.9950 per Pre-Funded Warrant and accompanying Common Warrant. The Pre-Funded Warrants are exercisable immediately, may be exercised at any time until all of the Pre-Funded Warrants are exercised in full, and have an exercise price of $0.0050. The Common Warrants are exercisable immediately for a term of five years and have an exercise price of $9.00.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 (“</w:t>
      </w:r>
      <w:r>
        <w:rPr>
          <w:rFonts w:ascii="Times New Roman;Times;Serif" w:hAnsi="Times New Roman;Times;Serif"/>
          <w:b/>
          <w:i w:val="false"/>
          <w:caps w:val="false"/>
          <w:smallCaps w:val="false"/>
          <w:sz w:val="20"/>
        </w:rPr>
        <w:t>AGP</w:t>
      </w:r>
      <w:r>
        <w:rPr>
          <w:rFonts w:ascii="Times New Roman;Times;Serif" w:hAnsi="Times New Roman;Times;Serif"/>
          <w:b w:val="false"/>
          <w:i w:val="false"/>
          <w:caps w:val="false"/>
          <w:smallCaps w:val="false"/>
          <w:sz w:val="20"/>
        </w:rPr>
        <w:t>”) acted as placement agent for the offering, pursuant to a placement agency agreement, dated May 22, 2024, between the Company and AGP (the “</w:t>
      </w:r>
      <w:r>
        <w:rPr>
          <w:rFonts w:ascii="Times New Roman;Times;Serif" w:hAnsi="Times New Roman;Times;Serif"/>
          <w:b/>
          <w:i w:val="false"/>
          <w:caps w:val="false"/>
          <w:smallCaps w:val="false"/>
          <w:sz w:val="20"/>
        </w:rPr>
        <w:t>Placement Agency Agreement</w:t>
      </w:r>
      <w:r>
        <w:rPr>
          <w:rFonts w:ascii="Times New Roman;Times;Serif" w:hAnsi="Times New Roman;Times;Serif"/>
          <w:b w:val="false"/>
          <w:i w:val="false"/>
          <w:caps w:val="false"/>
          <w:smallCaps w:val="false"/>
          <w:sz w:val="20"/>
        </w:rPr>
        <w:t>”). Under the Placement Agency Agreement, AGP received a cash fee of $174,939 and warrants (the “</w:t>
      </w:r>
      <w:r>
        <w:rPr>
          <w:rFonts w:ascii="Times New Roman;Times;Serif" w:hAnsi="Times New Roman;Times;Serif"/>
          <w:b/>
          <w:i w:val="false"/>
          <w:caps w:val="false"/>
          <w:smallCaps w:val="false"/>
          <w:sz w:val="20"/>
        </w:rPr>
        <w:t>Placement Agent Warrants</w:t>
      </w:r>
      <w:r>
        <w:rPr>
          <w:rFonts w:ascii="Times New Roman;Times;Serif" w:hAnsi="Times New Roman;Times;Serif"/>
          <w:b w:val="false"/>
          <w:i w:val="false"/>
          <w:caps w:val="false"/>
          <w:smallCaps w:val="false"/>
          <w:sz w:val="20"/>
        </w:rPr>
        <w:t>”) to purchase 16,667 shares of our Class A Common Stock at an exercise price per share equal to $10.00. The offering closed on May 28,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with an institutional investor for the issuance and sale in a private placement (the “</w:t>
      </w:r>
      <w:r>
        <w:rPr>
          <w:rFonts w:ascii="Times New Roman;Times;Serif" w:hAnsi="Times New Roman;Times;Serif"/>
          <w:b/>
          <w:i/>
          <w:caps w:val="false"/>
          <w:smallCaps w:val="false"/>
          <w:sz w:val="20"/>
        </w:rPr>
        <w:t>Private Placement</w:t>
      </w:r>
      <w:r>
        <w:rPr>
          <w:rFonts w:ascii="Times New Roman;Times;Serif" w:hAnsi="Times New Roman;Times;Serif"/>
          <w:b w:val="false"/>
          <w:i w:val="false"/>
          <w:caps w:val="false"/>
          <w:smallCaps w:val="false"/>
          <w:sz w:val="20"/>
        </w:rPr>
        <w:t>”) of (i) pre-funded warrants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to purchase up to 1,176,471 shares of the Company’s Class A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at an exercise price of $0.001 per share, (ii) Series A warrants (the “</w:t>
      </w:r>
      <w:r>
        <w:rPr>
          <w:rFonts w:ascii="Times New Roman;Times;Serif" w:hAnsi="Times New Roman;Times;Serif"/>
          <w:b/>
          <w:i/>
          <w:caps w:val="false"/>
          <w:smallCaps w:val="false"/>
          <w:sz w:val="20"/>
        </w:rPr>
        <w:t>Series A Warrants</w:t>
      </w:r>
      <w:r>
        <w:rPr>
          <w:rFonts w:ascii="Times New Roman;Times;Serif" w:hAnsi="Times New Roman;Times;Serif"/>
          <w:b w:val="false"/>
          <w:i w:val="false"/>
          <w:caps w:val="false"/>
          <w:smallCaps w:val="false"/>
          <w:sz w:val="20"/>
        </w:rPr>
        <w:t>”) to purchase up to 1,176,471 shares of Common Stock, at an exercise price of $4.00 per share, and (iii) Series B warrants (the “</w:t>
      </w:r>
      <w:r>
        <w:rPr>
          <w:rFonts w:ascii="Times New Roman;Times;Serif" w:hAnsi="Times New Roman;Times;Serif"/>
          <w:b/>
          <w:i/>
          <w:caps w:val="false"/>
          <w:smallCaps w:val="false"/>
          <w:sz w:val="20"/>
        </w:rPr>
        <w:t>Series B Warrants</w:t>
      </w:r>
      <w:r>
        <w:rPr>
          <w:rFonts w:ascii="Times New Roman;Times;Serif" w:hAnsi="Times New Roman;Times;Serif"/>
          <w:b w:val="false"/>
          <w:i w:val="false"/>
          <w:caps w:val="false"/>
          <w:smallCaps w:val="false"/>
          <w:sz w:val="20"/>
        </w:rPr>
        <w:t>” and together with the Series A Warrants and the Placement Agent Warrants (defined below),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 to purchase up to 1,176,471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Pre-Funded Warrant and accompanying Warrants was $4.249. The Private Placement closed on September 26,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Pre-Funded Warrants and the Warrants may not exercise any portion of such holder’s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dated as of September 24, 2024, with the investor, pursuant to which the Company agreed to prepare and file a registration statement on Form S-1 to register the resale of the shares of Common Stock underlying the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the Company from the Private Placement were approximately $4.4 million, after deducting placement agent fees and estimated offering expenses payable by the Company. The Company intends to use the net proceeds received from the Private Placement to pay off in full its outstanding credit facility with Yorkville Advisors and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 (“</w:t>
      </w:r>
      <w:r>
        <w:rPr>
          <w:rFonts w:ascii="Times New Roman;Times;Serif" w:hAnsi="Times New Roman;Times;Serif"/>
          <w:b/>
          <w:i/>
          <w:caps w:val="false"/>
          <w:smallCaps w:val="false"/>
          <w:sz w:val="20"/>
        </w:rPr>
        <w:t>Wainwright</w:t>
      </w:r>
      <w:r>
        <w:rPr>
          <w:rFonts w:ascii="Times New Roman;Times;Serif" w:hAnsi="Times New Roman;Times;Serif"/>
          <w:b w:val="false"/>
          <w:i w:val="false"/>
          <w:caps w:val="false"/>
          <w:smallCaps w:val="false"/>
          <w:sz w:val="20"/>
        </w:rPr>
        <w:t>”) acted as the Company’s exclusive placement agent in connection with the Private Placement, pursuant to that certain engagement letter, dated as of September 12, 2024, as amended, between the Company and Wainwright (the “</w:t>
      </w:r>
      <w:r>
        <w:rPr>
          <w:rFonts w:ascii="Times New Roman;Times;Serif" w:hAnsi="Times New Roman;Times;Serif"/>
          <w:b/>
          <w:i/>
          <w:caps w:val="false"/>
          <w:smallCaps w:val="false"/>
          <w:sz w:val="20"/>
        </w:rPr>
        <w:t>Engagement Letter</w:t>
      </w:r>
      <w:r>
        <w:rPr>
          <w:rFonts w:ascii="Times New Roman;Times;Serif" w:hAnsi="Times New Roman;Times;Serif"/>
          <w:b w:val="false"/>
          <w:i w:val="false"/>
          <w:caps w:val="false"/>
          <w:smallCaps w:val="false"/>
          <w:sz w:val="20"/>
        </w:rPr>
        <w:t>”). Pursuant to the Engagement Letter,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w:t>
      </w:r>
      <w:r>
        <w:rPr>
          <w:rFonts w:ascii="Times New Roman;Times;Serif" w:hAnsi="Times New Roman;Times;Serif"/>
          <w:b/>
          <w:i/>
          <w:caps w:val="false"/>
          <w:smallCaps w:val="false"/>
          <w:sz w:val="20"/>
        </w:rPr>
        <w:t>Placement Agent Warrants</w:t>
      </w:r>
      <w:r>
        <w:rPr>
          <w:rFonts w:ascii="Times New Roman;Times;Serif" w:hAnsi="Times New Roman;Times;Serif"/>
          <w:b w:val="false"/>
          <w:i w:val="false"/>
          <w:caps w:val="false"/>
          <w:smallCaps w:val="false"/>
          <w:sz w:val="20"/>
        </w:rPr>
        <w:t>”) to purchase up to an aggregate of 88,235 shares of Common Stock at an exercise price equal to $5.3125 per share and, if any Warrants are exercised for cash will be obligated to issue to Wainwright additional Placement Agent Warrants equal to 7.5% of the total Warrants exercised, if any. The Placement Agent Warrants have substantially the same terms as the Warrants, are exercisable immediately upon issuance and have a term of exercise equal to five (5)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Engagement Letter and the Purchase Agreement contain customary representations and warranties and agreements and obligations, conditions to closing and termination provisions. The foregoing descriptions of terms and conditions of the Purchase Agreement, the Pre-Funded Warrants, the Series A Warrants, the Series B Warrants, the Placement Agent Warrants, and the Registration Rights Agreement do not purport to be complete and are qualified in their entirety by the full text of the form of the Purchase Agreement, the form of the Pre-Funded Warrant, the form of the Series A Warrant, the form of the Series B Warrant, the form of the Placement Agent Warrant, and the form of the Registration Rights Agreement, which are attached hereto as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Equitization Plan</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23, 2024 to October 14, 2024 the Company entered into various agreements to reorganize outstanding debt from certain creditors (collectively, the “</w:t>
      </w:r>
      <w:r>
        <w:rPr>
          <w:rFonts w:ascii="Times New Roman;Times;Serif" w:hAnsi="Times New Roman;Times;Serif"/>
          <w:b/>
          <w:i w:val="false"/>
          <w:caps w:val="false"/>
          <w:smallCaps w:val="false"/>
          <w:sz w:val="20"/>
        </w:rPr>
        <w:t>Creditors</w:t>
      </w:r>
      <w:r>
        <w:rPr>
          <w:rFonts w:ascii="Times New Roman;Times;Serif" w:hAnsi="Times New Roman;Times;Serif"/>
          <w:b w:val="false"/>
          <w:i w:val="false"/>
          <w:caps w:val="false"/>
          <w:smallCaps w:val="false"/>
          <w:sz w:val="20"/>
        </w:rPr>
        <w:t>”) into shares of the Company’s Class A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Debt Reorganization</w:t>
      </w:r>
      <w:r>
        <w:rPr>
          <w:rFonts w:ascii="Times New Roman;Times;Serif" w:hAnsi="Times New Roman;Times;Serif"/>
          <w:b w:val="false"/>
          <w:i w:val="false"/>
          <w:caps w:val="false"/>
          <w:smallCaps w:val="false"/>
          <w:sz w:val="20"/>
        </w:rPr>
        <w:t>”). The Shares issued as part of the Debt Reorganization are a mix of Shares that we agreed to register in this registration statement on Form S-1 and Shares that are exempt from registration. As of October 14, the Company has issued an aggregate of 614,973 Shares to the Creditors in exchange for the cancellation of an aggregate of $2,580,541.17 of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management of our businesses, we identify, measure, and evaluate a variety of operating metrics, as described below. These key performance measures and operating metrics are not prepared in accordance with GAAP and may not be comparable to or calculated in the same way as other similarly titled measures and metrics used by other companies. Measurements are specific to the group being measured, i.e. total customers, new customers, or other cohorts. We currently use these operating metrics with our Demio product. We do not track and use these operating metrics with prior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percentage of Banzai’s revenue generated from Demio for the years ended December 31, 2023 and 2022 and the six months ended June 30, 2024 and 2023 as compared to their other SaaS products.</w:t>
      </w:r>
    </w:p>
    <w:p>
      <w:pPr>
        <w:pStyle w:val="TextBody"/>
        <w:bidi w:val="0"/>
        <w:spacing w:before="0" w:after="0"/>
        <w:ind w:left="0" w:right="0" w:hanging="0"/>
        <w:jc w:val="left"/>
        <w:rPr>
          <w:caps w:val="false"/>
          <w:smallCaps w:val="false"/>
        </w:rPr>
      </w:pPr>
      <w:r>
        <w:rPr>
          <w:caps w:val="false"/>
          <w:smallCaps w:val="false"/>
        </w:rPr>
        <w:t> </w:t>
      </w:r>
    </w:p>
    <w:tbl>
      <w:tblPr>
        <w:tblW w:w="6086" w:type="dxa"/>
        <w:jc w:val="left"/>
        <w:tblInd w:w="0" w:type="dxa"/>
        <w:tblLayout w:type="fixed"/>
        <w:tblCellMar>
          <w:top w:w="0" w:type="dxa"/>
          <w:left w:w="0" w:type="dxa"/>
          <w:bottom w:w="28" w:type="dxa"/>
          <w:right w:w="0" w:type="dxa"/>
        </w:tblCellMar>
      </w:tblPr>
      <w:tblGrid>
        <w:gridCol w:w="935"/>
        <w:gridCol w:w="60"/>
        <w:gridCol w:w="102"/>
        <w:gridCol w:w="832"/>
        <w:gridCol w:w="185"/>
        <w:gridCol w:w="60"/>
        <w:gridCol w:w="102"/>
        <w:gridCol w:w="832"/>
        <w:gridCol w:w="185"/>
        <w:gridCol w:w="60"/>
        <w:gridCol w:w="126"/>
        <w:gridCol w:w="1018"/>
        <w:gridCol w:w="185"/>
        <w:gridCol w:w="60"/>
        <w:gridCol w:w="126"/>
        <w:gridCol w:w="1018"/>
        <w:gridCol w:w="200"/>
      </w:tblGrid>
      <w:tr>
        <w:trPr/>
        <w:tc>
          <w:tcPr>
            <w:tcW w:w="9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Ended </w:t>
              <w:br/>
              <w:t>June 30,</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Ended </w:t>
              <w:br/>
              <w:t>June 30,</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 Retention (“NRR”)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formula for calculating NRR is: NRR = (Revenue at the beginning of a period-Revenue lost from churn, and downgrades + Revenue gained from expansion and reactivation) / Revenue at the beginning of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average monthly NRR for Demio for the years ended December 31, 2023 and 2022.</w:t>
      </w:r>
    </w:p>
    <w:p>
      <w:pPr>
        <w:pStyle w:val="TextBody"/>
        <w:bidi w:val="0"/>
        <w:spacing w:before="0" w:after="0"/>
        <w:jc w:val="center"/>
        <w:rPr>
          <w:caps w:val="false"/>
          <w:smallCaps w:val="false"/>
        </w:rPr>
      </w:pPr>
      <w:r>
        <w:rPr>
          <w:caps w:val="false"/>
          <w:smallCaps w:val="false"/>
        </w:rPr>
        <w:t> </w:t>
      </w:r>
    </w:p>
    <w:tbl>
      <w:tblPr>
        <w:tblW w:w="5648" w:type="dxa"/>
        <w:jc w:val="left"/>
        <w:tblInd w:w="0" w:type="dxa"/>
        <w:tblLayout w:type="fixed"/>
        <w:tblCellMar>
          <w:top w:w="0" w:type="dxa"/>
          <w:left w:w="0" w:type="dxa"/>
          <w:bottom w:w="28" w:type="dxa"/>
          <w:right w:w="0" w:type="dxa"/>
        </w:tblCellMar>
      </w:tblPr>
      <w:tblGrid>
        <w:gridCol w:w="1925"/>
        <w:gridCol w:w="60"/>
        <w:gridCol w:w="219"/>
        <w:gridCol w:w="1390"/>
        <w:gridCol w:w="185"/>
        <w:gridCol w:w="60"/>
        <w:gridCol w:w="219"/>
        <w:gridCol w:w="1390"/>
        <w:gridCol w:w="200"/>
      </w:tblGrid>
      <w:tr>
        <w:trPr/>
        <w:tc>
          <w:tcPr>
            <w:tcW w:w="19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Demio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2023</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2022</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Monthly NRR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Average Customer Value (“ACV”)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ACV is a metric Banzai uses to calculate the total revenue that it can expect to generate from a customer in a year. ACV is commonly used in the SaaS industry to measure the value of a customer to a subscription-based company over a 12-month period. Banzai uses ACV to segment its customers and to determine whether the value of new customers is growing or shrinking relative to the existing customer base. Banzai uses this information to make strategic decisions about pricing, marketing, and customer retention.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formula for calculating ACV is: ACV = Total Annual Recurring Revenue (“ARR”) / Total Number Customers, where ARR is defined as annual run-rate revenue of subscription agreements from all customers measured at a point in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 customer ACV and total average ACV for Demio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28" w:type="dxa"/>
          <w:right w:w="0" w:type="dxa"/>
        </w:tblCellMar>
      </w:tblPr>
      <w:tblGrid>
        <w:gridCol w:w="1670"/>
        <w:gridCol w:w="60"/>
        <w:gridCol w:w="329"/>
        <w:gridCol w:w="1280"/>
        <w:gridCol w:w="60"/>
        <w:gridCol w:w="60"/>
        <w:gridCol w:w="329"/>
        <w:gridCol w:w="1280"/>
        <w:gridCol w:w="75"/>
      </w:tblGrid>
      <w:tr>
        <w:trPr/>
        <w:tc>
          <w:tcPr>
            <w:tcW w:w="16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Demio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Customer ACV</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Average ACV</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Acquisition Cost (“CAC”)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formula for calculating CAC is: CAC = Total Sales &amp; Marketing Cost / Number of Customers Acquired.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CAC for Demio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28" w:type="dxa"/>
          <w:right w:w="0" w:type="dxa"/>
        </w:tblCellMar>
      </w:tblPr>
      <w:tblGrid>
        <w:gridCol w:w="2810"/>
        <w:gridCol w:w="60"/>
        <w:gridCol w:w="329"/>
        <w:gridCol w:w="1280"/>
        <w:gridCol w:w="60"/>
        <w:gridCol w:w="60"/>
        <w:gridCol w:w="436"/>
        <w:gridCol w:w="1173"/>
        <w:gridCol w:w="75"/>
      </w:tblGrid>
      <w:tr>
        <w:trPr/>
        <w:tc>
          <w:tcPr>
            <w:tcW w:w="28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Demio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Acquisition Cost (CAC)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Churn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Churn % is the rate of customers who deactivate in a given period relative to the number of active customers at the beginning of such period or end of the prior period. Understanding drivers of churn allows Banzai to take measures to reduce the number of customers who deactivate and increase the overall rate of customer retention. There are two types of Churn % measured: Revenue churn and Customer (or logo) churn.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formula for calculating Churn % is: Churn % = [# or $ value of] Deactivations / [# or $ value of] Active Customers (Beginning of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 Churn and new customer (or logo) Churn for Demio for the years ended December 31, 2023 and 2022.</w:t>
      </w:r>
    </w:p>
    <w:p>
      <w:pPr>
        <w:pStyle w:val="TextBody"/>
        <w:bidi w:val="0"/>
        <w:spacing w:before="0" w:after="0"/>
        <w:jc w:val="center"/>
        <w:rPr>
          <w:caps w:val="false"/>
          <w:smallCaps w:val="false"/>
        </w:rPr>
      </w:pPr>
      <w:r>
        <w:rPr>
          <w:caps w:val="false"/>
          <w:smallCaps w:val="false"/>
        </w:rPr>
        <w:t> </w:t>
      </w:r>
    </w:p>
    <w:tbl>
      <w:tblPr>
        <w:tblW w:w="7193" w:type="dxa"/>
        <w:jc w:val="left"/>
        <w:tblInd w:w="0" w:type="dxa"/>
        <w:tblLayout w:type="fixed"/>
        <w:tblCellMar>
          <w:top w:w="0" w:type="dxa"/>
          <w:left w:w="0" w:type="dxa"/>
          <w:bottom w:w="28" w:type="dxa"/>
          <w:right w:w="0" w:type="dxa"/>
        </w:tblCellMar>
      </w:tblPr>
      <w:tblGrid>
        <w:gridCol w:w="3470"/>
        <w:gridCol w:w="60"/>
        <w:gridCol w:w="287"/>
        <w:gridCol w:w="1322"/>
        <w:gridCol w:w="185"/>
        <w:gridCol w:w="60"/>
        <w:gridCol w:w="287"/>
        <w:gridCol w:w="1322"/>
        <w:gridCol w:w="200"/>
      </w:tblGrid>
      <w:tr>
        <w:trPr/>
        <w:tc>
          <w:tcPr>
            <w:tcW w:w="34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Demio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2023</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2022</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Monthly Churn-Revenue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Monthly Churn-Customer (Logo)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Lifetime Value (“LTV”)</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LTV is a financial metric Banzai uses to estimate the total revenue it can expect to generate from a customer throughout their entire relationship. LTV helps Banzai understand the long-term value of each customer, enabling it to make informed decisions about marketing, sales, customer support, and product development strategies. It also helps Banzai allocate resources more efficiently by identifying high-value customer segments to focus on growth and retention.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formula for calculating LTV is comprised of two metrics: Monthly Recurring Revenue (“MRR”) and Customer Life represented in # of months. Calculations for these metrics on a per-customer basis,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MRR = ACV /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Life (# of months) = 1 / Churn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LTV = MRR * Customer Life (# of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MRR is calculated by aggregating, for all customers from customer base or the group being measured during that month, monthly revenue from committed contractual amounts. For customers on annual contracts, this represents their ACV divided by 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MRR, Customer Life, and LTV for Demio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5428" w:type="dxa"/>
        <w:jc w:val="left"/>
        <w:tblInd w:w="0" w:type="dxa"/>
        <w:tblLayout w:type="fixed"/>
        <w:tblCellMar>
          <w:top w:w="0" w:type="dxa"/>
          <w:left w:w="0" w:type="dxa"/>
          <w:bottom w:w="28" w:type="dxa"/>
          <w:right w:w="0" w:type="dxa"/>
        </w:tblCellMar>
      </w:tblPr>
      <w:tblGrid>
        <w:gridCol w:w="1955"/>
        <w:gridCol w:w="60"/>
        <w:gridCol w:w="329"/>
        <w:gridCol w:w="1280"/>
        <w:gridCol w:w="60"/>
        <w:gridCol w:w="60"/>
        <w:gridCol w:w="329"/>
        <w:gridCol w:w="1280"/>
        <w:gridCol w:w="75"/>
      </w:tblGrid>
      <w:tr>
        <w:trPr/>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Demio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MRR (New Customers)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Life (months)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LTV (New Customers)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LTV / CAC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LTV / CAC ratio is a culminating metric measuring the efficiency of Sales and Marketing activities in terms of the dollar value of new business generated versus the amount invested in order to generate that new business. This provides a measurement of ROI for Sales and Marketing activities. A segmented view of LTV / CAC ratio gives additional insight into the profitability of various business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formula for calculating LTV / CAC ratio is: LTV / CAC for the segment or activity being measured.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LTV / CAC ratio for Demio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4933" w:type="dxa"/>
        <w:jc w:val="left"/>
        <w:tblInd w:w="0" w:type="dxa"/>
        <w:tblLayout w:type="fixed"/>
        <w:tblCellMar>
          <w:top w:w="0" w:type="dxa"/>
          <w:left w:w="0" w:type="dxa"/>
          <w:bottom w:w="28" w:type="dxa"/>
          <w:right w:w="0" w:type="dxa"/>
        </w:tblCellMar>
      </w:tblPr>
      <w:tblGrid>
        <w:gridCol w:w="1460"/>
        <w:gridCol w:w="60"/>
        <w:gridCol w:w="287"/>
        <w:gridCol w:w="1322"/>
        <w:gridCol w:w="60"/>
        <w:gridCol w:w="60"/>
        <w:gridCol w:w="287"/>
        <w:gridCol w:w="1322"/>
        <w:gridCol w:w="75"/>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Demio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 2022</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LTV / CAC Ratio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the Impact of Key Business Drivers on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Success and Onboarding, leading to maximum customer satisfaction and retention. </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Development and Support, maximizing customer value, supporting usage and expansion revenue.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 Initiatives, designed to improve trial experience and conversion rates, on-demand adoption, and emphasis on data to position our products as a system of automation and a system of record for our customers, supporting growth and retention.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of Operational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key internal and external operational risks to the successful execution of Banzai’s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risks include, among others:</w:t>
      </w:r>
    </w:p>
    <w:p>
      <w:pPr>
        <w:pStyle w:val="TextBody"/>
        <w:bidi w:val="0"/>
        <w:spacing w:before="0" w:after="0"/>
        <w:ind w:left="0" w:right="0" w:firstLine="36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and leadership issues: ineffective leadership, poor decision-making, or lack of direction.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Operational inefficiencies: inadequate processes and poor resource allocation may lead to decreased productivity or insufficient ROI.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mismanagement: inadequate financial planning, improper accounting practices, or excessive debt can lead to financial instability. </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17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Employee-related challenges: high turnover, lack of skilled staff, or internal conflicts can impact morale and productivity.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Technological obsolescence: failing to develop (or adapt) to new technologies in anticipation or response to changes in market trends can lead to competitive disadvantages.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risks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Economic factors: including economic downturns, inflation, or currency fluctuations impacting business spending and overall market conditions. </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established industry players to new entrants, eroding market share and profitability. </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and regulatory: changes in laws or regulations that impact operations or increase compliance costs. </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70"/>
        <w:gridCol w:w="8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Technological disruptions: from advancements in technology leading to obsolescence of existing products.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Unforeseen events: including natural disasters, geo-political instability, and pandemics, potentially impacting market demand, operational or supply chain disruption.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Analysis of the Impact of Operational Risks on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and Sales: Internal risks from operating inefficiency or external factors, including economic downturns or increased competition, could lead to lower sales, impaired unit economics, and reduced revenue.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and Expenses: Internal operating mismanagement or external factors, including supplier issues, may cause increased cost relative to revenue generation, resulting in insufficient return on investment or profit margins.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consequence of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79"/>
        <w:gridCol w:w="60"/>
        <w:gridCol w:w="140"/>
        <w:gridCol w:w="635"/>
        <w:gridCol w:w="95"/>
        <w:gridCol w:w="60"/>
        <w:gridCol w:w="140"/>
        <w:gridCol w:w="635"/>
        <w:gridCol w:w="95"/>
        <w:gridCol w:w="60"/>
        <w:gridCol w:w="140"/>
        <w:gridCol w:w="635"/>
        <w:gridCol w:w="95"/>
        <w:gridCol w:w="60"/>
        <w:gridCol w:w="60"/>
        <w:gridCol w:w="635"/>
        <w:gridCol w:w="215"/>
        <w:gridCol w:w="60"/>
        <w:gridCol w:w="155"/>
        <w:gridCol w:w="756"/>
        <w:gridCol w:w="95"/>
        <w:gridCol w:w="60"/>
        <w:gridCol w:w="163"/>
        <w:gridCol w:w="748"/>
        <w:gridCol w:w="95"/>
        <w:gridCol w:w="60"/>
        <w:gridCol w:w="151"/>
        <w:gridCol w:w="691"/>
        <w:gridCol w:w="95"/>
        <w:gridCol w:w="60"/>
        <w:gridCol w:w="72"/>
        <w:gridCol w:w="771"/>
        <w:gridCol w:w="234"/>
      </w:tblGrid>
      <w:tr>
        <w:trPr/>
        <w:tc>
          <w:tcPr>
            <w:tcW w:w="2179"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Months</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30,</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Months</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30,</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3"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34" w:type="dxa"/>
            <w:tcBorders/>
            <w:tcMar>
              <w:bottom w:w="0" w:type="dxa"/>
            </w:tcMar>
            <w:vAlign w:val="center"/>
          </w:tcPr>
          <w:p>
            <w:pPr>
              <w:pStyle w:val="TableContents"/>
              <w:bidi w:val="0"/>
              <w:spacing w:before="0" w:after="283"/>
              <w:jc w:val="left"/>
              <w:rPr/>
            </w:pPr>
            <w:r>
              <w:rPr/>
              <w:t> </w:t>
            </w:r>
          </w:p>
        </w:tc>
      </w:tr>
      <w:tr>
        <w:trPr/>
        <w:tc>
          <w:tcPr>
            <w:tcW w:w="2179" w:type="dxa"/>
            <w:tcBorders/>
            <w:shd w:fill="CCEEFF" w:val="clear"/>
            <w:tcMar>
              <w:bottom w:w="0" w:type="dxa"/>
            </w:tcMar>
            <w:vAlign w:val="center"/>
          </w:tcPr>
          <w:p>
            <w:pPr>
              <w:pStyle w:val="TableContents"/>
              <w:bidi w:val="0"/>
              <w:spacing w:before="0" w:after="283"/>
              <w:jc w:val="left"/>
              <w:rPr/>
            </w:pPr>
            <w:r>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179" w:type="dxa"/>
            <w:tcBorders/>
            <w:shd w:fill="FFFFFF" w:val="clear"/>
            <w:tcMar>
              <w:bottom w:w="0" w:type="dxa"/>
            </w:tcMar>
            <w:vAlign w:val="center"/>
          </w:tcPr>
          <w:p>
            <w:pPr>
              <w:pStyle w:val="TableContents"/>
              <w:bidi w:val="0"/>
              <w:spacing w:before="0" w:after="283"/>
              <w:jc w:val="left"/>
              <w:rPr/>
            </w:pPr>
            <w:r>
              <w:rPr/>
              <w:t>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1,068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1,193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125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756" w:type="dxa"/>
            <w:tcBorders/>
            <w:shd w:fill="FFFFFF" w:val="clear"/>
            <w:tcMar>
              <w:bottom w:w="0" w:type="dxa"/>
            </w:tcMar>
            <w:vAlign w:val="center"/>
          </w:tcPr>
          <w:p>
            <w:pPr>
              <w:pStyle w:val="TableContents"/>
              <w:bidi w:val="0"/>
              <w:spacing w:before="0" w:after="283"/>
              <w:jc w:val="right"/>
              <w:rPr/>
            </w:pPr>
            <w:r>
              <w:rPr/>
              <w:t>4,561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748" w:type="dxa"/>
            <w:tcBorders/>
            <w:shd w:fill="FFFFFF" w:val="clear"/>
            <w:tcMar>
              <w:bottom w:w="0" w:type="dxa"/>
            </w:tcMar>
            <w:vAlign w:val="center"/>
          </w:tcPr>
          <w:p>
            <w:pPr>
              <w:pStyle w:val="TableContents"/>
              <w:bidi w:val="0"/>
              <w:spacing w:before="0" w:after="283"/>
              <w:jc w:val="right"/>
              <w:rPr/>
            </w:pPr>
            <w:r>
              <w:rPr/>
              <w:t>5,333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p>
        </w:tc>
        <w:tc>
          <w:tcPr>
            <w:tcW w:w="691" w:type="dxa"/>
            <w:tcBorders/>
            <w:shd w:fill="FFFFFF" w:val="clear"/>
            <w:tcMar>
              <w:bottom w:w="0" w:type="dxa"/>
            </w:tcMar>
            <w:vAlign w:val="center"/>
          </w:tcPr>
          <w:p>
            <w:pPr>
              <w:pStyle w:val="TableContents"/>
              <w:bidi w:val="0"/>
              <w:spacing w:before="0" w:after="283"/>
              <w:jc w:val="right"/>
              <w:rPr/>
            </w:pPr>
            <w:r>
              <w:rPr/>
              <w:t>(772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-14.5</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283"/>
              <w:jc w:val="left"/>
              <w:rPr/>
            </w:pPr>
            <w:r>
              <w:rPr/>
              <w:t>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(49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 </w:t>
            </w:r>
          </w:p>
        </w:tc>
        <w:tc>
          <w:tcPr>
            <w:tcW w:w="756" w:type="dxa"/>
            <w:tcBorders>
              <w:bottom w:val="single" w:sz="8" w:space="0" w:color="000000"/>
            </w:tcBorders>
            <w:shd w:fill="CCEEFF" w:val="clear"/>
            <w:vAlign w:val="center"/>
          </w:tcPr>
          <w:p>
            <w:pPr>
              <w:pStyle w:val="TableContents"/>
              <w:bidi w:val="0"/>
              <w:spacing w:before="0" w:after="283"/>
              <w:jc w:val="right"/>
              <w:rPr/>
            </w:pPr>
            <w:r>
              <w:rPr/>
              <w:t>1,445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 </w:t>
            </w:r>
          </w:p>
        </w:tc>
        <w:tc>
          <w:tcPr>
            <w:tcW w:w="748" w:type="dxa"/>
            <w:tcBorders>
              <w:bottom w:val="single" w:sz="8" w:space="0" w:color="000000"/>
            </w:tcBorders>
            <w:shd w:fill="CCEEFF" w:val="clear"/>
            <w:vAlign w:val="center"/>
          </w:tcPr>
          <w:p>
            <w:pPr>
              <w:pStyle w:val="TableContents"/>
              <w:bidi w:val="0"/>
              <w:spacing w:before="0" w:after="283"/>
              <w:jc w:val="right"/>
              <w:rPr/>
            </w:pPr>
            <w:r>
              <w:rPr/>
              <w:t>1,957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 </w:t>
            </w:r>
          </w:p>
        </w:tc>
        <w:tc>
          <w:tcPr>
            <w:tcW w:w="691" w:type="dxa"/>
            <w:tcBorders>
              <w:bottom w:val="single" w:sz="8" w:space="0" w:color="000000"/>
            </w:tcBorders>
            <w:shd w:fill="CCEEFF" w:val="clear"/>
            <w:vAlign w:val="center"/>
          </w:tcPr>
          <w:p>
            <w:pPr>
              <w:pStyle w:val="TableContents"/>
              <w:bidi w:val="0"/>
              <w:spacing w:before="0" w:after="283"/>
              <w:jc w:val="right"/>
              <w:rPr/>
            </w:pPr>
            <w:r>
              <w:rPr/>
              <w:t>(512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vAlign w:val="center"/>
          </w:tcPr>
          <w:p>
            <w:pPr>
              <w:pStyle w:val="TableContents"/>
              <w:bidi w:val="0"/>
              <w:spacing w:before="0" w:after="283"/>
              <w:jc w:val="left"/>
              <w:rPr/>
            </w:pPr>
            <w:r>
              <w:rPr/>
              <w:t> </w:t>
            </w:r>
          </w:p>
        </w:tc>
        <w:tc>
          <w:tcPr>
            <w:tcW w:w="771" w:type="dxa"/>
            <w:tcBorders>
              <w:bottom w:val="single" w:sz="8" w:space="0" w:color="000000"/>
            </w:tcBorders>
            <w:shd w:fill="CCEEFF" w:val="clear"/>
            <w:vAlign w:val="center"/>
          </w:tcPr>
          <w:p>
            <w:pPr>
              <w:pStyle w:val="TableContents"/>
              <w:bidi w:val="0"/>
              <w:spacing w:before="0" w:after="283"/>
              <w:jc w:val="right"/>
              <w:rPr/>
            </w:pPr>
            <w:r>
              <w:rPr/>
              <w:t>-26.2</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738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814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9.3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756" w:type="dxa"/>
            <w:tcBorders/>
            <w:shd w:fill="FFFFFF" w:val="clear"/>
            <w:tcMar>
              <w:bottom w:w="0" w:type="dxa"/>
            </w:tcMar>
            <w:vAlign w:val="center"/>
          </w:tcPr>
          <w:p>
            <w:pPr>
              <w:pStyle w:val="TableContents"/>
              <w:bidi w:val="0"/>
              <w:spacing w:before="0" w:after="283"/>
              <w:jc w:val="right"/>
              <w:rPr/>
            </w:pPr>
            <w:r>
              <w:rPr/>
              <w:t>3,116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748" w:type="dxa"/>
            <w:tcBorders/>
            <w:shd w:fill="FFFFFF" w:val="clear"/>
            <w:tcMar>
              <w:bottom w:w="0" w:type="dxa"/>
            </w:tcMar>
            <w:vAlign w:val="center"/>
          </w:tcPr>
          <w:p>
            <w:pPr>
              <w:pStyle w:val="TableContents"/>
              <w:bidi w:val="0"/>
              <w:spacing w:before="0" w:after="283"/>
              <w:jc w:val="right"/>
              <w:rPr/>
            </w:pPr>
            <w:r>
              <w:rPr/>
              <w:t>3,376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p>
        </w:tc>
        <w:tc>
          <w:tcPr>
            <w:tcW w:w="691" w:type="dxa"/>
            <w:tcBorders/>
            <w:shd w:fill="FFFFFF" w:val="clear"/>
            <w:tcMar>
              <w:bottom w:w="0" w:type="dxa"/>
            </w:tcMar>
            <w:vAlign w:val="center"/>
          </w:tcPr>
          <w:p>
            <w:pPr>
              <w:pStyle w:val="TableContents"/>
              <w:bidi w:val="0"/>
              <w:spacing w:before="0" w:after="283"/>
              <w:jc w:val="right"/>
              <w:rPr/>
            </w:pPr>
            <w:r>
              <w:rPr/>
              <w:t>(260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-7.7</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283"/>
              <w:jc w:val="left"/>
              <w:rPr/>
            </w:pPr>
            <w:r>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179" w:type="dxa"/>
            <w:tcBorders/>
            <w:shd w:fill="FFFFFF" w:val="clear"/>
            <w:tcMar>
              <w:bottom w:w="0" w:type="dxa"/>
            </w:tcMar>
            <w:vAlign w:val="center"/>
          </w:tcPr>
          <w:p>
            <w:pPr>
              <w:pStyle w:val="TableContents"/>
              <w:bidi w:val="0"/>
              <w:spacing w:before="0" w:after="283"/>
              <w:jc w:val="left"/>
              <w:rPr/>
            </w:pPr>
            <w:r>
              <w:rPr/>
              <w:t>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4,319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2,929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1,390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47.4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756" w:type="dxa"/>
            <w:tcBorders/>
            <w:shd w:fill="FFFFFF" w:val="clear"/>
            <w:tcMar>
              <w:bottom w:w="0" w:type="dxa"/>
            </w:tcMar>
            <w:vAlign w:val="center"/>
          </w:tcPr>
          <w:p>
            <w:pPr>
              <w:pStyle w:val="TableContents"/>
              <w:bidi w:val="0"/>
              <w:spacing w:before="0" w:after="283"/>
              <w:jc w:val="right"/>
              <w:rPr/>
            </w:pPr>
            <w:r>
              <w:rPr/>
              <w:t>12,905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748" w:type="dxa"/>
            <w:tcBorders/>
            <w:shd w:fill="FFFFFF" w:val="clear"/>
            <w:tcMar>
              <w:bottom w:w="0" w:type="dxa"/>
            </w:tcMar>
            <w:vAlign w:val="center"/>
          </w:tcPr>
          <w:p>
            <w:pPr>
              <w:pStyle w:val="TableContents"/>
              <w:bidi w:val="0"/>
              <w:spacing w:before="0" w:after="283"/>
              <w:jc w:val="right"/>
              <w:rPr/>
            </w:pPr>
            <w:r>
              <w:rPr/>
              <w:t>9,275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p>
        </w:tc>
        <w:tc>
          <w:tcPr>
            <w:tcW w:w="691" w:type="dxa"/>
            <w:tcBorders/>
            <w:shd w:fill="FFFFFF" w:val="clear"/>
            <w:tcMar>
              <w:bottom w:w="0" w:type="dxa"/>
            </w:tcMar>
            <w:vAlign w:val="center"/>
          </w:tcPr>
          <w:p>
            <w:pPr>
              <w:pStyle w:val="TableContents"/>
              <w:bidi w:val="0"/>
              <w:spacing w:before="0" w:after="283"/>
              <w:jc w:val="right"/>
              <w:rPr/>
            </w:pPr>
            <w:r>
              <w:rPr/>
              <w:t>3,630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39.1</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283"/>
              <w:jc w:val="left"/>
              <w:rPr/>
            </w:pPr>
            <w:r>
              <w:rPr/>
              <w:t>Depreciation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-22.2-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-30.0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shd w:fill="FFFFFF" w:val="clear"/>
            <w:tcMar>
              <w:bottom w:w="0" w:type="dxa"/>
            </w:tcMar>
            <w:vAlign w:val="center"/>
          </w:tcPr>
          <w:p>
            <w:pPr>
              <w:pStyle w:val="TableContents"/>
              <w:bidi w:val="0"/>
              <w:spacing w:before="0" w:after="283"/>
              <w:jc w:val="left"/>
              <w:rPr/>
            </w:pPr>
            <w:r>
              <w:rPr/>
              <w:t>Impairment loss on operating lease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756"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748" w:type="dxa"/>
            <w:tcBorders>
              <w:bottom w:val="single" w:sz="8" w:space="0" w:color="000000"/>
            </w:tcBorders>
            <w:shd w:fill="FFFFFF" w:val="clear"/>
            <w:vAlign w:val="center"/>
          </w:tcPr>
          <w:p>
            <w:pPr>
              <w:pStyle w:val="TableContents"/>
              <w:bidi w:val="0"/>
              <w:spacing w:before="0" w:after="283"/>
              <w:jc w:val="right"/>
              <w:rPr/>
            </w:pPr>
            <w:r>
              <w:rPr/>
              <w:t>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FFFFFF" w:val="clear"/>
            <w:vAlign w:val="center"/>
          </w:tcPr>
          <w:p>
            <w:pPr>
              <w:pStyle w:val="TableContents"/>
              <w:bidi w:val="0"/>
              <w:spacing w:before="0" w:after="283"/>
              <w:jc w:val="left"/>
              <w:rPr/>
            </w:pPr>
            <w:r>
              <w:rPr/>
              <w:t> </w:t>
            </w:r>
          </w:p>
        </w:tc>
        <w:tc>
          <w:tcPr>
            <w:tcW w:w="691" w:type="dxa"/>
            <w:tcBorders>
              <w:bottom w:val="single" w:sz="8" w:space="0" w:color="000000"/>
            </w:tcBorders>
            <w:shd w:fill="FFFFFF" w:val="clear"/>
            <w:vAlign w:val="center"/>
          </w:tcPr>
          <w:p>
            <w:pPr>
              <w:pStyle w:val="TableContents"/>
              <w:bidi w:val="0"/>
              <w:spacing w:before="0" w:after="283"/>
              <w:jc w:val="right"/>
              <w:rPr/>
            </w:pPr>
            <w:r>
              <w:rPr/>
              <w:t>(303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vAlign w:val="center"/>
          </w:tcPr>
          <w:p>
            <w:pPr>
              <w:pStyle w:val="TableContents"/>
              <w:bidi w:val="0"/>
              <w:spacing w:before="0" w:after="283"/>
              <w:jc w:val="left"/>
              <w:rPr/>
            </w:pPr>
            <w:r>
              <w:rPr/>
              <w:t> </w:t>
            </w:r>
          </w:p>
        </w:tc>
        <w:tc>
          <w:tcPr>
            <w:tcW w:w="771" w:type="dxa"/>
            <w:tcBorders>
              <w:bottom w:val="single" w:sz="8" w:space="0" w:color="000000"/>
            </w:tcBorders>
            <w:shd w:fill="FFFFFF" w:val="clear"/>
            <w:vAlign w:val="center"/>
          </w:tcPr>
          <w:p>
            <w:pPr>
              <w:pStyle w:val="TableContents"/>
              <w:bidi w:val="0"/>
              <w:spacing w:before="0" w:after="283"/>
              <w:jc w:val="right"/>
              <w:rPr/>
            </w:pPr>
            <w:r>
              <w:rPr/>
              <w:t>-100.0</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283"/>
              <w:jc w:val="left"/>
              <w:rPr/>
            </w:pPr>
            <w:r>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635" w:type="dxa"/>
            <w:tcBorders>
              <w:bottom w:val="single" w:sz="8" w:space="0" w:color="000000"/>
            </w:tcBorders>
            <w:shd w:fill="CCEEFF" w:val="clear"/>
            <w:vAlign w:val="center"/>
          </w:tcPr>
          <w:p>
            <w:pPr>
              <w:pStyle w:val="TableContents"/>
              <w:bidi w:val="0"/>
              <w:spacing w:before="0" w:after="283"/>
              <w:jc w:val="right"/>
              <w:rPr/>
            </w:pPr>
            <w:r>
              <w:rPr/>
              <w:t>4,320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635" w:type="dxa"/>
            <w:tcBorders>
              <w:bottom w:val="single" w:sz="8" w:space="0" w:color="000000"/>
            </w:tcBorders>
            <w:shd w:fill="CCEEFF" w:val="clear"/>
            <w:vAlign w:val="center"/>
          </w:tcPr>
          <w:p>
            <w:pPr>
              <w:pStyle w:val="TableContents"/>
              <w:bidi w:val="0"/>
              <w:spacing w:before="0" w:after="283"/>
              <w:jc w:val="right"/>
              <w:rPr/>
            </w:pPr>
            <w:r>
              <w:rPr/>
              <w:t>2,931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635" w:type="dxa"/>
            <w:tcBorders>
              <w:bottom w:val="single" w:sz="8" w:space="0" w:color="000000"/>
            </w:tcBorders>
            <w:shd w:fill="CCEEFF" w:val="clear"/>
            <w:vAlign w:val="center"/>
          </w:tcPr>
          <w:p>
            <w:pPr>
              <w:pStyle w:val="TableContents"/>
              <w:bidi w:val="0"/>
              <w:spacing w:before="0" w:after="283"/>
              <w:jc w:val="right"/>
              <w:rPr/>
            </w:pPr>
            <w:r>
              <w:rPr/>
              <w:t>1,390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47.4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CCEEFF" w:val="clear"/>
            <w:vAlign w:val="center"/>
          </w:tcPr>
          <w:p>
            <w:pPr>
              <w:pStyle w:val="TableContents"/>
              <w:bidi w:val="0"/>
              <w:spacing w:before="0" w:after="283"/>
              <w:jc w:val="left"/>
              <w:rPr/>
            </w:pPr>
            <w:r>
              <w:rPr/>
              <w:t>$</w:t>
            </w:r>
          </w:p>
        </w:tc>
        <w:tc>
          <w:tcPr>
            <w:tcW w:w="756" w:type="dxa"/>
            <w:tcBorders>
              <w:bottom w:val="single" w:sz="8" w:space="0" w:color="000000"/>
            </w:tcBorders>
            <w:shd w:fill="CCEEFF" w:val="clear"/>
            <w:vAlign w:val="center"/>
          </w:tcPr>
          <w:p>
            <w:pPr>
              <w:pStyle w:val="TableContents"/>
              <w:bidi w:val="0"/>
              <w:spacing w:before="0" w:after="283"/>
              <w:jc w:val="right"/>
              <w:rPr/>
            </w:pPr>
            <w:r>
              <w:rPr/>
              <w:t>12,912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w:t>
            </w:r>
          </w:p>
        </w:tc>
        <w:tc>
          <w:tcPr>
            <w:tcW w:w="748" w:type="dxa"/>
            <w:tcBorders>
              <w:bottom w:val="single" w:sz="8" w:space="0" w:color="000000"/>
            </w:tcBorders>
            <w:shd w:fill="CCEEFF" w:val="clear"/>
            <w:vAlign w:val="center"/>
          </w:tcPr>
          <w:p>
            <w:pPr>
              <w:pStyle w:val="TableContents"/>
              <w:bidi w:val="0"/>
              <w:spacing w:before="0" w:after="283"/>
              <w:jc w:val="right"/>
              <w:rPr/>
            </w:pPr>
            <w:r>
              <w:rPr/>
              <w:t>9,588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w:t>
            </w:r>
          </w:p>
        </w:tc>
        <w:tc>
          <w:tcPr>
            <w:tcW w:w="691" w:type="dxa"/>
            <w:tcBorders>
              <w:bottom w:val="single" w:sz="8" w:space="0" w:color="000000"/>
            </w:tcBorders>
            <w:shd w:fill="CCEEFF" w:val="clear"/>
            <w:vAlign w:val="center"/>
          </w:tcPr>
          <w:p>
            <w:pPr>
              <w:pStyle w:val="TableContents"/>
              <w:bidi w:val="0"/>
              <w:spacing w:before="0" w:after="283"/>
              <w:jc w:val="right"/>
              <w:rPr/>
            </w:pPr>
            <w:r>
              <w:rPr/>
              <w:t>3,324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CCEEFF" w:val="clear"/>
            <w:vAlign w:val="center"/>
          </w:tcPr>
          <w:p>
            <w:pPr>
              <w:pStyle w:val="TableContents"/>
              <w:bidi w:val="0"/>
              <w:spacing w:before="0" w:after="283"/>
              <w:jc w:val="left"/>
              <w:rPr/>
            </w:pPr>
            <w:r>
              <w:rPr/>
              <w:t> </w:t>
            </w:r>
          </w:p>
        </w:tc>
        <w:tc>
          <w:tcPr>
            <w:tcW w:w="771" w:type="dxa"/>
            <w:tcBorders>
              <w:bottom w:val="single" w:sz="8" w:space="0" w:color="000000"/>
            </w:tcBorders>
            <w:shd w:fill="CCEEFF" w:val="clear"/>
            <w:vAlign w:val="center"/>
          </w:tcPr>
          <w:p>
            <w:pPr>
              <w:pStyle w:val="TableContents"/>
              <w:bidi w:val="0"/>
              <w:spacing w:before="0" w:after="283"/>
              <w:jc w:val="right"/>
              <w:rPr/>
            </w:pPr>
            <w:r>
              <w:rPr/>
              <w:t>34.7</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shd w:fill="FFFFFF" w:val="clear"/>
            <w:tcMar>
              <w:bottom w:w="0" w:type="dxa"/>
            </w:tcMar>
            <w:vAlign w:val="center"/>
          </w:tcPr>
          <w:p>
            <w:pPr>
              <w:pStyle w:val="TableContents"/>
              <w:bidi w:val="0"/>
              <w:spacing w:before="0" w:after="283"/>
              <w:jc w:val="left"/>
              <w:rPr/>
            </w:pPr>
            <w:r>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635" w:type="dxa"/>
            <w:tcBorders>
              <w:bottom w:val="single" w:sz="8" w:space="0" w:color="000000"/>
            </w:tcBorders>
            <w:shd w:fill="FFFFFF" w:val="clear"/>
            <w:vAlign w:val="center"/>
          </w:tcPr>
          <w:p>
            <w:pPr>
              <w:pStyle w:val="TableContents"/>
              <w:bidi w:val="0"/>
              <w:spacing w:before="0" w:after="283"/>
              <w:jc w:val="right"/>
              <w:rPr/>
            </w:pPr>
            <w:r>
              <w:rPr/>
              <w:t>(3,582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635" w:type="dxa"/>
            <w:tcBorders>
              <w:bottom w:val="single" w:sz="8" w:space="0" w:color="000000"/>
            </w:tcBorders>
            <w:shd w:fill="FFFFFF" w:val="clear"/>
            <w:vAlign w:val="center"/>
          </w:tcPr>
          <w:p>
            <w:pPr>
              <w:pStyle w:val="TableContents"/>
              <w:bidi w:val="0"/>
              <w:spacing w:before="0" w:after="283"/>
              <w:jc w:val="right"/>
              <w:rPr/>
            </w:pPr>
            <w:r>
              <w:rPr/>
              <w:t>(2,117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635" w:type="dxa"/>
            <w:tcBorders>
              <w:bottom w:val="single" w:sz="8" w:space="0" w:color="000000"/>
            </w:tcBorders>
            <w:shd w:fill="FFFFFF" w:val="clear"/>
            <w:vAlign w:val="center"/>
          </w:tcPr>
          <w:p>
            <w:pPr>
              <w:pStyle w:val="TableContents"/>
              <w:bidi w:val="0"/>
              <w:spacing w:before="0" w:after="283"/>
              <w:jc w:val="right"/>
              <w:rPr/>
            </w:pPr>
            <w:r>
              <w:rPr/>
              <w:t>(1,465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69.2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w:t>
            </w:r>
          </w:p>
        </w:tc>
        <w:tc>
          <w:tcPr>
            <w:tcW w:w="756" w:type="dxa"/>
            <w:tcBorders>
              <w:bottom w:val="single" w:sz="8" w:space="0" w:color="000000"/>
            </w:tcBorders>
            <w:shd w:fill="FFFFFF" w:val="clear"/>
            <w:vAlign w:val="center"/>
          </w:tcPr>
          <w:p>
            <w:pPr>
              <w:pStyle w:val="TableContents"/>
              <w:bidi w:val="0"/>
              <w:spacing w:before="0" w:after="283"/>
              <w:jc w:val="right"/>
              <w:rPr/>
            </w:pPr>
            <w:r>
              <w:rPr/>
              <w:t>(9,796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w:t>
            </w:r>
          </w:p>
        </w:tc>
        <w:tc>
          <w:tcPr>
            <w:tcW w:w="748" w:type="dxa"/>
            <w:tcBorders>
              <w:bottom w:val="single" w:sz="8" w:space="0" w:color="000000"/>
            </w:tcBorders>
            <w:shd w:fill="FFFFFF" w:val="clear"/>
            <w:vAlign w:val="center"/>
          </w:tcPr>
          <w:p>
            <w:pPr>
              <w:pStyle w:val="TableContents"/>
              <w:bidi w:val="0"/>
              <w:spacing w:before="0" w:after="283"/>
              <w:jc w:val="right"/>
              <w:rPr/>
            </w:pPr>
            <w:r>
              <w:rPr/>
              <w:t>(6,212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FFFFFF" w:val="clear"/>
            <w:vAlign w:val="center"/>
          </w:tcPr>
          <w:p>
            <w:pPr>
              <w:pStyle w:val="TableContents"/>
              <w:bidi w:val="0"/>
              <w:spacing w:before="0" w:after="283"/>
              <w:jc w:val="left"/>
              <w:rPr/>
            </w:pPr>
            <w:r>
              <w:rPr/>
              <w:t>$</w:t>
            </w:r>
          </w:p>
        </w:tc>
        <w:tc>
          <w:tcPr>
            <w:tcW w:w="691" w:type="dxa"/>
            <w:tcBorders>
              <w:bottom w:val="single" w:sz="8" w:space="0" w:color="000000"/>
            </w:tcBorders>
            <w:shd w:fill="FFFFFF" w:val="clear"/>
            <w:vAlign w:val="center"/>
          </w:tcPr>
          <w:p>
            <w:pPr>
              <w:pStyle w:val="TableContents"/>
              <w:bidi w:val="0"/>
              <w:spacing w:before="0" w:after="283"/>
              <w:jc w:val="right"/>
              <w:rPr/>
            </w:pPr>
            <w:r>
              <w:rPr/>
              <w:t>(3,584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vAlign w:val="center"/>
          </w:tcPr>
          <w:p>
            <w:pPr>
              <w:pStyle w:val="TableContents"/>
              <w:bidi w:val="0"/>
              <w:spacing w:before="0" w:after="283"/>
              <w:jc w:val="left"/>
              <w:rPr/>
            </w:pPr>
            <w:r>
              <w:rPr/>
              <w:t> </w:t>
            </w:r>
          </w:p>
        </w:tc>
        <w:tc>
          <w:tcPr>
            <w:tcW w:w="771" w:type="dxa"/>
            <w:tcBorders>
              <w:bottom w:val="single" w:sz="8" w:space="0" w:color="000000"/>
            </w:tcBorders>
            <w:shd w:fill="FFFFFF" w:val="clear"/>
            <w:vAlign w:val="center"/>
          </w:tcPr>
          <w:p>
            <w:pPr>
              <w:pStyle w:val="TableContents"/>
              <w:bidi w:val="0"/>
              <w:spacing w:before="0" w:after="283"/>
              <w:jc w:val="right"/>
              <w:rPr/>
            </w:pPr>
            <w:r>
              <w:rPr/>
              <w:t>57.7</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283"/>
              <w:jc w:val="left"/>
              <w:rPr/>
            </w:pPr>
            <w:r>
              <w:rPr/>
              <w:t>Other expenses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179" w:type="dxa"/>
            <w:tcBorders/>
            <w:shd w:fill="FFFFFF" w:val="clear"/>
            <w:tcMar>
              <w:bottom w:w="0" w:type="dxa"/>
            </w:tcMar>
            <w:vAlign w:val="center"/>
          </w:tcPr>
          <w:p>
            <w:pPr>
              <w:pStyle w:val="TableContents"/>
              <w:bidi w:val="0"/>
              <w:spacing w:before="0" w:after="283"/>
              <w:jc w:val="left"/>
              <w:rPr/>
            </w:pPr>
            <w:r>
              <w:rPr/>
              <w:t>SEPA commitment fee and deferred fee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756" w:type="dxa"/>
            <w:tcBorders/>
            <w:shd w:fill="FFFFFF" w:val="clear"/>
            <w:tcMar>
              <w:bottom w:w="0" w:type="dxa"/>
            </w:tcMar>
            <w:vAlign w:val="center"/>
          </w:tcPr>
          <w:p>
            <w:pPr>
              <w:pStyle w:val="TableContents"/>
              <w:bidi w:val="0"/>
              <w:spacing w:before="0" w:after="283"/>
              <w:jc w:val="right"/>
              <w:rPr/>
            </w:pPr>
            <w:r>
              <w:rPr/>
              <w:t>3,826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74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p>
        </w:tc>
        <w:tc>
          <w:tcPr>
            <w:tcW w:w="691" w:type="dxa"/>
            <w:tcBorders/>
            <w:shd w:fill="FFFFFF" w:val="clear"/>
            <w:tcMar>
              <w:bottom w:w="0" w:type="dxa"/>
            </w:tcMar>
            <w:vAlign w:val="center"/>
          </w:tcPr>
          <w:p>
            <w:pPr>
              <w:pStyle w:val="TableContents"/>
              <w:bidi w:val="0"/>
              <w:spacing w:before="0" w:after="283"/>
              <w:jc w:val="right"/>
              <w:rPr/>
            </w:pPr>
            <w:r>
              <w:rPr/>
              <w:t>3,826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179" w:type="dxa"/>
            <w:tcBorders/>
            <w:shd w:fill="CCEEFF" w:val="clear"/>
            <w:tcMar>
              <w:bottom w:w="0" w:type="dxa"/>
            </w:tcMar>
            <w:vAlign w:val="center"/>
          </w:tcPr>
          <w:p>
            <w:pPr>
              <w:pStyle w:val="TableContents"/>
              <w:bidi w:val="0"/>
              <w:spacing w:before="0" w:after="283"/>
              <w:jc w:val="left"/>
              <w:rPr/>
            </w:pPr>
            <w:r>
              <w:rPr/>
              <w:t>GEM warrant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2,448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2,448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179" w:type="dxa"/>
            <w:tcBorders/>
            <w:shd w:fill="FFFFFF" w:val="clear"/>
            <w:tcMar>
              <w:bottom w:w="0" w:type="dxa"/>
            </w:tcMar>
            <w:vAlign w:val="center"/>
          </w:tcPr>
          <w:p>
            <w:pPr>
              <w:pStyle w:val="TableContents"/>
              <w:bidi w:val="0"/>
              <w:spacing w:before="0" w:after="283"/>
              <w:jc w:val="left"/>
              <w:rPr/>
            </w:pPr>
            <w:r>
              <w:rPr/>
              <w:t>GEM commitment fee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2,000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691" w:type="dxa"/>
            <w:tcBorders/>
            <w:shd w:fill="FFFFFF" w:val="clear"/>
            <w:tcMar>
              <w:bottom w:w="0" w:type="dxa"/>
            </w:tcMar>
            <w:vAlign w:val="center"/>
          </w:tcPr>
          <w:p>
            <w:pPr>
              <w:pStyle w:val="TableContents"/>
              <w:bidi w:val="0"/>
              <w:spacing w:before="0" w:after="283"/>
              <w:jc w:val="right"/>
              <w:rPr/>
            </w:pPr>
            <w:r>
              <w:rPr/>
              <w:t>2,000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179" w:type="dxa"/>
            <w:tcBorders/>
            <w:shd w:fill="CCEEFF" w:val="clear"/>
            <w:tcMar>
              <w:bottom w:w="0" w:type="dxa"/>
            </w:tcMar>
            <w:vAlign w:val="center"/>
          </w:tcPr>
          <w:p>
            <w:pPr>
              <w:pStyle w:val="TableContents"/>
              <w:bidi w:val="0"/>
              <w:spacing w:before="0" w:after="283"/>
              <w:jc w:val="left"/>
              <w:rPr/>
            </w:pPr>
            <w:r>
              <w:rPr/>
              <w:t>Other income,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-389.7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(151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-58.3</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691"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179"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521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-24.0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2,631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1,651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980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59.4</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shd w:fill="FFFFFF" w:val="clear"/>
            <w:tcMar>
              <w:bottom w:w="0" w:type="dxa"/>
            </w:tcMar>
            <w:vAlign w:val="center"/>
          </w:tcPr>
          <w:p>
            <w:pPr>
              <w:pStyle w:val="TableContents"/>
              <w:bidi w:val="0"/>
              <w:spacing w:before="0" w:after="283"/>
              <w:jc w:val="left"/>
              <w:rPr/>
            </w:pPr>
            <w:r>
              <w:rPr/>
              <w:t>Interest expense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552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-30.2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2,923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729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691" w:type="dxa"/>
            <w:tcBorders/>
            <w:shd w:fill="FFFFFF" w:val="clear"/>
            <w:tcMar>
              <w:bottom w:w="0" w:type="dxa"/>
            </w:tcMar>
            <w:vAlign w:val="center"/>
          </w:tcPr>
          <w:p>
            <w:pPr>
              <w:pStyle w:val="TableContents"/>
              <w:bidi w:val="0"/>
              <w:spacing w:before="0" w:after="283"/>
              <w:jc w:val="right"/>
              <w:rPr/>
            </w:pPr>
            <w:r>
              <w:rPr/>
              <w:t>2,194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301.0</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179" w:type="dxa"/>
            <w:tcBorders/>
            <w:shd w:fill="CCEEFF" w:val="clear"/>
            <w:tcMar>
              <w:bottom w:w="0" w:type="dxa"/>
            </w:tcMar>
            <w:vAlign w:val="center"/>
          </w:tcPr>
          <w:p>
            <w:pPr>
              <w:pStyle w:val="TableContents"/>
              <w:bidi w:val="0"/>
              <w:spacing w:before="0" w:after="283"/>
              <w:jc w:val="left"/>
              <w:rPr/>
            </w:pPr>
            <w:r>
              <w:rPr/>
              <w:t>Loss (gain) on extinguishment of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-100.0</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179" w:type="dxa"/>
            <w:tcBorders/>
            <w:shd w:fill="FFFFFF" w:val="clear"/>
            <w:tcMar>
              <w:bottom w:w="0" w:type="dxa"/>
            </w:tcMar>
            <w:vAlign w:val="center"/>
          </w:tcPr>
          <w:p>
            <w:pPr>
              <w:pStyle w:val="TableContents"/>
              <w:bidi w:val="0"/>
              <w:spacing w:before="0" w:after="283"/>
              <w:jc w:val="left"/>
              <w:rPr/>
            </w:pPr>
            <w:r>
              <w:rPr/>
              <w:t>Loss on debt issuance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69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179" w:type="dxa"/>
            <w:tcBorders/>
            <w:shd w:fill="CCEEFF" w:val="clear"/>
            <w:tcMar>
              <w:bottom w:w="0" w:type="dxa"/>
            </w:tcMar>
            <w:vAlign w:val="center"/>
          </w:tcPr>
          <w:p>
            <w:pPr>
              <w:pStyle w:val="TableContents"/>
              <w:bidi w:val="0"/>
              <w:spacing w:before="0" w:after="283"/>
              <w:jc w:val="left"/>
              <w:rPr/>
            </w:pPr>
            <w:r>
              <w:rPr/>
              <w:t>Change in fair value of warrant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(154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(1,807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(1,807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4"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16"/>
        <w:gridCol w:w="60"/>
        <w:gridCol w:w="128"/>
        <w:gridCol w:w="558"/>
        <w:gridCol w:w="80"/>
        <w:gridCol w:w="60"/>
        <w:gridCol w:w="128"/>
        <w:gridCol w:w="558"/>
        <w:gridCol w:w="80"/>
        <w:gridCol w:w="60"/>
        <w:gridCol w:w="142"/>
        <w:gridCol w:w="450"/>
        <w:gridCol w:w="80"/>
        <w:gridCol w:w="60"/>
        <w:gridCol w:w="60"/>
        <w:gridCol w:w="553"/>
        <w:gridCol w:w="185"/>
        <w:gridCol w:w="60"/>
        <w:gridCol w:w="150"/>
        <w:gridCol w:w="784"/>
        <w:gridCol w:w="80"/>
        <w:gridCol w:w="60"/>
        <w:gridCol w:w="150"/>
        <w:gridCol w:w="784"/>
        <w:gridCol w:w="80"/>
        <w:gridCol w:w="60"/>
        <w:gridCol w:w="157"/>
        <w:gridCol w:w="690"/>
        <w:gridCol w:w="80"/>
        <w:gridCol w:w="60"/>
        <w:gridCol w:w="83"/>
        <w:gridCol w:w="764"/>
        <w:gridCol w:w="205"/>
      </w:tblGrid>
      <w:tr>
        <w:trPr/>
        <w:tc>
          <w:tcPr>
            <w:tcW w:w="2716" w:type="dxa"/>
            <w:tcBorders>
              <w:bottom w:val="single" w:sz="8" w:space="0" w:color="000000"/>
            </w:tcBorders>
            <w:vAlign w:val="center"/>
          </w:tcPr>
          <w:p>
            <w:pPr>
              <w:pStyle w:val="TableContents"/>
              <w:bidi w:val="0"/>
              <w:spacing w:before="0" w:after="283"/>
              <w:jc w:val="left"/>
              <w:rPr>
                <w:i/>
                <w:sz w:val="20"/>
              </w:rPr>
            </w:pPr>
            <w:r>
              <w:rPr>
                <w:i/>
                <w:sz w:val="20"/>
              </w:rPr>
              <w:t>($ in Thousands)</w:t>
            </w:r>
          </w:p>
        </w:tc>
        <w:tc>
          <w:tcPr>
            <w:tcW w:w="60" w:type="dxa"/>
            <w:tcBorders/>
            <w:tcMar>
              <w:bottom w:w="0" w:type="dxa"/>
            </w:tcMar>
            <w:vAlign w:val="center"/>
          </w:tcPr>
          <w:p>
            <w:pPr>
              <w:pStyle w:val="TableContents"/>
              <w:bidi w:val="0"/>
              <w:spacing w:before="0" w:after="283"/>
              <w:jc w:val="left"/>
              <w:rPr/>
            </w:pPr>
            <w:r>
              <w:rPr/>
              <w:t> </w:t>
            </w:r>
          </w:p>
        </w:tc>
        <w:tc>
          <w:tcPr>
            <w:tcW w:w="686"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Months</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30,</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6"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Months</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30,</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2"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3"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7"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7"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5" w:type="dxa"/>
            <w:tcBorders/>
            <w:tcMar>
              <w:bottom w:w="0" w:type="dxa"/>
            </w:tcMar>
            <w:vAlign w:val="center"/>
          </w:tcPr>
          <w:p>
            <w:pPr>
              <w:pStyle w:val="TableContents"/>
              <w:bidi w:val="0"/>
              <w:spacing w:before="0" w:after="283"/>
              <w:jc w:val="left"/>
              <w:rPr/>
            </w:pPr>
            <w:r>
              <w:rPr/>
              <w:t> </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Change in fair value of warrant liability -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(230</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sz w:val="20"/>
              </w:rPr>
            </w:pPr>
            <w:r>
              <w:rPr>
                <w:sz w:val="20"/>
              </w:rPr>
              <w:t>(230</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3" w:type="dxa"/>
            <w:tcBorders/>
            <w:shd w:fill="CCEEFF" w:val="clear"/>
            <w:tcMar>
              <w:bottom w:w="0" w:type="dxa"/>
            </w:tcMar>
            <w:vAlign w:val="center"/>
          </w:tcPr>
          <w:p>
            <w:pPr>
              <w:pStyle w:val="TableContents"/>
              <w:bidi w:val="0"/>
              <w:spacing w:before="0" w:after="283"/>
              <w:jc w:val="right"/>
              <w:rPr>
                <w:sz w:val="20"/>
              </w:rPr>
            </w:pPr>
            <w:r>
              <w:rPr>
                <w:sz w:val="20"/>
              </w:rPr>
              <w:t>nm</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115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right"/>
              <w:rPr>
                <w:sz w:val="20"/>
              </w:rPr>
            </w:pPr>
            <w:r>
              <w:rPr>
                <w:sz w:val="20"/>
              </w:rPr>
              <w:t>115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sz w:val="20"/>
              </w:rPr>
            </w:pPr>
            <w:r>
              <w:rPr>
                <w:sz w:val="20"/>
              </w:rPr>
              <w:t>nm</w:t>
            </w:r>
          </w:p>
        </w:tc>
        <w:tc>
          <w:tcPr>
            <w:tcW w:w="205" w:type="dxa"/>
            <w:tcBorders/>
            <w:shd w:fill="CCEEFF" w:val="clear"/>
            <w:tcMar>
              <w:bottom w:w="0" w:type="dxa"/>
            </w:tcMar>
            <w:vAlign w:val="center"/>
          </w:tcPr>
          <w:p>
            <w:pPr>
              <w:pStyle w:val="TableContents"/>
              <w:bidi w:val="0"/>
              <w:spacing w:before="0" w:after="283"/>
              <w:jc w:val="left"/>
              <w:rPr/>
            </w:pPr>
            <w:r>
              <w:rPr/>
              <w:t> </w:t>
            </w:r>
          </w:p>
        </w:tc>
      </w:tr>
      <w:tr>
        <w:trPr/>
        <w:tc>
          <w:tcPr>
            <w:tcW w:w="2716" w:type="dxa"/>
            <w:tcBorders/>
            <w:shd w:fill="FFFFFF" w:val="clear"/>
            <w:tcMar>
              <w:bottom w:w="0" w:type="dxa"/>
            </w:tcMar>
            <w:vAlign w:val="center"/>
          </w:tcPr>
          <w:p>
            <w:pPr>
              <w:pStyle w:val="TableContents"/>
              <w:bidi w:val="0"/>
              <w:spacing w:before="0" w:after="283"/>
              <w:jc w:val="left"/>
              <w:rPr>
                <w:sz w:val="20"/>
              </w:rPr>
            </w:pPr>
            <w:r>
              <w:rPr>
                <w:sz w:val="20"/>
              </w:rPr>
              <w:t>Loss on modification of simple agreement for future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3" w:type="dxa"/>
            <w:tcBorders/>
            <w:shd w:fill="FFFFFF" w:val="clear"/>
            <w:tcMar>
              <w:bottom w:w="0" w:type="dxa"/>
            </w:tcMar>
            <w:vAlign w:val="center"/>
          </w:tcPr>
          <w:p>
            <w:pPr>
              <w:pStyle w:val="TableContents"/>
              <w:bidi w:val="0"/>
              <w:spacing w:before="0" w:after="283"/>
              <w:jc w:val="right"/>
              <w:rPr>
                <w:sz w:val="20"/>
              </w:rPr>
            </w:pPr>
            <w:r>
              <w:rPr>
                <w:sz w:val="20"/>
              </w:rPr>
              <w:t>nm</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121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90" w:type="dxa"/>
            <w:tcBorders/>
            <w:shd w:fill="FFFFFF" w:val="clear"/>
            <w:tcMar>
              <w:bottom w:w="0" w:type="dxa"/>
            </w:tcMar>
            <w:vAlign w:val="center"/>
          </w:tcPr>
          <w:p>
            <w:pPr>
              <w:pStyle w:val="TableContents"/>
              <w:bidi w:val="0"/>
              <w:spacing w:before="0" w:after="283"/>
              <w:jc w:val="right"/>
              <w:rPr>
                <w:sz w:val="20"/>
              </w:rPr>
            </w:pPr>
            <w:r>
              <w:rPr>
                <w:sz w:val="20"/>
              </w:rPr>
              <w:t>(121</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Loss on modification of simple agreement for future equity -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3" w:type="dxa"/>
            <w:tcBorders/>
            <w:shd w:fill="CCEEFF" w:val="clear"/>
            <w:tcMar>
              <w:bottom w:w="0" w:type="dxa"/>
            </w:tcMar>
            <w:vAlign w:val="center"/>
          </w:tcPr>
          <w:p>
            <w:pPr>
              <w:pStyle w:val="TableContents"/>
              <w:bidi w:val="0"/>
              <w:spacing w:before="0" w:after="283"/>
              <w:jc w:val="right"/>
              <w:rPr>
                <w:sz w:val="20"/>
              </w:rPr>
            </w:pPr>
            <w:r>
              <w:rPr>
                <w:sz w:val="20"/>
              </w:rPr>
              <w:t>nm</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1,602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right"/>
              <w:rPr>
                <w:sz w:val="20"/>
              </w:rPr>
            </w:pPr>
            <w:r>
              <w:rPr>
                <w:sz w:val="20"/>
              </w:rPr>
              <w:t>(1,602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FFFFFF" w:val="clear"/>
            <w:tcMar>
              <w:bottom w:w="0" w:type="dxa"/>
            </w:tcMar>
            <w:vAlign w:val="center"/>
          </w:tcPr>
          <w:p>
            <w:pPr>
              <w:pStyle w:val="TableContents"/>
              <w:bidi w:val="0"/>
              <w:spacing w:before="0" w:after="283"/>
              <w:jc w:val="left"/>
              <w:rPr>
                <w:sz w:val="20"/>
              </w:rPr>
            </w:pPr>
            <w:r>
              <w:rPr>
                <w:sz w:val="20"/>
              </w:rPr>
              <w:t>Change in fair value of simple agreement for future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69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sz w:val="20"/>
              </w:rPr>
            </w:pPr>
            <w:r>
              <w:rPr>
                <w:sz w:val="20"/>
              </w:rPr>
              <w:t>(69</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3"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(208</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308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90" w:type="dxa"/>
            <w:tcBorders/>
            <w:shd w:fill="FFFFFF" w:val="clear"/>
            <w:tcMar>
              <w:bottom w:w="0" w:type="dxa"/>
            </w:tcMar>
            <w:vAlign w:val="center"/>
          </w:tcPr>
          <w:p>
            <w:pPr>
              <w:pStyle w:val="TableContents"/>
              <w:bidi w:val="0"/>
              <w:spacing w:before="0" w:after="283"/>
              <w:jc w:val="right"/>
              <w:rPr>
                <w:sz w:val="20"/>
              </w:rPr>
            </w:pPr>
            <w:r>
              <w:rPr>
                <w:sz w:val="20"/>
              </w:rPr>
              <w:t>(516</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sz w:val="20"/>
              </w:rPr>
            </w:pPr>
            <w:r>
              <w:rPr>
                <w:sz w:val="20"/>
              </w:rPr>
              <w:t>-167.5</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Change in fair value of simple agreement for future equity -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909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sz w:val="20"/>
              </w:rPr>
            </w:pPr>
            <w:r>
              <w:rPr>
                <w:sz w:val="20"/>
              </w:rPr>
              <w:t>(909</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3"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(2,752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4,078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right"/>
              <w:rPr>
                <w:sz w:val="20"/>
              </w:rPr>
            </w:pPr>
            <w:r>
              <w:rPr>
                <w:sz w:val="20"/>
              </w:rPr>
              <w:t>(6,830</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sz w:val="20"/>
              </w:rPr>
            </w:pPr>
            <w:r>
              <w:rPr>
                <w:sz w:val="20"/>
              </w:rPr>
              <w:t>-167.5</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FFFFFF" w:val="clear"/>
            <w:tcMar>
              <w:bottom w:w="0" w:type="dxa"/>
            </w:tcMar>
            <w:vAlign w:val="center"/>
          </w:tcPr>
          <w:p>
            <w:pPr>
              <w:pStyle w:val="TableContents"/>
              <w:bidi w:val="0"/>
              <w:spacing w:before="0" w:after="283"/>
              <w:jc w:val="left"/>
              <w:rPr>
                <w:sz w:val="20"/>
              </w:rPr>
            </w:pPr>
            <w:r>
              <w:rPr>
                <w:sz w:val="20"/>
              </w:rPr>
              <w:t>Change in fair value of bifurcated embedded derivative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(194</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sz w:val="20"/>
              </w:rPr>
            </w:pPr>
            <w:r>
              <w:rPr>
                <w:sz w:val="20"/>
              </w:rPr>
              <w:t>194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3"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(1,405</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254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90" w:type="dxa"/>
            <w:tcBorders/>
            <w:shd w:fill="FFFFFF" w:val="clear"/>
            <w:tcMar>
              <w:bottom w:w="0" w:type="dxa"/>
            </w:tcMar>
            <w:vAlign w:val="center"/>
          </w:tcPr>
          <w:p>
            <w:pPr>
              <w:pStyle w:val="TableContents"/>
              <w:bidi w:val="0"/>
              <w:spacing w:before="0" w:after="283"/>
              <w:jc w:val="right"/>
              <w:rPr>
                <w:sz w:val="20"/>
              </w:rPr>
            </w:pPr>
            <w:r>
              <w:rPr>
                <w:sz w:val="20"/>
              </w:rPr>
              <w:t>(1,659</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sz w:val="20"/>
              </w:rPr>
            </w:pPr>
            <w:r>
              <w:rPr>
                <w:sz w:val="20"/>
              </w:rPr>
              <w:t>-653.1</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Change in fair value of bifurcated embedded derivative liabilities -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(478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450" w:type="dxa"/>
            <w:tcBorders/>
            <w:shd w:fill="CCEEFF" w:val="clear"/>
            <w:tcMar>
              <w:bottom w:w="0" w:type="dxa"/>
            </w:tcMar>
            <w:vAlign w:val="center"/>
          </w:tcPr>
          <w:p>
            <w:pPr>
              <w:pStyle w:val="TableContents"/>
              <w:bidi w:val="0"/>
              <w:spacing w:before="0" w:after="283"/>
              <w:jc w:val="right"/>
              <w:rPr>
                <w:sz w:val="20"/>
              </w:rPr>
            </w:pPr>
            <w:r>
              <w:rPr>
                <w:sz w:val="20"/>
              </w:rPr>
              <w:t>478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3" w:type="dxa"/>
            <w:tcBorders/>
            <w:shd w:fill="CCEEFF" w:val="clear"/>
            <w:tcMar>
              <w:bottom w:w="0" w:type="dxa"/>
            </w:tcMar>
            <w:vAlign w:val="center"/>
          </w:tcPr>
          <w:p>
            <w:pPr>
              <w:pStyle w:val="TableContents"/>
              <w:bidi w:val="0"/>
              <w:spacing w:before="0" w:after="283"/>
              <w:jc w:val="right"/>
              <w:rPr>
                <w:sz w:val="20"/>
              </w:rPr>
            </w:pPr>
            <w:r>
              <w:rPr>
                <w:sz w:val="20"/>
              </w:rPr>
              <w:t>-100.0</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(3,063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607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jc w:val="right"/>
              <w:rPr>
                <w:sz w:val="20"/>
              </w:rPr>
            </w:pPr>
            <w:r>
              <w:rPr>
                <w:sz w:val="20"/>
              </w:rPr>
              <w:t>(3,670</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sz w:val="20"/>
              </w:rPr>
            </w:pPr>
            <w:r>
              <w:rPr>
                <w:sz w:val="20"/>
              </w:rPr>
              <w:t>-604.6</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FFFFFF" w:val="clear"/>
            <w:tcMar>
              <w:bottom w:w="0" w:type="dxa"/>
            </w:tcMar>
            <w:vAlign w:val="center"/>
          </w:tcPr>
          <w:p>
            <w:pPr>
              <w:pStyle w:val="TableContents"/>
              <w:bidi w:val="0"/>
              <w:spacing w:before="0" w:after="283"/>
              <w:jc w:val="left"/>
              <w:rPr>
                <w:sz w:val="20"/>
              </w:rPr>
            </w:pPr>
            <w:r>
              <w:rPr>
                <w:sz w:val="20"/>
              </w:rPr>
              <w:t>Change in fair value of convertible promissory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450"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3" w:type="dxa"/>
            <w:tcBorders/>
            <w:shd w:fill="FFFFFF" w:val="clear"/>
            <w:tcMar>
              <w:bottom w:w="0" w:type="dxa"/>
            </w:tcMar>
            <w:vAlign w:val="center"/>
          </w:tcPr>
          <w:p>
            <w:pPr>
              <w:pStyle w:val="TableContents"/>
              <w:bidi w:val="0"/>
              <w:spacing w:before="0" w:after="283"/>
              <w:jc w:val="right"/>
              <w:rPr>
                <w:sz w:val="20"/>
              </w:rPr>
            </w:pPr>
            <w:r>
              <w:rPr>
                <w:sz w:val="20"/>
              </w:rPr>
              <w:t>nm</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90"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sz w:val="20"/>
              </w:rPr>
            </w:pPr>
            <w:r>
              <w:rPr>
                <w:sz w:val="20"/>
              </w:rPr>
              <w:t>nm</w:t>
            </w:r>
          </w:p>
        </w:tc>
        <w:tc>
          <w:tcPr>
            <w:tcW w:w="205" w:type="dxa"/>
            <w:tcBorders/>
            <w:shd w:fill="FFFFFF" w:val="clear"/>
            <w:tcMar>
              <w:bottom w:w="0" w:type="dxa"/>
            </w:tcMar>
            <w:vAlign w:val="center"/>
          </w:tcPr>
          <w:p>
            <w:pPr>
              <w:pStyle w:val="TableContents"/>
              <w:bidi w:val="0"/>
              <w:spacing w:before="0" w:after="283"/>
              <w:jc w:val="left"/>
              <w:rPr/>
            </w:pPr>
            <w:r>
              <w:rPr/>
              <w:t> </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Yorkville prepayment premium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vAlign w:val="center"/>
          </w:tcPr>
          <w:p>
            <w:pPr>
              <w:pStyle w:val="TableContents"/>
              <w:bidi w:val="0"/>
              <w:spacing w:before="0" w:after="283"/>
              <w:jc w:val="right"/>
              <w:rPr>
                <w:sz w:val="20"/>
              </w:rPr>
            </w:pPr>
            <w:r>
              <w:rPr>
                <w:sz w:val="20"/>
              </w:rPr>
              <w:t>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pPr>
            <w:r>
              <w:rPr/>
              <w:t> </w:t>
            </w:r>
          </w:p>
        </w:tc>
        <w:tc>
          <w:tcPr>
            <w:tcW w:w="558"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pPr>
            <w:r>
              <w:rPr/>
              <w:t> </w:t>
            </w:r>
          </w:p>
        </w:tc>
        <w:tc>
          <w:tcPr>
            <w:tcW w:w="450" w:type="dxa"/>
            <w:tcBorders>
              <w:bottom w:val="single" w:sz="8" w:space="0" w:color="000000"/>
            </w:tcBorders>
            <w:shd w:fill="CCEEFF" w:val="clear"/>
            <w:vAlign w:val="center"/>
          </w:tcPr>
          <w:p>
            <w:pPr>
              <w:pStyle w:val="TableContents"/>
              <w:bidi w:val="0"/>
              <w:spacing w:before="0" w:after="283"/>
              <w:jc w:val="right"/>
              <w:rPr>
                <w:sz w:val="20"/>
              </w:rPr>
            </w:pPr>
            <w:r>
              <w:rPr>
                <w:sz w:val="20"/>
              </w:rPr>
              <w:t>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53" w:type="dxa"/>
            <w:tcBorders>
              <w:bottom w:val="single" w:sz="8" w:space="0" w:color="000000"/>
            </w:tcBorders>
            <w:shd w:fill="CCEEFF" w:val="clear"/>
            <w:vAlign w:val="center"/>
          </w:tcPr>
          <w:p>
            <w:pPr>
              <w:pStyle w:val="TableContents"/>
              <w:bidi w:val="0"/>
              <w:spacing w:before="0" w:after="283"/>
              <w:jc w:val="right"/>
              <w:rPr>
                <w:sz w:val="20"/>
              </w:rPr>
            </w:pPr>
            <w:r>
              <w:rPr>
                <w:sz w:val="20"/>
              </w:rPr>
              <w:t>nm</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784"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784"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vAlign w:val="center"/>
          </w:tcPr>
          <w:p>
            <w:pPr>
              <w:pStyle w:val="TableContents"/>
              <w:bidi w:val="0"/>
              <w:spacing w:before="0" w:after="283"/>
              <w:jc w:val="left"/>
              <w:rPr/>
            </w:pPr>
            <w:r>
              <w:rPr/>
              <w:t> </w:t>
            </w:r>
          </w:p>
        </w:tc>
        <w:tc>
          <w:tcPr>
            <w:tcW w:w="690" w:type="dxa"/>
            <w:tcBorders>
              <w:bottom w:val="single" w:sz="8" w:space="0" w:color="000000"/>
            </w:tcBorders>
            <w:shd w:fill="CCEEFF" w:val="cle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764"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205" w:type="dxa"/>
            <w:tcBorders/>
            <w:shd w:fill="CCEEFF" w:val="clear"/>
            <w:tcMar>
              <w:bottom w:w="0" w:type="dxa"/>
            </w:tcMar>
            <w:vAlign w:val="center"/>
          </w:tcPr>
          <w:p>
            <w:pPr>
              <w:pStyle w:val="TableContents"/>
              <w:bidi w:val="0"/>
              <w:spacing w:before="0" w:after="283"/>
              <w:jc w:val="left"/>
              <w:rPr/>
            </w:pPr>
            <w:r>
              <w:rPr/>
              <w:t> </w:t>
            </w:r>
          </w:p>
        </w:tc>
      </w:tr>
      <w:tr>
        <w:trPr/>
        <w:tc>
          <w:tcPr>
            <w:tcW w:w="2716" w:type="dxa"/>
            <w:tcBorders/>
            <w:shd w:fill="FFFFFF" w:val="clear"/>
            <w:tcMar>
              <w:bottom w:w="0" w:type="dxa"/>
            </w:tcMar>
            <w:vAlign w:val="center"/>
          </w:tcPr>
          <w:p>
            <w:pPr>
              <w:pStyle w:val="TableContents"/>
              <w:bidi w:val="0"/>
              <w:spacing w:before="0" w:after="283"/>
              <w:jc w:val="left"/>
              <w:rPr>
                <w:sz w:val="20"/>
              </w:rPr>
            </w:pPr>
            <w:r>
              <w:rPr>
                <w:sz w:val="20"/>
              </w:rPr>
              <w:t>Total other (income)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558" w:type="dxa"/>
            <w:tcBorders>
              <w:bottom w:val="single" w:sz="8" w:space="0" w:color="000000"/>
            </w:tcBorders>
            <w:shd w:fill="FFFFFF" w:val="clear"/>
            <w:vAlign w:val="center"/>
          </w:tcPr>
          <w:p>
            <w:pPr>
              <w:pStyle w:val="TableContents"/>
              <w:bidi w:val="0"/>
              <w:spacing w:before="0" w:after="283"/>
              <w:jc w:val="right"/>
              <w:rPr>
                <w:sz w:val="20"/>
              </w:rPr>
            </w:pPr>
            <w:r>
              <w:rPr>
                <w:sz w:val="20"/>
              </w:rPr>
              <w:t>576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558" w:type="dxa"/>
            <w:tcBorders>
              <w:bottom w:val="single" w:sz="8" w:space="0" w:color="000000"/>
            </w:tcBorders>
            <w:shd w:fill="FFFFFF" w:val="clear"/>
            <w:vAlign w:val="center"/>
          </w:tcPr>
          <w:p>
            <w:pPr>
              <w:pStyle w:val="TableContents"/>
              <w:bidi w:val="0"/>
              <w:spacing w:before="0" w:after="283"/>
              <w:jc w:val="right"/>
              <w:rPr>
                <w:sz w:val="20"/>
              </w:rPr>
            </w:pPr>
            <w:r>
              <w:rPr>
                <w:sz w:val="20"/>
              </w:rPr>
              <w:t>1,357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450" w:type="dxa"/>
            <w:tcBorders>
              <w:bottom w:val="single" w:sz="8" w:space="0" w:color="000000"/>
            </w:tcBorders>
            <w:shd w:fill="FFFFFF" w:val="clear"/>
            <w:vAlign w:val="center"/>
          </w:tcPr>
          <w:p>
            <w:pPr>
              <w:pStyle w:val="TableContents"/>
              <w:bidi w:val="0"/>
              <w:spacing w:before="0" w:after="283"/>
              <w:jc w:val="right"/>
              <w:rPr>
                <w:sz w:val="20"/>
              </w:rPr>
            </w:pPr>
            <w:r>
              <w:rPr>
                <w:sz w:val="20"/>
              </w:rPr>
              <w:t>(780</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53" w:type="dxa"/>
            <w:tcBorders>
              <w:bottom w:val="single" w:sz="8" w:space="0" w:color="000000"/>
            </w:tcBorders>
            <w:shd w:fill="FFFFFF" w:val="clear"/>
            <w:vAlign w:val="center"/>
          </w:tcPr>
          <w:p>
            <w:pPr>
              <w:pStyle w:val="TableContents"/>
              <w:bidi w:val="0"/>
              <w:spacing w:before="0" w:after="283"/>
              <w:jc w:val="right"/>
              <w:rPr>
                <w:sz w:val="20"/>
              </w:rPr>
            </w:pPr>
            <w:r>
              <w:rPr>
                <w:sz w:val="20"/>
              </w:rPr>
              <w:t>-57.5</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784" w:type="dxa"/>
            <w:tcBorders>
              <w:bottom w:val="single" w:sz="8" w:space="0" w:color="000000"/>
            </w:tcBorders>
            <w:shd w:fill="FFFFFF" w:val="clear"/>
            <w:vAlign w:val="center"/>
          </w:tcPr>
          <w:p>
            <w:pPr>
              <w:pStyle w:val="TableContents"/>
              <w:bidi w:val="0"/>
              <w:spacing w:before="0" w:after="283"/>
              <w:jc w:val="right"/>
              <w:rPr>
                <w:sz w:val="20"/>
              </w:rPr>
            </w:pPr>
            <w:r>
              <w:rPr>
                <w:sz w:val="20"/>
              </w:rPr>
              <w:t>4,610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784" w:type="dxa"/>
            <w:tcBorders>
              <w:bottom w:val="single" w:sz="8" w:space="0" w:color="000000"/>
            </w:tcBorders>
            <w:shd w:fill="FFFFFF" w:val="clear"/>
            <w:vAlign w:val="center"/>
          </w:tcPr>
          <w:p>
            <w:pPr>
              <w:pStyle w:val="TableContents"/>
              <w:bidi w:val="0"/>
              <w:spacing w:before="0" w:after="283"/>
              <w:jc w:val="right"/>
              <w:rPr>
                <w:sz w:val="20"/>
              </w:rPr>
            </w:pPr>
            <w:r>
              <w:rPr>
                <w:sz w:val="20"/>
              </w:rPr>
              <w:t>9,256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690" w:type="dxa"/>
            <w:tcBorders>
              <w:bottom w:val="single" w:sz="8" w:space="0" w:color="000000"/>
            </w:tcBorders>
            <w:shd w:fill="FFFFFF" w:val="clear"/>
            <w:vAlign w:val="center"/>
          </w:tcPr>
          <w:p>
            <w:pPr>
              <w:pStyle w:val="TableContents"/>
              <w:bidi w:val="0"/>
              <w:spacing w:before="0" w:after="283"/>
              <w:jc w:val="right"/>
              <w:rPr>
                <w:sz w:val="20"/>
              </w:rPr>
            </w:pPr>
            <w:r>
              <w:rPr>
                <w:sz w:val="20"/>
              </w:rPr>
              <w:t>(4,646</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764" w:type="dxa"/>
            <w:tcBorders>
              <w:bottom w:val="single" w:sz="8" w:space="0" w:color="000000"/>
            </w:tcBorders>
            <w:shd w:fill="FFFFFF" w:val="clear"/>
            <w:vAlign w:val="center"/>
          </w:tcPr>
          <w:p>
            <w:pPr>
              <w:pStyle w:val="TableContents"/>
              <w:bidi w:val="0"/>
              <w:spacing w:before="0" w:after="283"/>
              <w:jc w:val="right"/>
              <w:rPr>
                <w:sz w:val="20"/>
              </w:rPr>
            </w:pPr>
            <w:r>
              <w:rPr>
                <w:sz w:val="20"/>
              </w:rPr>
              <w:t>-50.2</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558" w:type="dxa"/>
            <w:tcBorders>
              <w:bottom w:val="single" w:sz="8" w:space="0" w:color="000000"/>
            </w:tcBorders>
            <w:shd w:fill="CCEEFF" w:val="clear"/>
            <w:vAlign w:val="center"/>
          </w:tcPr>
          <w:p>
            <w:pPr>
              <w:pStyle w:val="TableContents"/>
              <w:bidi w:val="0"/>
              <w:spacing w:before="0" w:after="283"/>
              <w:jc w:val="right"/>
              <w:rPr>
                <w:sz w:val="20"/>
              </w:rPr>
            </w:pPr>
            <w:r>
              <w:rPr>
                <w:sz w:val="20"/>
              </w:rPr>
              <w:t>(4,158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558" w:type="dxa"/>
            <w:tcBorders>
              <w:bottom w:val="single" w:sz="8" w:space="0" w:color="000000"/>
            </w:tcBorders>
            <w:shd w:fill="CCEEFF" w:val="clear"/>
            <w:vAlign w:val="center"/>
          </w:tcPr>
          <w:p>
            <w:pPr>
              <w:pStyle w:val="TableContents"/>
              <w:bidi w:val="0"/>
              <w:spacing w:before="0" w:after="283"/>
              <w:jc w:val="right"/>
              <w:rPr>
                <w:sz w:val="20"/>
              </w:rPr>
            </w:pPr>
            <w:r>
              <w:rPr>
                <w:sz w:val="20"/>
              </w:rPr>
              <w:t>(3,474</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450" w:type="dxa"/>
            <w:tcBorders>
              <w:bottom w:val="single" w:sz="8" w:space="0" w:color="000000"/>
            </w:tcBorders>
            <w:shd w:fill="CCEEFF" w:val="clear"/>
            <w:vAlign w:val="center"/>
          </w:tcPr>
          <w:p>
            <w:pPr>
              <w:pStyle w:val="TableContents"/>
              <w:bidi w:val="0"/>
              <w:spacing w:before="0" w:after="283"/>
              <w:jc w:val="right"/>
              <w:rPr>
                <w:sz w:val="20"/>
              </w:rPr>
            </w:pPr>
            <w:r>
              <w:rPr>
                <w:sz w:val="20"/>
              </w:rPr>
              <w:t>(685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53" w:type="dxa"/>
            <w:tcBorders>
              <w:bottom w:val="single" w:sz="8" w:space="0" w:color="000000"/>
            </w:tcBorders>
            <w:shd w:fill="CCEEFF" w:val="clear"/>
            <w:vAlign w:val="center"/>
          </w:tcPr>
          <w:p>
            <w:pPr>
              <w:pStyle w:val="TableContents"/>
              <w:bidi w:val="0"/>
              <w:spacing w:before="0" w:after="283"/>
              <w:jc w:val="right"/>
              <w:rPr>
                <w:sz w:val="20"/>
              </w:rPr>
            </w:pPr>
            <w:r>
              <w:rPr>
                <w:sz w:val="20"/>
              </w:rPr>
              <w:t>19.7</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784" w:type="dxa"/>
            <w:tcBorders>
              <w:bottom w:val="single" w:sz="8" w:space="0" w:color="000000"/>
            </w:tcBorders>
            <w:shd w:fill="CCEEFF" w:val="clear"/>
            <w:vAlign w:val="center"/>
          </w:tcPr>
          <w:p>
            <w:pPr>
              <w:pStyle w:val="TableContents"/>
              <w:bidi w:val="0"/>
              <w:spacing w:before="0" w:after="283"/>
              <w:jc w:val="right"/>
              <w:rPr>
                <w:sz w:val="20"/>
              </w:rPr>
            </w:pPr>
            <w:r>
              <w:rPr>
                <w:sz w:val="20"/>
              </w:rPr>
              <w:t>(14,406</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784" w:type="dxa"/>
            <w:tcBorders>
              <w:bottom w:val="single" w:sz="8" w:space="0" w:color="000000"/>
            </w:tcBorders>
            <w:shd w:fill="CCEEFF" w:val="clear"/>
            <w:vAlign w:val="center"/>
          </w:tcPr>
          <w:p>
            <w:pPr>
              <w:pStyle w:val="TableContents"/>
              <w:bidi w:val="0"/>
              <w:spacing w:before="0" w:after="283"/>
              <w:jc w:val="right"/>
              <w:rPr>
                <w:sz w:val="20"/>
              </w:rPr>
            </w:pPr>
            <w:r>
              <w:rPr>
                <w:sz w:val="20"/>
              </w:rPr>
              <w:t>(15,468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690" w:type="dxa"/>
            <w:tcBorders>
              <w:bottom w:val="single" w:sz="8" w:space="0" w:color="000000"/>
            </w:tcBorders>
            <w:shd w:fill="CCEEFF" w:val="clear"/>
            <w:vAlign w:val="center"/>
          </w:tcPr>
          <w:p>
            <w:pPr>
              <w:pStyle w:val="TableContents"/>
              <w:bidi w:val="0"/>
              <w:spacing w:before="0" w:after="283"/>
              <w:jc w:val="right"/>
              <w:rPr>
                <w:sz w:val="20"/>
              </w:rPr>
            </w:pPr>
            <w:r>
              <w:rPr>
                <w:sz w:val="20"/>
              </w:rPr>
              <w:t>1,062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764" w:type="dxa"/>
            <w:tcBorders>
              <w:bottom w:val="single" w:sz="8" w:space="0" w:color="000000"/>
            </w:tcBorders>
            <w:shd w:fill="CCEEFF" w:val="clear"/>
            <w:vAlign w:val="center"/>
          </w:tcPr>
          <w:p>
            <w:pPr>
              <w:pStyle w:val="TableContents"/>
              <w:bidi w:val="0"/>
              <w:spacing w:before="0" w:after="283"/>
              <w:jc w:val="right"/>
              <w:rPr>
                <w:sz w:val="20"/>
              </w:rPr>
            </w:pPr>
            <w:r>
              <w:rPr>
                <w:sz w:val="20"/>
              </w:rPr>
              <w:t>-6.9</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716" w:type="dxa"/>
            <w:tcBorders/>
            <w:shd w:fill="FFFFFF" w:val="clear"/>
            <w:tcMar>
              <w:bottom w:w="0" w:type="dxa"/>
            </w:tcMar>
            <w:vAlign w:val="center"/>
          </w:tcPr>
          <w:p>
            <w:pPr>
              <w:pStyle w:val="TableContents"/>
              <w:bidi w:val="0"/>
              <w:spacing w:before="0" w:after="283"/>
              <w:jc w:val="left"/>
              <w:rPr>
                <w:sz w:val="20"/>
              </w:rPr>
            </w:pPr>
            <w:r>
              <w:rPr>
                <w:sz w:val="20"/>
              </w:rPr>
              <w:t>Income tax (benefit)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FFFFFF" w:val="clear"/>
            <w:vAlign w:val="center"/>
          </w:tcPr>
          <w:p>
            <w:pPr>
              <w:pStyle w:val="TableContents"/>
              <w:bidi w:val="0"/>
              <w:spacing w:before="0" w:after="283"/>
              <w:jc w:val="left"/>
              <w:rPr/>
            </w:pPr>
            <w:r>
              <w:rPr/>
              <w:t> </w:t>
            </w:r>
          </w:p>
        </w:tc>
        <w:tc>
          <w:tcPr>
            <w:tcW w:w="558" w:type="dxa"/>
            <w:tcBorders>
              <w:bottom w:val="single" w:sz="8" w:space="0" w:color="000000"/>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bottom w:val="single" w:sz="8" w:space="0" w:color="000000"/>
            </w:tcBorders>
            <w:shd w:fill="FFFFFF" w:val="clear"/>
            <w:vAlign w:val="center"/>
          </w:tcPr>
          <w:p>
            <w:pPr>
              <w:pStyle w:val="TableContents"/>
              <w:bidi w:val="0"/>
              <w:spacing w:before="0" w:after="283"/>
              <w:jc w:val="left"/>
              <w:rPr/>
            </w:pPr>
            <w:r>
              <w:rPr/>
              <w:t> </w:t>
            </w:r>
          </w:p>
        </w:tc>
        <w:tc>
          <w:tcPr>
            <w:tcW w:w="558" w:type="dxa"/>
            <w:tcBorders>
              <w:bottom w:val="single" w:sz="8" w:space="0" w:color="000000"/>
            </w:tcBorders>
            <w:shd w:fill="FFFFFF" w:val="clear"/>
            <w:vAlign w:val="center"/>
          </w:tcPr>
          <w:p>
            <w:pPr>
              <w:pStyle w:val="TableContents"/>
              <w:bidi w:val="0"/>
              <w:spacing w:before="0" w:after="283"/>
              <w:jc w:val="right"/>
              <w:rPr>
                <w:sz w:val="20"/>
              </w:rPr>
            </w:pPr>
            <w:r>
              <w:rPr>
                <w:sz w:val="20"/>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450" w:type="dxa"/>
            <w:tcBorders>
              <w:bottom w:val="single" w:sz="8" w:space="0" w:color="000000"/>
            </w:tcBorders>
            <w:shd w:fill="FFFFFF" w:val="clear"/>
            <w:vAlign w:val="center"/>
          </w:tcPr>
          <w:p>
            <w:pPr>
              <w:pStyle w:val="TableContents"/>
              <w:bidi w:val="0"/>
              <w:spacing w:before="0" w:after="283"/>
              <w:jc w:val="right"/>
              <w:rPr>
                <w:sz w:val="20"/>
              </w:rPr>
            </w:pPr>
            <w:r>
              <w:rPr>
                <w:sz w:val="20"/>
              </w:rPr>
              <w:t>(5</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53" w:type="dxa"/>
            <w:tcBorders>
              <w:bottom w:val="single" w:sz="8" w:space="0" w:color="000000"/>
            </w:tcBorders>
            <w:shd w:fill="FFFFFF" w:val="clear"/>
            <w:vAlign w:val="center"/>
          </w:tcPr>
          <w:p>
            <w:pPr>
              <w:pStyle w:val="TableContents"/>
              <w:bidi w:val="0"/>
              <w:spacing w:before="0" w:after="283"/>
              <w:jc w:val="right"/>
              <w:rPr>
                <w:sz w:val="20"/>
              </w:rPr>
            </w:pPr>
            <w:r>
              <w:rPr>
                <w:sz w:val="20"/>
              </w:rPr>
              <w:t>-46.9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vAlign w:val="center"/>
          </w:tcPr>
          <w:p>
            <w:pPr>
              <w:pStyle w:val="TableContents"/>
              <w:bidi w:val="0"/>
              <w:spacing w:before="0" w:after="283"/>
              <w:jc w:val="left"/>
              <w:rPr/>
            </w:pPr>
            <w:r>
              <w:rPr/>
              <w:t> </w:t>
            </w:r>
          </w:p>
        </w:tc>
        <w:tc>
          <w:tcPr>
            <w:tcW w:w="784"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vAlign w:val="center"/>
          </w:tcPr>
          <w:p>
            <w:pPr>
              <w:pStyle w:val="TableContents"/>
              <w:bidi w:val="0"/>
              <w:spacing w:before="0" w:after="283"/>
              <w:jc w:val="left"/>
              <w:rPr/>
            </w:pPr>
            <w:r>
              <w:rPr/>
              <w:t> </w:t>
            </w:r>
          </w:p>
        </w:tc>
        <w:tc>
          <w:tcPr>
            <w:tcW w:w="784"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vAlign w:val="center"/>
          </w:tcPr>
          <w:p>
            <w:pPr>
              <w:pStyle w:val="TableContents"/>
              <w:bidi w:val="0"/>
              <w:spacing w:before="0" w:after="283"/>
              <w:jc w:val="left"/>
              <w:rPr/>
            </w:pPr>
            <w:r>
              <w:rPr/>
              <w:t> </w:t>
            </w:r>
          </w:p>
        </w:tc>
        <w:tc>
          <w:tcPr>
            <w:tcW w:w="690"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FFFFFF" w:val="clear"/>
            <w:vAlign w:val="center"/>
          </w:tcPr>
          <w:p>
            <w:pPr>
              <w:pStyle w:val="TableContents"/>
              <w:bidi w:val="0"/>
              <w:spacing w:before="0" w:after="283"/>
              <w:jc w:val="left"/>
              <w:rPr/>
            </w:pPr>
            <w:r>
              <w:rPr/>
              <w:t> </w:t>
            </w:r>
          </w:p>
        </w:tc>
        <w:tc>
          <w:tcPr>
            <w:tcW w:w="764" w:type="dxa"/>
            <w:tcBorders>
              <w:bottom w:val="single" w:sz="8" w:space="0" w:color="000000"/>
            </w:tcBorders>
            <w:shd w:fill="FFFFFF" w:val="clear"/>
            <w:vAlign w:val="center"/>
          </w:tcPr>
          <w:p>
            <w:pPr>
              <w:pStyle w:val="TableContents"/>
              <w:bidi w:val="0"/>
              <w:spacing w:before="0" w:after="283"/>
              <w:jc w:val="right"/>
              <w:rPr>
                <w:sz w:val="20"/>
              </w:rPr>
            </w:pPr>
            <w:r>
              <w:rPr>
                <w:sz w:val="20"/>
              </w:rPr>
              <w:t>nm</w:t>
            </w:r>
          </w:p>
        </w:tc>
        <w:tc>
          <w:tcPr>
            <w:tcW w:w="205" w:type="dxa"/>
            <w:tcBorders/>
            <w:shd w:fill="FFFFFF" w:val="clear"/>
            <w:tcMar>
              <w:bottom w:w="0" w:type="dxa"/>
            </w:tcMar>
            <w:vAlign w:val="center"/>
          </w:tcPr>
          <w:p>
            <w:pPr>
              <w:pStyle w:val="TableContents"/>
              <w:bidi w:val="0"/>
              <w:spacing w:before="0" w:after="283"/>
              <w:jc w:val="left"/>
              <w:rPr/>
            </w:pPr>
            <w:r>
              <w:rPr/>
              <w:t> </w:t>
            </w:r>
          </w:p>
        </w:tc>
      </w:tr>
      <w:tr>
        <w:trPr/>
        <w:tc>
          <w:tcPr>
            <w:tcW w:w="2716" w:type="dxa"/>
            <w:tcBorders/>
            <w:shd w:fill="CCEEFF" w:val="clear"/>
            <w:tcMar>
              <w:bottom w:w="0" w:type="dxa"/>
            </w:tcMar>
            <w:vAlign w:val="center"/>
          </w:tcPr>
          <w:p>
            <w:pPr>
              <w:pStyle w:val="TableContents"/>
              <w:bidi w:val="0"/>
              <w:spacing w:before="0" w:after="283"/>
              <w:jc w:val="left"/>
              <w:rPr>
                <w:sz w:val="20"/>
              </w:rPr>
            </w:pPr>
            <w:r>
              <w:rPr>
                <w:sz w:val="20"/>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sz w:val="20"/>
              </w:rPr>
            </w:pPr>
            <w:r>
              <w:rPr>
                <w:sz w:val="20"/>
              </w:rPr>
              <w:t>$</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(4,165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sz w:val="20"/>
              </w:rPr>
            </w:pPr>
            <w:r>
              <w:rPr>
                <w:sz w:val="20"/>
              </w:rPr>
              <w:t>$</w:t>
            </w:r>
          </w:p>
        </w:tc>
        <w:tc>
          <w:tcPr>
            <w:tcW w:w="558" w:type="dxa"/>
            <w:tcBorders/>
            <w:shd w:fill="CCEEFF" w:val="clear"/>
            <w:tcMar>
              <w:bottom w:w="0" w:type="dxa"/>
            </w:tcMar>
            <w:vAlign w:val="center"/>
          </w:tcPr>
          <w:p>
            <w:pPr>
              <w:pStyle w:val="TableContents"/>
              <w:bidi w:val="0"/>
              <w:spacing w:before="0" w:after="283"/>
              <w:jc w:val="right"/>
              <w:rPr>
                <w:sz w:val="20"/>
              </w:rPr>
            </w:pPr>
            <w:r>
              <w:rPr>
                <w:sz w:val="20"/>
              </w:rPr>
              <w:t>(3,486</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450" w:type="dxa"/>
            <w:tcBorders/>
            <w:shd w:fill="CCEEFF" w:val="clear"/>
            <w:tcMar>
              <w:bottom w:w="0" w:type="dxa"/>
            </w:tcMar>
            <w:vAlign w:val="center"/>
          </w:tcPr>
          <w:p>
            <w:pPr>
              <w:pStyle w:val="TableContents"/>
              <w:bidi w:val="0"/>
              <w:spacing w:before="0" w:after="283"/>
              <w:jc w:val="right"/>
              <w:rPr>
                <w:sz w:val="20"/>
              </w:rPr>
            </w:pPr>
            <w:r>
              <w:rPr>
                <w:sz w:val="20"/>
              </w:rPr>
              <w:t>(679</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3" w:type="dxa"/>
            <w:tcBorders/>
            <w:shd w:fill="CCEEFF" w:val="clear"/>
            <w:tcMar>
              <w:bottom w:w="0" w:type="dxa"/>
            </w:tcMar>
            <w:vAlign w:val="center"/>
          </w:tcPr>
          <w:p>
            <w:pPr>
              <w:pStyle w:val="TableContents"/>
              <w:bidi w:val="0"/>
              <w:spacing w:before="0" w:after="283"/>
              <w:jc w:val="right"/>
              <w:rPr>
                <w:sz w:val="20"/>
              </w:rPr>
            </w:pPr>
            <w:r>
              <w:rPr>
                <w:sz w:val="20"/>
              </w:rPr>
              <w:t>19.5</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sz w:val="20"/>
              </w:rPr>
            </w:pPr>
            <w:r>
              <w:rPr>
                <w:sz w:val="20"/>
              </w:rPr>
              <w:t>$</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(14,406</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sz w:val="20"/>
              </w:rPr>
            </w:pPr>
            <w:r>
              <w:rPr>
                <w:sz w:val="20"/>
              </w:rPr>
              <w:t>$</w:t>
            </w:r>
          </w:p>
        </w:tc>
        <w:tc>
          <w:tcPr>
            <w:tcW w:w="784" w:type="dxa"/>
            <w:tcBorders/>
            <w:shd w:fill="CCEEFF" w:val="clear"/>
            <w:tcMar>
              <w:bottom w:w="0" w:type="dxa"/>
            </w:tcMar>
            <w:vAlign w:val="center"/>
          </w:tcPr>
          <w:p>
            <w:pPr>
              <w:pStyle w:val="TableContents"/>
              <w:bidi w:val="0"/>
              <w:spacing w:before="0" w:after="283"/>
              <w:jc w:val="right"/>
              <w:rPr>
                <w:sz w:val="20"/>
              </w:rPr>
            </w:pPr>
            <w:r>
              <w:rPr>
                <w:sz w:val="20"/>
              </w:rPr>
              <w:t>(15,468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sz w:val="20"/>
              </w:rPr>
            </w:pPr>
            <w:r>
              <w:rPr>
                <w:sz w:val="20"/>
              </w:rPr>
              <w:t>$</w:t>
            </w:r>
          </w:p>
        </w:tc>
        <w:tc>
          <w:tcPr>
            <w:tcW w:w="690" w:type="dxa"/>
            <w:tcBorders/>
            <w:shd w:fill="CCEEFF" w:val="clear"/>
            <w:tcMar>
              <w:bottom w:w="0" w:type="dxa"/>
            </w:tcMar>
            <w:vAlign w:val="center"/>
          </w:tcPr>
          <w:p>
            <w:pPr>
              <w:pStyle w:val="TableContents"/>
              <w:bidi w:val="0"/>
              <w:spacing w:before="0" w:after="283"/>
              <w:jc w:val="right"/>
              <w:rPr>
                <w:sz w:val="20"/>
              </w:rPr>
            </w:pPr>
            <w:r>
              <w:rPr>
                <w:sz w:val="20"/>
              </w:rPr>
              <w:t>1,062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sz w:val="20"/>
              </w:rPr>
            </w:pPr>
            <w:r>
              <w:rPr>
                <w:sz w:val="20"/>
              </w:rPr>
              <w:t>-6.9</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2024 Compared to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left"/>
        <w:rPr>
          <w:caps w:val="false"/>
          <w:smallCaps w:val="false"/>
        </w:rPr>
      </w:pPr>
      <w:r>
        <w:rPr>
          <w:caps w:val="false"/>
          <w:smallCaps w:val="false"/>
        </w:rPr>
        <w:t> </w:t>
      </w:r>
    </w:p>
    <w:tbl>
      <w:tblPr>
        <w:tblW w:w="7246" w:type="dxa"/>
        <w:jc w:val="left"/>
        <w:tblInd w:w="0" w:type="dxa"/>
        <w:tblLayout w:type="fixed"/>
        <w:tblCellMar>
          <w:top w:w="0" w:type="dxa"/>
          <w:left w:w="0" w:type="dxa"/>
          <w:bottom w:w="0" w:type="dxa"/>
          <w:right w:w="0" w:type="dxa"/>
        </w:tblCellMar>
      </w:tblPr>
      <w:tblGrid>
        <w:gridCol w:w="1400"/>
        <w:gridCol w:w="60"/>
        <w:gridCol w:w="316"/>
        <w:gridCol w:w="1233"/>
        <w:gridCol w:w="60"/>
        <w:gridCol w:w="60"/>
        <w:gridCol w:w="316"/>
        <w:gridCol w:w="1233"/>
        <w:gridCol w:w="60"/>
        <w:gridCol w:w="60"/>
        <w:gridCol w:w="253"/>
        <w:gridCol w:w="801"/>
        <w:gridCol w:w="80"/>
        <w:gridCol w:w="60"/>
        <w:gridCol w:w="160"/>
        <w:gridCol w:w="894"/>
        <w:gridCol w:w="200"/>
      </w:tblGrid>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140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2,370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20"/>
              </w:rPr>
            </w:pPr>
            <w:r>
              <w:rPr>
                <w:sz w:val="20"/>
              </w:rPr>
              <w:t>$</w:t>
            </w:r>
          </w:p>
        </w:tc>
        <w:tc>
          <w:tcPr>
            <w:tcW w:w="801" w:type="dxa"/>
            <w:tcBorders/>
            <w:shd w:fill="CCEEFF" w:val="clear"/>
            <w:vAlign w:val="center"/>
          </w:tcPr>
          <w:p>
            <w:pPr>
              <w:pStyle w:val="TableContents"/>
              <w:bidi w:val="0"/>
              <w:spacing w:before="0" w:after="283"/>
              <w:jc w:val="right"/>
              <w:rPr>
                <w:sz w:val="20"/>
              </w:rPr>
            </w:pPr>
            <w:r>
              <w:rPr>
                <w:sz w:val="20"/>
              </w:rPr>
              <w:t>(222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sz w:val="20"/>
              </w:rPr>
            </w:pPr>
            <w:r>
              <w:rPr>
                <w:sz w:val="20"/>
              </w:rPr>
              <w:t>-9.4</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Banzai reported total revenue of approximately $2,148 thousand, representing a decrease of approximately $222 thousand, or approximately 9.4%, compared to the three months for the same period ended June 30, 2023. This decrease is primarily attributable to lower Reach revenue which declined by approximately $84 thousand due to a shift in Banzai’s focus to its Demio product and decision, which decision was reversed in the later part of Q1 2024, to begin phasing out the Reach product. In 2024 Banzai is revitalizing its focus on the Reach product through re-engineering and expanded sales efforts. Demio revenue was lower by approximately $133 thousand for the six months ended June 30, 2024 as compared to the six months ended June 30, 2023 due to churn and lower new sales period-over-period.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left"/>
        <w:rPr>
          <w:caps w:val="false"/>
          <w:smallCaps w:val="false"/>
        </w:rPr>
      </w:pPr>
      <w:r>
        <w:rPr>
          <w:caps w:val="false"/>
          <w:smallCaps w:val="false"/>
        </w:rPr>
        <w:t> </w:t>
      </w:r>
    </w:p>
    <w:tbl>
      <w:tblPr>
        <w:tblW w:w="7246" w:type="dxa"/>
        <w:jc w:val="left"/>
        <w:tblInd w:w="0" w:type="dxa"/>
        <w:tblLayout w:type="fixed"/>
        <w:tblCellMar>
          <w:top w:w="0" w:type="dxa"/>
          <w:left w:w="0" w:type="dxa"/>
          <w:bottom w:w="0" w:type="dxa"/>
          <w:right w:w="0" w:type="dxa"/>
        </w:tblCellMar>
      </w:tblPr>
      <w:tblGrid>
        <w:gridCol w:w="1400"/>
        <w:gridCol w:w="60"/>
        <w:gridCol w:w="419"/>
        <w:gridCol w:w="1130"/>
        <w:gridCol w:w="60"/>
        <w:gridCol w:w="60"/>
        <w:gridCol w:w="419"/>
        <w:gridCol w:w="1130"/>
        <w:gridCol w:w="60"/>
        <w:gridCol w:w="60"/>
        <w:gridCol w:w="317"/>
        <w:gridCol w:w="737"/>
        <w:gridCol w:w="80"/>
        <w:gridCol w:w="60"/>
        <w:gridCol w:w="126"/>
        <w:gridCol w:w="928"/>
        <w:gridCol w:w="200"/>
      </w:tblGrid>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140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Cost of revenue</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sz w:val="20"/>
              </w:rPr>
            </w:pPr>
            <w:r>
              <w:rPr>
                <w:sz w:val="20"/>
              </w:rPr>
              <w:t>$</w:t>
            </w:r>
          </w:p>
        </w:tc>
        <w:tc>
          <w:tcPr>
            <w:tcW w:w="1130" w:type="dxa"/>
            <w:tcBorders/>
            <w:shd w:fill="CCEEFF" w:val="clear"/>
            <w:vAlign w:val="center"/>
          </w:tcPr>
          <w:p>
            <w:pPr>
              <w:pStyle w:val="TableContents"/>
              <w:bidi w:val="0"/>
              <w:spacing w:before="0" w:after="283"/>
              <w:jc w:val="right"/>
              <w:rPr>
                <w:sz w:val="20"/>
              </w:rPr>
            </w:pPr>
            <w:r>
              <w:rPr>
                <w:sz w:val="20"/>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sz w:val="20"/>
              </w:rPr>
            </w:pPr>
            <w:r>
              <w:rPr>
                <w:sz w:val="20"/>
              </w:rPr>
              <w:t>$</w:t>
            </w:r>
          </w:p>
        </w:tc>
        <w:tc>
          <w:tcPr>
            <w:tcW w:w="1130" w:type="dxa"/>
            <w:tcBorders/>
            <w:shd w:fill="CCEEFF" w:val="clear"/>
            <w:vAlign w:val="center"/>
          </w:tcPr>
          <w:p>
            <w:pPr>
              <w:pStyle w:val="TableContents"/>
              <w:bidi w:val="0"/>
              <w:spacing w:before="0" w:after="283"/>
              <w:jc w:val="right"/>
              <w:rPr>
                <w:sz w:val="20"/>
              </w:rPr>
            </w:pPr>
            <w:r>
              <w:rPr>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20"/>
              </w:rPr>
            </w:pPr>
            <w:r>
              <w:rPr>
                <w:sz w:val="20"/>
              </w:rPr>
              <w:t>$</w:t>
            </w:r>
          </w:p>
        </w:tc>
        <w:tc>
          <w:tcPr>
            <w:tcW w:w="737" w:type="dxa"/>
            <w:tcBorders/>
            <w:shd w:fill="CCEEFF" w:val="clear"/>
            <w:vAlign w:val="center"/>
          </w:tcPr>
          <w:p>
            <w:pPr>
              <w:pStyle w:val="TableContents"/>
              <w:bidi w:val="0"/>
              <w:spacing w:before="0" w:after="283"/>
              <w:jc w:val="right"/>
              <w:rPr>
                <w:sz w:val="20"/>
              </w:rPr>
            </w:pPr>
            <w:r>
              <w:rPr>
                <w:sz w:val="20"/>
              </w:rPr>
              <w:t>(81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20"/>
              </w:rPr>
            </w:pPr>
            <w:r>
              <w:rPr>
                <w:sz w:val="20"/>
              </w:rPr>
              <w:t>-10.2</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and 2023, Banzai’s cost of revenue totaled approximately $711 thousand and approximately $792 thousand, respectively. This represents a decrease of approximately $81 thousand, or approximately 10.2%, for the six months ended June 30, 2024 as compared to the six months ended June 30, 2023, is due primarily to lower customer base and an approximately 13% lower average cost per customer, driven by lower infrastructure costs / data licenses of approximately $113 thousand, contracted services of approximately $46 thousand, subscription payroll of approximately $28 thousand, and merchant fee costs of approximately $7 thousand. The lower contracted services and data licenses cost described above were offset by the increase of the streaming services costs of approximately $113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hanging="0"/>
        <w:jc w:val="left"/>
        <w:rPr>
          <w:caps w:val="false"/>
          <w:smallCaps w:val="false"/>
        </w:rPr>
      </w:pPr>
      <w:r>
        <w:rPr>
          <w:caps w:val="false"/>
          <w:smallCaps w:val="false"/>
        </w:rPr>
        <w:t> </w:t>
      </w:r>
    </w:p>
    <w:tbl>
      <w:tblPr>
        <w:tblW w:w="7246" w:type="dxa"/>
        <w:jc w:val="left"/>
        <w:tblInd w:w="0" w:type="dxa"/>
        <w:tblLayout w:type="fixed"/>
        <w:tblCellMar>
          <w:top w:w="0" w:type="dxa"/>
          <w:left w:w="0" w:type="dxa"/>
          <w:bottom w:w="0" w:type="dxa"/>
          <w:right w:w="0" w:type="dxa"/>
        </w:tblCellMar>
      </w:tblPr>
      <w:tblGrid>
        <w:gridCol w:w="1400"/>
        <w:gridCol w:w="60"/>
        <w:gridCol w:w="316"/>
        <w:gridCol w:w="1233"/>
        <w:gridCol w:w="60"/>
        <w:gridCol w:w="60"/>
        <w:gridCol w:w="316"/>
        <w:gridCol w:w="1233"/>
        <w:gridCol w:w="60"/>
        <w:gridCol w:w="60"/>
        <w:gridCol w:w="253"/>
        <w:gridCol w:w="801"/>
        <w:gridCol w:w="80"/>
        <w:gridCol w:w="60"/>
        <w:gridCol w:w="160"/>
        <w:gridCol w:w="894"/>
        <w:gridCol w:w="200"/>
      </w:tblGrid>
      <w:tr>
        <w:trPr/>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140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1,437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20"/>
              </w:rPr>
            </w:pPr>
            <w:r>
              <w:rPr>
                <w:sz w:val="20"/>
              </w:rPr>
              <w:t>$</w:t>
            </w:r>
          </w:p>
        </w:tc>
        <w:tc>
          <w:tcPr>
            <w:tcW w:w="801" w:type="dxa"/>
            <w:tcBorders/>
            <w:shd w:fill="CCEEFF" w:val="clear"/>
            <w:vAlign w:val="center"/>
          </w:tcPr>
          <w:p>
            <w:pPr>
              <w:pStyle w:val="TableContents"/>
              <w:bidi w:val="0"/>
              <w:spacing w:before="0" w:after="283"/>
              <w:jc w:val="right"/>
              <w:rPr>
                <w:sz w:val="20"/>
              </w:rPr>
            </w:pPr>
            <w:r>
              <w:rPr>
                <w:sz w:val="20"/>
              </w:rPr>
              <w:t>(141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sz w:val="20"/>
              </w:rPr>
            </w:pPr>
            <w:r>
              <w:rPr>
                <w:sz w:val="20"/>
              </w:rPr>
              <w:t>-8.9</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and 2023, Banzai’s gross profit was approximately $1,437 thousand and approximately $1,578 thousand, respectively. This represents a decrease of approximately $141 thousand, or approximately 8.9% due to the decreases in revenue of approximately $222 thousand and decreases in cost of revenue of approximately $81 thousand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0" w:right="0" w:hanging="0"/>
        <w:jc w:val="left"/>
        <w:rPr>
          <w:caps w:val="false"/>
          <w:smallCaps w:val="false"/>
        </w:rPr>
      </w:pPr>
      <w:r>
        <w:rPr>
          <w:caps w:val="false"/>
          <w:smallCaps w:val="false"/>
        </w:rPr>
        <w:t> </w:t>
      </w:r>
    </w:p>
    <w:tbl>
      <w:tblPr>
        <w:tblW w:w="7901" w:type="dxa"/>
        <w:jc w:val="left"/>
        <w:tblInd w:w="0" w:type="dxa"/>
        <w:tblLayout w:type="fixed"/>
        <w:tblCellMar>
          <w:top w:w="0" w:type="dxa"/>
          <w:left w:w="0" w:type="dxa"/>
          <w:bottom w:w="0" w:type="dxa"/>
          <w:right w:w="0" w:type="dxa"/>
        </w:tblCellMar>
      </w:tblPr>
      <w:tblGrid>
        <w:gridCol w:w="2075"/>
        <w:gridCol w:w="60"/>
        <w:gridCol w:w="316"/>
        <w:gridCol w:w="1233"/>
        <w:gridCol w:w="60"/>
        <w:gridCol w:w="60"/>
        <w:gridCol w:w="316"/>
        <w:gridCol w:w="1233"/>
        <w:gridCol w:w="60"/>
        <w:gridCol w:w="60"/>
        <w:gridCol w:w="215"/>
        <w:gridCol w:w="839"/>
        <w:gridCol w:w="60"/>
        <w:gridCol w:w="60"/>
        <w:gridCol w:w="143"/>
        <w:gridCol w:w="911"/>
        <w:gridCol w:w="200"/>
      </w:tblGrid>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207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sz w:val="20"/>
              </w:rPr>
            </w:pPr>
            <w:r>
              <w:rPr>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8,631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6,103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839" w:type="dxa"/>
            <w:tcBorders/>
            <w:shd w:fill="CCEEFF" w:val="clear"/>
            <w:vAlign w:val="center"/>
          </w:tcPr>
          <w:p>
            <w:pPr>
              <w:pStyle w:val="TableContents"/>
              <w:bidi w:val="0"/>
              <w:spacing w:before="0" w:after="283"/>
              <w:jc w:val="right"/>
              <w:rPr>
                <w:sz w:val="20"/>
              </w:rPr>
            </w:pPr>
            <w:r>
              <w:rPr>
                <w:sz w:val="20"/>
              </w:rPr>
              <w:t>2,528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sz w:val="20"/>
              </w:rPr>
            </w:pPr>
            <w:r>
              <w:rPr>
                <w:sz w:val="20"/>
              </w:rPr>
              <w:t>41.4</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six months ended June 30, 2024 and 2023, were approximately $8.6 million and approximately $6.1 million, respectively, an increase of approximately $2.5 million, or 41.4%. This increase was due primarily to an overall increase in salaries and related expenses by approximately $0.5 million, marketing expenses by approximately $0.5 million, costs associated with audit, technical accounting, and legal and other professional services of approximately $1.5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0" w:right="0" w:hanging="0"/>
        <w:jc w:val="left"/>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2480"/>
        <w:gridCol w:w="60"/>
        <w:gridCol w:w="316"/>
        <w:gridCol w:w="1233"/>
        <w:gridCol w:w="60"/>
        <w:gridCol w:w="60"/>
        <w:gridCol w:w="316"/>
        <w:gridCol w:w="1233"/>
        <w:gridCol w:w="60"/>
        <w:gridCol w:w="60"/>
        <w:gridCol w:w="196"/>
        <w:gridCol w:w="858"/>
        <w:gridCol w:w="80"/>
        <w:gridCol w:w="60"/>
        <w:gridCol w:w="126"/>
        <w:gridCol w:w="928"/>
        <w:gridCol w:w="200"/>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sz w:val="20"/>
              </w:rPr>
            </w:pPr>
            <w:r>
              <w:rPr>
                <w:sz w:val="20"/>
              </w:rPr>
              <w:t>Total other expenses (income)</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1,465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2,711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sz w:val="20"/>
              </w:rPr>
            </w:pPr>
            <w:r>
              <w:rPr>
                <w:sz w:val="20"/>
              </w:rPr>
              <w:t>$</w:t>
            </w:r>
          </w:p>
        </w:tc>
        <w:tc>
          <w:tcPr>
            <w:tcW w:w="858" w:type="dxa"/>
            <w:tcBorders/>
            <w:shd w:fill="CCEEFF" w:val="clear"/>
            <w:vAlign w:val="center"/>
          </w:tcPr>
          <w:p>
            <w:pPr>
              <w:pStyle w:val="TableContents"/>
              <w:bidi w:val="0"/>
              <w:spacing w:before="0" w:after="283"/>
              <w:jc w:val="right"/>
              <w:rPr>
                <w:sz w:val="20"/>
              </w:rPr>
            </w:pPr>
            <w:r>
              <w:rPr>
                <w:sz w:val="20"/>
              </w:rPr>
              <w:t>(1,246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20"/>
              </w:rPr>
            </w:pPr>
            <w:r>
              <w:rPr>
                <w:sz w:val="20"/>
              </w:rPr>
              <w:t>-46.0</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Banzai reported total other expenses of approximately $1.5 million. This represents a decrease of approximately $1.2 million from the six months ended June 30, 2023, when the Company reported total other expenses of approximately $2.7 million. The change in other expenses,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GEM settlement commitment fee expense of approximately $0.2 million. </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Gain on extinguishment of debt of approximately $0.5 million.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changes in fair value of the simple agreement for future equity (“SAFEs”) during the six months ended June 30, 2024 relative to a loss of approximately $1.3 million, approximately $1.2 million of which related to related party SAFEs. All SAFEs notes were converted at the close of the Merger in December 2023. </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$0.2 million.</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 recorded as a gain (third party &amp; related party) of approximately $0.9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(third party and related party) decreased by approximately $0.2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fair value of bifurcated embedded derivative liabilities during the six months ended June 30, 2024 relative to a gain of approximately $0.5 million during the six months ended June 30,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recorded as a loss of approximately $0.6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7487" w:type="dxa"/>
        <w:jc w:val="left"/>
        <w:tblInd w:w="0" w:type="dxa"/>
        <w:tblLayout w:type="fixed"/>
        <w:tblCellMar>
          <w:top w:w="0" w:type="dxa"/>
          <w:left w:w="0" w:type="dxa"/>
          <w:bottom w:w="0" w:type="dxa"/>
          <w:right w:w="0" w:type="dxa"/>
        </w:tblCellMar>
      </w:tblPr>
      <w:tblGrid>
        <w:gridCol w:w="1640"/>
        <w:gridCol w:w="60"/>
        <w:gridCol w:w="775"/>
        <w:gridCol w:w="775"/>
        <w:gridCol w:w="60"/>
        <w:gridCol w:w="60"/>
        <w:gridCol w:w="544"/>
        <w:gridCol w:w="1005"/>
        <w:gridCol w:w="60"/>
        <w:gridCol w:w="60"/>
        <w:gridCol w:w="317"/>
        <w:gridCol w:w="737"/>
        <w:gridCol w:w="80"/>
        <w:gridCol w:w="60"/>
        <w:gridCol w:w="126"/>
        <w:gridCol w:w="928"/>
        <w:gridCol w:w="20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left"/>
              <w:rPr>
                <w:sz w:val="20"/>
              </w:rPr>
            </w:pPr>
            <w:r>
              <w:rPr>
                <w:sz w:val="20"/>
              </w:rPr>
              <w:t>$</w:t>
            </w:r>
          </w:p>
        </w:tc>
        <w:tc>
          <w:tcPr>
            <w:tcW w:w="775" w:type="dxa"/>
            <w:tcBorders/>
            <w:shd w:fill="CCEEFF" w:val="clear"/>
            <w:vAlign w:val="center"/>
          </w:tcPr>
          <w:p>
            <w:pPr>
              <w:pStyle w:val="TableContents"/>
              <w:bidi w:val="0"/>
              <w:spacing w:before="0" w:after="283"/>
              <w:jc w:val="right"/>
              <w:rPr>
                <w:sz w:val="20"/>
              </w:rPr>
            </w:pPr>
            <w:r>
              <w:rPr>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sz w:val="20"/>
              </w:rPr>
            </w:pPr>
            <w:r>
              <w:rPr>
                <w:sz w:val="20"/>
              </w:rPr>
              <w:t>$</w:t>
            </w:r>
          </w:p>
        </w:tc>
        <w:tc>
          <w:tcPr>
            <w:tcW w:w="1005" w:type="dxa"/>
            <w:tcBorders/>
            <w:shd w:fill="CCEEFF" w:val="clear"/>
            <w:vAlign w:val="center"/>
          </w:tcPr>
          <w:p>
            <w:pPr>
              <w:pStyle w:val="TableContents"/>
              <w:bidi w:val="0"/>
              <w:spacing w:before="0" w:after="283"/>
              <w:jc w:val="right"/>
              <w:rPr>
                <w:sz w:val="20"/>
              </w:rPr>
            </w:pPr>
            <w:r>
              <w:rPr>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sz w:val="20"/>
              </w:rPr>
            </w:pPr>
            <w:r>
              <w:rPr>
                <w:sz w:val="20"/>
              </w:rPr>
              <w:t>$</w:t>
            </w:r>
          </w:p>
        </w:tc>
        <w:tc>
          <w:tcPr>
            <w:tcW w:w="737" w:type="dxa"/>
            <w:tcBorders/>
            <w:shd w:fill="CCEEFF" w:val="clear"/>
            <w:vAlign w:val="center"/>
          </w:tcPr>
          <w:p>
            <w:pPr>
              <w:pStyle w:val="TableContents"/>
              <w:bidi w:val="0"/>
              <w:spacing w:before="0" w:after="283"/>
              <w:jc w:val="right"/>
              <w:rPr>
                <w:sz w:val="20"/>
              </w:rPr>
            </w:pPr>
            <w:r>
              <w:rPr>
                <w:sz w:val="20"/>
              </w:rPr>
              <w:t>(10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sz w:val="20"/>
              </w:rPr>
            </w:pPr>
            <w:r>
              <w:rPr>
                <w:sz w:val="20"/>
              </w:rPr>
              <w:t>-62.5</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and 2023, Banzai’s reported provision for income tax expense was $6 thousand and $16 thousand,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2024, Banzai had no unrecognized tax benefits that would reduce Banzai’s effective tax rate if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Analysis</w:t>
      </w:r>
    </w:p>
    <w:p>
      <w:pPr>
        <w:pStyle w:val="TextBody"/>
        <w:bidi w:val="0"/>
        <w:spacing w:before="0" w:after="0"/>
        <w:ind w:left="0" w:right="0" w:hanging="0"/>
        <w:jc w:val="left"/>
        <w:rPr>
          <w:caps w:val="false"/>
          <w:smallCaps w:val="false"/>
        </w:rPr>
      </w:pPr>
      <w:r>
        <w:rPr>
          <w:caps w:val="false"/>
          <w:smallCaps w:val="false"/>
        </w:rPr>
        <w:t> </w:t>
      </w:r>
    </w:p>
    <w:tbl>
      <w:tblPr>
        <w:tblW w:w="8561" w:type="dxa"/>
        <w:jc w:val="left"/>
        <w:tblInd w:w="0" w:type="dxa"/>
        <w:tblLayout w:type="fixed"/>
        <w:tblCellMar>
          <w:top w:w="0" w:type="dxa"/>
          <w:left w:w="0" w:type="dxa"/>
          <w:bottom w:w="0" w:type="dxa"/>
          <w:right w:w="0" w:type="dxa"/>
        </w:tblCellMar>
      </w:tblPr>
      <w:tblGrid>
        <w:gridCol w:w="1640"/>
        <w:gridCol w:w="60"/>
        <w:gridCol w:w="333"/>
        <w:gridCol w:w="1516"/>
        <w:gridCol w:w="95"/>
        <w:gridCol w:w="60"/>
        <w:gridCol w:w="333"/>
        <w:gridCol w:w="1516"/>
        <w:gridCol w:w="95"/>
        <w:gridCol w:w="60"/>
        <w:gridCol w:w="222"/>
        <w:gridCol w:w="1012"/>
        <w:gridCol w:w="95"/>
        <w:gridCol w:w="60"/>
        <w:gridCol w:w="147"/>
        <w:gridCol w:w="1087"/>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center"/>
              <w:rPr>
                <w:b/>
                <w:i/>
              </w:rPr>
            </w:pPr>
            <w:r>
              <w:rPr>
                <w:b/>
                <w:i/>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vAlign w:val="center"/>
          </w:tcPr>
          <w:p>
            <w:pPr>
              <w:pStyle w:val="TableContents"/>
              <w:bidi w:val="0"/>
              <w:spacing w:before="0" w:after="283"/>
              <w:jc w:val="center"/>
              <w:rPr>
                <w:b/>
                <w:i/>
              </w:rPr>
            </w:pPr>
            <w:r>
              <w:rPr>
                <w:b/>
                <w:i/>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i/>
              </w:rPr>
            </w:pPr>
            <w:r>
              <w:rPr>
                <w:b/>
                <w:i/>
              </w:rPr>
              <w:t>Period-over-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i/>
              </w:rPr>
            </w:pPr>
            <w:r>
              <w:rPr>
                <w:b/>
                <w:i/>
              </w:rPr>
              <w:t>Period-over-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Period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Period %</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(8,665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516" w:type="dxa"/>
            <w:tcBorders/>
            <w:shd w:fill="CCEEFF" w:val="clear"/>
            <w:vAlign w:val="center"/>
          </w:tcPr>
          <w:p>
            <w:pPr>
              <w:pStyle w:val="TableContents"/>
              <w:bidi w:val="0"/>
              <w:spacing w:before="0" w:after="283"/>
              <w:jc w:val="right"/>
              <w:rPr/>
            </w:pPr>
            <w:r>
              <w:rPr/>
              <w:t>(7,251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(1,414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19.5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and 2023, Banzai reported net losses of approximately $8.7 million and approximately $7.3 million, respectively. The greater net loss is primarily due to a reduction in total other expenses of approximately $1.2 million during the six months ended June 30, 2024 compared to the six months ended June 30, 2023, offset by an increase in operating expenses of approximately $2.5 million and a decrease in gross profit of approximately $0.1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2023 Compared to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left"/>
        <w:rPr>
          <w:caps w:val="false"/>
          <w:smallCaps w:val="false"/>
        </w:rPr>
      </w:pPr>
      <w:r>
        <w:rPr>
          <w:caps w:val="false"/>
          <w:smallCaps w:val="false"/>
        </w:rPr>
        <w:t> </w:t>
      </w:r>
    </w:p>
    <w:tbl>
      <w:tblPr>
        <w:tblW w:w="6106" w:type="dxa"/>
        <w:jc w:val="left"/>
        <w:tblInd w:w="0" w:type="dxa"/>
        <w:tblLayout w:type="fixed"/>
        <w:tblCellMar>
          <w:top w:w="0" w:type="dxa"/>
          <w:left w:w="0" w:type="dxa"/>
          <w:bottom w:w="28" w:type="dxa"/>
          <w:right w:w="0" w:type="dxa"/>
        </w:tblCellMar>
      </w:tblPr>
      <w:tblGrid>
        <w:gridCol w:w="1400"/>
        <w:gridCol w:w="60"/>
        <w:gridCol w:w="234"/>
        <w:gridCol w:w="910"/>
        <w:gridCol w:w="60"/>
        <w:gridCol w:w="60"/>
        <w:gridCol w:w="234"/>
        <w:gridCol w:w="910"/>
        <w:gridCol w:w="60"/>
        <w:gridCol w:w="60"/>
        <w:gridCol w:w="213"/>
        <w:gridCol w:w="676"/>
        <w:gridCol w:w="80"/>
        <w:gridCol w:w="60"/>
        <w:gridCol w:w="106"/>
        <w:gridCol w:w="783"/>
        <w:gridCol w:w="200"/>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Banzai reported total revenue of $4.6 million, representing a decrease of $0.8 million, or approximately 14.5%, over 2022. This decrease is primarily attributable to lower Reach revenue which declined by approximately $0.55 million due to a shift in Banzai’s focus to its Demio product and decision, which decision was reversed in 2024, to begin phasing out the Reach product. In 2024 Banzai is revitalizing its focus on the Reach product through re-engineering and expanded sales efforts. Demio revenue was lower by $0.19 million in 2023 as compared to 2022 due to churn and lower new sales year-over-year.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left"/>
        <w:rPr>
          <w:caps w:val="false"/>
          <w:smallCaps w:val="false"/>
        </w:rPr>
      </w:pPr>
      <w:r>
        <w:rPr>
          <w:caps w:val="false"/>
          <w:smallCaps w:val="false"/>
        </w:rPr>
        <w:t> </w:t>
      </w:r>
    </w:p>
    <w:tbl>
      <w:tblPr>
        <w:tblW w:w="6106" w:type="dxa"/>
        <w:jc w:val="left"/>
        <w:tblInd w:w="0" w:type="dxa"/>
        <w:tblLayout w:type="fixed"/>
        <w:tblCellMar>
          <w:top w:w="0" w:type="dxa"/>
          <w:left w:w="0" w:type="dxa"/>
          <w:bottom w:w="28" w:type="dxa"/>
          <w:right w:w="0" w:type="dxa"/>
        </w:tblCellMar>
      </w:tblPr>
      <w:tblGrid>
        <w:gridCol w:w="1400"/>
        <w:gridCol w:w="60"/>
        <w:gridCol w:w="234"/>
        <w:gridCol w:w="910"/>
        <w:gridCol w:w="60"/>
        <w:gridCol w:w="60"/>
        <w:gridCol w:w="234"/>
        <w:gridCol w:w="910"/>
        <w:gridCol w:w="60"/>
        <w:gridCol w:w="60"/>
        <w:gridCol w:w="213"/>
        <w:gridCol w:w="676"/>
        <w:gridCol w:w="80"/>
        <w:gridCol w:w="60"/>
        <w:gridCol w:w="106"/>
        <w:gridCol w:w="783"/>
        <w:gridCol w:w="200"/>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Banzai’s cost of revenue totaled $1.4 million and $2.0 million, respectively. This represents a decrease of $0.5 million, or approximately 26.2%, in 2023 compared to 2022, due primarily to lower customer base and an approximately 5% lower cost per average customer, driven by lower contracted services and data licenses costs of approximately $0.3 million and $0.2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hanging="0"/>
        <w:jc w:val="left"/>
        <w:rPr>
          <w:caps w:val="false"/>
          <w:smallCaps w:val="false"/>
        </w:rPr>
      </w:pPr>
      <w:r>
        <w:rPr>
          <w:caps w:val="false"/>
          <w:smallCaps w:val="false"/>
        </w:rPr>
        <w:t> </w:t>
      </w:r>
    </w:p>
    <w:tbl>
      <w:tblPr>
        <w:tblW w:w="6106" w:type="dxa"/>
        <w:jc w:val="left"/>
        <w:tblInd w:w="0" w:type="dxa"/>
        <w:tblLayout w:type="fixed"/>
        <w:tblCellMar>
          <w:top w:w="0" w:type="dxa"/>
          <w:left w:w="0" w:type="dxa"/>
          <w:bottom w:w="28" w:type="dxa"/>
          <w:right w:w="0" w:type="dxa"/>
        </w:tblCellMar>
      </w:tblPr>
      <w:tblGrid>
        <w:gridCol w:w="1400"/>
        <w:gridCol w:w="60"/>
        <w:gridCol w:w="234"/>
        <w:gridCol w:w="910"/>
        <w:gridCol w:w="60"/>
        <w:gridCol w:w="60"/>
        <w:gridCol w:w="234"/>
        <w:gridCol w:w="910"/>
        <w:gridCol w:w="60"/>
        <w:gridCol w:w="60"/>
        <w:gridCol w:w="213"/>
        <w:gridCol w:w="676"/>
        <w:gridCol w:w="80"/>
        <w:gridCol w:w="60"/>
        <w:gridCol w:w="135"/>
        <w:gridCol w:w="754"/>
        <w:gridCol w:w="200"/>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Banzai’s gross profit was $3.1 million and $3.4 million, respectively. This represents a year-over-year decrease of $0.3 million, or approximately 7.7% due to the decreases in revenue of $0.8 million and decreases in cost of revenue of $0.5 million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0" w:right="0" w:hanging="0"/>
        <w:jc w:val="left"/>
        <w:rPr>
          <w:caps w:val="false"/>
          <w:smallCaps w:val="false"/>
        </w:rPr>
      </w:pPr>
      <w:r>
        <w:rPr>
          <w:caps w:val="false"/>
          <w:smallCaps w:val="false"/>
        </w:rPr>
        <w:t> </w:t>
      </w:r>
    </w:p>
    <w:tbl>
      <w:tblPr>
        <w:tblW w:w="6446" w:type="dxa"/>
        <w:jc w:val="left"/>
        <w:tblInd w:w="0" w:type="dxa"/>
        <w:tblLayout w:type="fixed"/>
        <w:tblCellMar>
          <w:top w:w="0" w:type="dxa"/>
          <w:left w:w="0" w:type="dxa"/>
          <w:bottom w:w="28" w:type="dxa"/>
          <w:right w:w="0" w:type="dxa"/>
        </w:tblCellMar>
      </w:tblPr>
      <w:tblGrid>
        <w:gridCol w:w="2075"/>
        <w:gridCol w:w="60"/>
        <w:gridCol w:w="199"/>
        <w:gridCol w:w="945"/>
        <w:gridCol w:w="60"/>
        <w:gridCol w:w="60"/>
        <w:gridCol w:w="234"/>
        <w:gridCol w:w="910"/>
        <w:gridCol w:w="60"/>
        <w:gridCol w:w="60"/>
        <w:gridCol w:w="182"/>
        <w:gridCol w:w="707"/>
        <w:gridCol w:w="60"/>
        <w:gridCol w:w="60"/>
        <w:gridCol w:w="78"/>
        <w:gridCol w:w="496"/>
        <w:gridCol w:w="200"/>
      </w:tblGrid>
      <w:tr>
        <w:trPr/>
        <w:tc>
          <w:tcPr>
            <w:tcW w:w="20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years ended December 31, 2023 and 2022, were $12.9 million and $9.6 million, respectively, signifying a year-over-year increase of approximately $3.3 million, or 34.7%. This increase was due primarily to fees associated with the Business Combination and the initial public offering of our predecessor, 7GC, including the cost associated with audit, technical accounting, legal and other professional services of approximately $3.7 million, primarily offset by the loss on impairment of lease of $0.3 million.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0" w:right="0" w:hanging="0"/>
        <w:jc w:val="left"/>
        <w:rPr>
          <w:caps w:val="false"/>
          <w:smallCaps w:val="false"/>
        </w:rPr>
      </w:pPr>
      <w:r>
        <w:rPr>
          <w:caps w:val="false"/>
          <w:smallCaps w:val="false"/>
        </w:rPr>
        <w:t> </w:t>
      </w:r>
    </w:p>
    <w:tbl>
      <w:tblPr>
        <w:tblW w:w="6653" w:type="dxa"/>
        <w:jc w:val="left"/>
        <w:tblInd w:w="0" w:type="dxa"/>
        <w:tblLayout w:type="fixed"/>
        <w:tblCellMar>
          <w:top w:w="0" w:type="dxa"/>
          <w:left w:w="0" w:type="dxa"/>
          <w:bottom w:w="28" w:type="dxa"/>
          <w:right w:w="0" w:type="dxa"/>
        </w:tblCellMar>
      </w:tblPr>
      <w:tblGrid>
        <w:gridCol w:w="2480"/>
        <w:gridCol w:w="60"/>
        <w:gridCol w:w="234"/>
        <w:gridCol w:w="910"/>
        <w:gridCol w:w="60"/>
        <w:gridCol w:w="60"/>
        <w:gridCol w:w="234"/>
        <w:gridCol w:w="910"/>
        <w:gridCol w:w="60"/>
        <w:gridCol w:w="60"/>
        <w:gridCol w:w="125"/>
        <w:gridCol w:w="545"/>
        <w:gridCol w:w="80"/>
        <w:gridCol w:w="60"/>
        <w:gridCol w:w="69"/>
        <w:gridCol w:w="506"/>
        <w:gridCol w:w="200"/>
      </w:tblGrid>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Banzai reported total other expenses of $4.6 million. This represents a decrease of $4.6 million from the year ended December 31, 2022, when the Company reported total other expenses of $9.3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associated with the Yorkville SEPA, of $3.8 million. </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GEM warrants issued as a financing expense of approximately $2.4 million. </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GEM commitment fee expense of $2.0 million.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fair value of the simple agreement for future equity (“SAFEs”) was a gain of $3.0 million in 2023, of which $2.8 million pertained to related party SAFEs. This represents a net change of $7.3 million from the 2022 loss of $4.4 million, $4.1 million of which related to related party SAFEs.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modification of SAFEs was $1.7 million in 2022, $1.6 million of which was related to related party SAFEs, with no equivalent modification or resulting gain or loss in 2023.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fair value of warrant liability was a gain of $1.7 million in 2023, with a loss of $0.1 million related to related party warrant liabilities. These warrants, both third party and related party, were issued and assumed in 2023, and as such, there was no equivalent gain or loss on warrant liabilities in 2022.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increased by $3.2 million ($2.2 million due to related party) year-over-year to $5.6 million for the year ended December 31, 2023 ($2.9 million for related party) due to the company raising additional interest bearing debt during 2023.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fair value of bifurcated embedded derivative liabilities was a gain of $4.5 million ($3.1 million for related party) as of December 31, 2023, relative to a loss of $0.9 million in 2022.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6756" w:type="dxa"/>
        <w:jc w:val="left"/>
        <w:tblInd w:w="0" w:type="dxa"/>
        <w:tblLayout w:type="fixed"/>
        <w:tblCellMar>
          <w:top w:w="0" w:type="dxa"/>
          <w:left w:w="0" w:type="dxa"/>
          <w:bottom w:w="28" w:type="dxa"/>
          <w:right w:w="0" w:type="dxa"/>
        </w:tblCellMar>
      </w:tblPr>
      <w:tblGrid>
        <w:gridCol w:w="2195"/>
        <w:gridCol w:w="60"/>
        <w:gridCol w:w="697"/>
        <w:gridCol w:w="447"/>
        <w:gridCol w:w="60"/>
        <w:gridCol w:w="60"/>
        <w:gridCol w:w="571"/>
        <w:gridCol w:w="573"/>
        <w:gridCol w:w="60"/>
        <w:gridCol w:w="60"/>
        <w:gridCol w:w="542"/>
        <w:gridCol w:w="347"/>
        <w:gridCol w:w="60"/>
        <w:gridCol w:w="60"/>
        <w:gridCol w:w="158"/>
        <w:gridCol w:w="731"/>
        <w:gridCol w:w="75"/>
      </w:tblGrid>
      <w:tr>
        <w:trPr/>
        <w:tc>
          <w:tcPr>
            <w:tcW w:w="21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Banzai’s reported provision for income tax expense was $0.0 million and $0.0 million, respectively. There was no year-over-year increase or decrease to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federal and state net operating loss carryforwards of approximately $26,705,200 and $13,043,900, respectively. As of December 31, 2022, the Company had federal and state net operating loss carryforwards of approximately $15,325,300 and $9,175,400, respectively. Federal losses of $124,500 begin to expire in 2036 and $26,580,700 of the federal losses carryforward indefinitely. State losses of $10,666,100 begin to expire in 2031 and $2,377,800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has determined, based upon available evidence, that it is more likely than not that all of the net deferred tax assets will not be realized and, accordingly, has provided a full valuation allowance against its net deferred tax asset. Management considers the scheduled reversal of deferred tax liabilities, projected future taxable income, net operating loss carryback potential, and tax planning strategies in making these assessments. Banzai has determined that it had no material uncertain tax benefits for the years ended December 31, 2023 and 2022.</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recognizes interest accrued for unrecognized tax benefits and penalties in interest expense and penalties in operating expense. No amounts were accrued for the payment of interest and penalties at December 31, 2023, and 2022. Banzai files tax returns as prescribed by the tax laws of the jurisdictions in which it operates. In the normal course of business, Banzai is subject to examination by federal and state jurisdictions where applicable based on the statute of limitations that apply in each jurisdiction. Our 2016 and subsequent tax years remain open to examination by the IRS. Banzai had no open tax audits with any taxing authority as of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Analysis</w:t>
      </w:r>
    </w:p>
    <w:p>
      <w:pPr>
        <w:pStyle w:val="TextBody"/>
        <w:bidi w:val="0"/>
        <w:spacing w:before="0" w:after="0"/>
        <w:ind w:left="0" w:right="0" w:hanging="0"/>
        <w:jc w:val="left"/>
        <w:rPr>
          <w:caps w:val="false"/>
          <w:smallCaps w:val="false"/>
        </w:rPr>
      </w:pPr>
      <w:r>
        <w:rPr>
          <w:caps w:val="false"/>
          <w:smallCaps w:val="false"/>
        </w:rPr>
        <w:t> </w:t>
      </w:r>
    </w:p>
    <w:tbl>
      <w:tblPr>
        <w:tblW w:w="6171" w:type="dxa"/>
        <w:jc w:val="left"/>
        <w:tblInd w:w="0" w:type="dxa"/>
        <w:tblLayout w:type="fixed"/>
        <w:tblCellMar>
          <w:top w:w="0" w:type="dxa"/>
          <w:left w:w="0" w:type="dxa"/>
          <w:bottom w:w="28" w:type="dxa"/>
          <w:right w:w="0" w:type="dxa"/>
        </w:tblCellMar>
      </w:tblPr>
      <w:tblGrid>
        <w:gridCol w:w="1400"/>
        <w:gridCol w:w="60"/>
        <w:gridCol w:w="184"/>
        <w:gridCol w:w="960"/>
        <w:gridCol w:w="80"/>
        <w:gridCol w:w="60"/>
        <w:gridCol w:w="184"/>
        <w:gridCol w:w="960"/>
        <w:gridCol w:w="80"/>
        <w:gridCol w:w="60"/>
        <w:gridCol w:w="191"/>
        <w:gridCol w:w="743"/>
        <w:gridCol w:w="60"/>
        <w:gridCol w:w="60"/>
        <w:gridCol w:w="135"/>
        <w:gridCol w:w="754"/>
        <w:gridCol w:w="200"/>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Banzai reported net losses of $14.4 million and $15.5 million, respectively. This improvement is primarily due to a reduction in total other expenses of $4.6 million in 2023 compared to 2022, offset by an increase in operating expenses of $3.3 million and a decrease in gross profit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2023, the Company had one operating segment, which was deemed to be its reporting unit, for the purpose of evaluating goodwill impairment.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Recognition and measurement of convertible and Simple Agreement for Future Equity (SAFE) notes, including the associated embedded derivatives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SAFEs at fair value in accordance with Accounting Standards Codification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The SAFEs are subject to revaluation at the end of each reporting period, with changes in fair value recognized in the accompanying Consolidated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Determination of the fair value of the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The determination of the fair value of the warrant liabilities may be subject to change as more current information becomes available and accordingly the actual results could differ significantly. Warrant liabilities are classified as current liabilities on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as the holder’s ability to receive one percent of the total consideration received by the Company’s stockholders in connection with a Change of Control in lieu of the GEM Warrant,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The Company determined the GEM Warrants were share issuance costs associated with an aborted offering. Aborted offering costs may not be deferred and charged against proceeds of a subsequent offering. As such, the Company recorded an expense for the corresponding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stock-based compensation to employees and non-employees over the requisite service period based on the estimated grant-date fair value of the awards in accordance with ASC 718, Stock Compensation.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does not consider the potentially dilutive impact of stock-based compensation;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 </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does not reflect impairment and restructuring costs; </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does not reflect interest expense or other income; </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does not reflect income taxes;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does not reflect audit, legal, incremental accounting and other expenses tied to M&amp;A or the Business Combination;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companies, including companies in our own industry, may calculate Adjusted EBITDA differently from the way we do, limiting its usefulness as a comparative measure.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 for the six months ended June 30, 2024 and 2023</w:t>
      </w:r>
    </w:p>
    <w:p>
      <w:pPr>
        <w:pStyle w:val="TextBody"/>
        <w:bidi w:val="0"/>
        <w:spacing w:before="0" w:after="0"/>
        <w:ind w:left="0" w:right="0" w:hanging="0"/>
        <w:jc w:val="both"/>
        <w:rPr>
          <w:caps w:val="false"/>
          <w:smallCaps w:val="false"/>
        </w:rPr>
      </w:pPr>
      <w:r>
        <w:rPr>
          <w:caps w:val="false"/>
          <w:smallCaps w:val="false"/>
        </w:rPr>
        <w:t> </w:t>
      </w:r>
    </w:p>
    <w:tbl>
      <w:tblPr>
        <w:tblW w:w="7946" w:type="dxa"/>
        <w:jc w:val="left"/>
        <w:tblInd w:w="0" w:type="dxa"/>
        <w:tblLayout w:type="fixed"/>
        <w:tblCellMar>
          <w:top w:w="0" w:type="dxa"/>
          <w:left w:w="0" w:type="dxa"/>
          <w:bottom w:w="0" w:type="dxa"/>
          <w:right w:w="0" w:type="dxa"/>
        </w:tblCellMar>
      </w:tblPr>
      <w:tblGrid>
        <w:gridCol w:w="2060"/>
        <w:gridCol w:w="60"/>
        <w:gridCol w:w="287"/>
        <w:gridCol w:w="1262"/>
        <w:gridCol w:w="80"/>
        <w:gridCol w:w="60"/>
        <w:gridCol w:w="287"/>
        <w:gridCol w:w="1262"/>
        <w:gridCol w:w="80"/>
        <w:gridCol w:w="60"/>
        <w:gridCol w:w="196"/>
        <w:gridCol w:w="858"/>
        <w:gridCol w:w="80"/>
        <w:gridCol w:w="60"/>
        <w:gridCol w:w="115"/>
        <w:gridCol w:w="939"/>
        <w:gridCol w:w="200"/>
      </w:tblGrid>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206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sz w:val="20"/>
              </w:rPr>
            </w:pPr>
            <w:r>
              <w:rPr>
                <w:sz w:val="20"/>
              </w:rPr>
              <w:t>Adjusted EBITDA (Loss)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20"/>
              </w:rPr>
            </w:pPr>
            <w:r>
              <w:rPr>
                <w:sz w:val="20"/>
              </w:rPr>
              <w:t>$</w:t>
            </w:r>
          </w:p>
        </w:tc>
        <w:tc>
          <w:tcPr>
            <w:tcW w:w="1262" w:type="dxa"/>
            <w:tcBorders/>
            <w:shd w:fill="CCEEFF" w:val="clear"/>
            <w:vAlign w:val="center"/>
          </w:tcPr>
          <w:p>
            <w:pPr>
              <w:pStyle w:val="TableContents"/>
              <w:bidi w:val="0"/>
              <w:spacing w:before="0" w:after="283"/>
              <w:jc w:val="right"/>
              <w:rPr>
                <w:sz w:val="20"/>
              </w:rPr>
            </w:pPr>
            <w:r>
              <w:rPr>
                <w:sz w:val="20"/>
              </w:rPr>
              <w:t>(3,351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sz w:val="20"/>
              </w:rPr>
            </w:pPr>
            <w:r>
              <w:rPr>
                <w:sz w:val="20"/>
              </w:rPr>
              <w:t>$</w:t>
            </w:r>
          </w:p>
        </w:tc>
        <w:tc>
          <w:tcPr>
            <w:tcW w:w="1262" w:type="dxa"/>
            <w:tcBorders/>
            <w:shd w:fill="CCEEFF" w:val="clear"/>
            <w:vAlign w:val="center"/>
          </w:tcPr>
          <w:p>
            <w:pPr>
              <w:pStyle w:val="TableContents"/>
              <w:bidi w:val="0"/>
              <w:spacing w:before="0" w:after="283"/>
              <w:jc w:val="right"/>
              <w:rPr>
                <w:sz w:val="20"/>
              </w:rPr>
            </w:pPr>
            <w:r>
              <w:rPr>
                <w:sz w:val="20"/>
              </w:rPr>
              <w:t>(1,562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sz w:val="20"/>
              </w:rPr>
            </w:pPr>
            <w:r>
              <w:rPr>
                <w:sz w:val="20"/>
              </w:rPr>
              <w:t>$</w:t>
            </w:r>
          </w:p>
        </w:tc>
        <w:tc>
          <w:tcPr>
            <w:tcW w:w="858" w:type="dxa"/>
            <w:tcBorders/>
            <w:shd w:fill="CCEEFF" w:val="clear"/>
            <w:vAlign w:val="center"/>
          </w:tcPr>
          <w:p>
            <w:pPr>
              <w:pStyle w:val="TableContents"/>
              <w:bidi w:val="0"/>
              <w:spacing w:before="0" w:after="283"/>
              <w:jc w:val="right"/>
              <w:rPr>
                <w:sz w:val="20"/>
              </w:rPr>
            </w:pPr>
            <w:r>
              <w:rPr>
                <w:sz w:val="20"/>
              </w:rPr>
              <w:t>(1,789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sz w:val="20"/>
              </w:rPr>
            </w:pPr>
            <w:r>
              <w:rPr>
                <w:sz w:val="20"/>
              </w:rPr>
              <w:t>114.5</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Banzai’s Adjusted EBITDA was approximately $3,552 thousand, reflecting a decrease in the earnings of approximately $2,159 thousand compared to a loss of approximately $1,393 thousand for the six months ended June 30, 2023. This period-over-period decrease in earnings is primarily attributable to increased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Income/(Loss) to Adjusted EBITDA Reconciliation for the </w:t>
      </w:r>
      <w:r>
        <w:rPr>
          <w:rFonts w:ascii="Times New Roman;Times;Serif" w:hAnsi="Times New Roman;Times;Serif"/>
          <w:b/>
          <w:i/>
          <w:caps w:val="false"/>
          <w:smallCaps w:val="false"/>
          <w:sz w:val="20"/>
        </w:rPr>
        <w:t>six months ended June 30, 2024 and 2023</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96"/>
        <w:gridCol w:w="60"/>
        <w:gridCol w:w="236"/>
        <w:gridCol w:w="1041"/>
        <w:gridCol w:w="80"/>
        <w:gridCol w:w="60"/>
        <w:gridCol w:w="236"/>
        <w:gridCol w:w="1041"/>
        <w:gridCol w:w="80"/>
        <w:gridCol w:w="60"/>
        <w:gridCol w:w="192"/>
        <w:gridCol w:w="843"/>
        <w:gridCol w:w="80"/>
        <w:gridCol w:w="60"/>
        <w:gridCol w:w="101"/>
        <w:gridCol w:w="934"/>
        <w:gridCol w:w="205"/>
      </w:tblGrid>
      <w:tr>
        <w:trPr/>
        <w:tc>
          <w:tcPr>
            <w:tcW w:w="4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center"/>
              <w:rPr>
                <w:b/>
                <w:i/>
                <w:sz w:val="20"/>
              </w:rPr>
            </w:pPr>
            <w:r>
              <w:rPr>
                <w:b/>
                <w:i/>
                <w:sz w:val="20"/>
              </w:rPr>
              <w:t>Six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center"/>
              <w:rPr>
                <w:b/>
                <w:i/>
                <w:sz w:val="20"/>
              </w:rPr>
            </w:pPr>
            <w:r>
              <w:rPr>
                <w:b/>
                <w:i/>
                <w:sz w:val="20"/>
              </w:rPr>
              <w:t>Six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center"/>
              <w:rPr>
                <w:b/>
                <w:i/>
                <w:sz w:val="20"/>
              </w:rPr>
            </w:pPr>
            <w:r>
              <w:rPr>
                <w:b/>
                <w:i/>
                <w:sz w:val="20"/>
              </w:rPr>
              <w:t>Period-over-</w:t>
            </w:r>
          </w:p>
        </w:tc>
        <w:tc>
          <w:tcPr>
            <w:tcW w:w="205" w:type="dxa"/>
            <w:tcBorders/>
            <w:vAlign w:val="center"/>
          </w:tcPr>
          <w:p>
            <w:pPr>
              <w:pStyle w:val="TableContents"/>
              <w:bidi w:val="0"/>
              <w:spacing w:before="0" w:after="283"/>
              <w:jc w:val="left"/>
              <w:rPr/>
            </w:pPr>
            <w:r>
              <w:rPr/>
              <w:t> </w:t>
            </w:r>
          </w:p>
        </w:tc>
      </w:tr>
      <w:tr>
        <w:trPr/>
        <w:tc>
          <w:tcPr>
            <w:tcW w:w="4896"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5" w:type="dxa"/>
            <w:tcBorders/>
            <w:vAlign w:val="center"/>
          </w:tcPr>
          <w:p>
            <w:pPr>
              <w:pStyle w:val="TableContents"/>
              <w:bidi w:val="0"/>
              <w:spacing w:before="0" w:after="283"/>
              <w:jc w:val="left"/>
              <w:rPr/>
            </w:pPr>
            <w:r>
              <w:rPr/>
              <w:t> </w:t>
            </w:r>
          </w:p>
        </w:tc>
      </w:tr>
      <w:tr>
        <w:trPr/>
        <w:tc>
          <w:tcPr>
            <w:tcW w:w="4896"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20"/>
              </w:rPr>
            </w:pPr>
            <w:r>
              <w:rPr>
                <w:sz w:val="20"/>
              </w:rPr>
              <w:t>$</w:t>
            </w:r>
          </w:p>
        </w:tc>
        <w:tc>
          <w:tcPr>
            <w:tcW w:w="1041" w:type="dxa"/>
            <w:tcBorders/>
            <w:shd w:fill="CCEEFF" w:val="clear"/>
            <w:vAlign w:val="center"/>
          </w:tcPr>
          <w:p>
            <w:pPr>
              <w:pStyle w:val="TableContents"/>
              <w:bidi w:val="0"/>
              <w:spacing w:before="0" w:after="283"/>
              <w:jc w:val="right"/>
              <w:rPr>
                <w:sz w:val="20"/>
              </w:rPr>
            </w:pPr>
            <w:r>
              <w:rPr>
                <w:sz w:val="20"/>
              </w:rPr>
              <w:t>(8,665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20"/>
              </w:rPr>
            </w:pPr>
            <w:r>
              <w:rPr>
                <w:sz w:val="20"/>
              </w:rPr>
              <w:t>$</w:t>
            </w:r>
          </w:p>
        </w:tc>
        <w:tc>
          <w:tcPr>
            <w:tcW w:w="1041" w:type="dxa"/>
            <w:tcBorders/>
            <w:shd w:fill="CCEEFF" w:val="clear"/>
            <w:vAlign w:val="center"/>
          </w:tcPr>
          <w:p>
            <w:pPr>
              <w:pStyle w:val="TableContents"/>
              <w:bidi w:val="0"/>
              <w:spacing w:before="0" w:after="283"/>
              <w:jc w:val="right"/>
              <w:rPr>
                <w:sz w:val="20"/>
              </w:rPr>
            </w:pPr>
            <w:r>
              <w:rPr>
                <w:sz w:val="20"/>
              </w:rPr>
              <w:t>(7,251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sz w:val="20"/>
              </w:rPr>
            </w:pPr>
            <w:r>
              <w:rPr>
                <w:sz w:val="20"/>
              </w:rPr>
              <w:t>$</w:t>
            </w:r>
          </w:p>
        </w:tc>
        <w:tc>
          <w:tcPr>
            <w:tcW w:w="843" w:type="dxa"/>
            <w:tcBorders/>
            <w:shd w:fill="CCEEFF" w:val="clear"/>
            <w:vAlign w:val="center"/>
          </w:tcPr>
          <w:p>
            <w:pPr>
              <w:pStyle w:val="TableContents"/>
              <w:bidi w:val="0"/>
              <w:spacing w:before="0" w:after="283"/>
              <w:jc w:val="right"/>
              <w:rPr>
                <w:sz w:val="20"/>
              </w:rPr>
            </w:pPr>
            <w:r>
              <w:rPr>
                <w:sz w:val="20"/>
              </w:rPr>
              <w:t>(1,414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19.5</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Other income, net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(85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-170.6</w:t>
            </w:r>
          </w:p>
        </w:tc>
        <w:tc>
          <w:tcPr>
            <w:tcW w:w="205" w:type="dxa"/>
            <w:tcBorders/>
            <w:shd w:fill="FFFFFF" w:val="clear"/>
            <w:vAlign w:val="center"/>
          </w:tcPr>
          <w:p>
            <w:pPr>
              <w:pStyle w:val="TableContents"/>
              <w:bidi w:val="0"/>
              <w:spacing w:before="0" w:after="283"/>
              <w:jc w:val="left"/>
              <w:rPr>
                <w:sz w:val="20"/>
              </w:rPr>
            </w:pPr>
            <w:r>
              <w:rPr>
                <w:sz w:val="20"/>
              </w:rPr>
              <w:t>%</w:t>
            </w:r>
          </w:p>
        </w:tc>
      </w:tr>
      <w:tr>
        <w:trPr/>
        <w:tc>
          <w:tcPr>
            <w:tcW w:w="4896" w:type="dxa"/>
            <w:tcBorders/>
            <w:shd w:fill="CCEEFF" w:val="clear"/>
            <w:vAlign w:val="center"/>
          </w:tcPr>
          <w:p>
            <w:pPr>
              <w:pStyle w:val="TableContents"/>
              <w:bidi w:val="0"/>
              <w:spacing w:before="0" w:after="283"/>
              <w:jc w:val="left"/>
              <w:rPr>
                <w:sz w:val="20"/>
              </w:rPr>
            </w:pPr>
            <w:r>
              <w:rPr>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-25.0</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7.1</w:t>
            </w:r>
          </w:p>
        </w:tc>
        <w:tc>
          <w:tcPr>
            <w:tcW w:w="205" w:type="dxa"/>
            <w:tcBorders/>
            <w:shd w:fill="FFFFFF" w:val="clear"/>
            <w:vAlign w:val="center"/>
          </w:tcPr>
          <w:p>
            <w:pPr>
              <w:pStyle w:val="TableContents"/>
              <w:bidi w:val="0"/>
              <w:spacing w:before="0" w:after="283"/>
              <w:jc w:val="left"/>
              <w:rPr>
                <w:sz w:val="20"/>
              </w:rPr>
            </w:pPr>
            <w:r>
              <w:rPr>
                <w:sz w:val="20"/>
              </w:rPr>
              <w:t>%</w:t>
            </w:r>
          </w:p>
        </w:tc>
      </w:tr>
      <w:tr>
        <w:trPr/>
        <w:tc>
          <w:tcPr>
            <w:tcW w:w="4896"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(212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-20.0</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2.9</w:t>
            </w:r>
          </w:p>
        </w:tc>
        <w:tc>
          <w:tcPr>
            <w:tcW w:w="205" w:type="dxa"/>
            <w:tcBorders/>
            <w:shd w:fill="FFFFFF" w:val="clear"/>
            <w:vAlign w:val="center"/>
          </w:tcPr>
          <w:p>
            <w:pPr>
              <w:pStyle w:val="TableContents"/>
              <w:bidi w:val="0"/>
              <w:spacing w:before="0" w:after="283"/>
              <w:jc w:val="left"/>
              <w:rPr>
                <w:sz w:val="20"/>
              </w:rPr>
            </w:pPr>
            <w:r>
              <w:rPr>
                <w:sz w:val="20"/>
              </w:rPr>
              <w:t>%</w:t>
            </w:r>
          </w:p>
        </w:tc>
      </w:tr>
      <w:tr>
        <w:trPr/>
        <w:tc>
          <w:tcPr>
            <w:tcW w:w="4896" w:type="dxa"/>
            <w:tcBorders/>
            <w:shd w:fill="CCEEFF" w:val="clear"/>
            <w:vAlign w:val="center"/>
          </w:tcPr>
          <w:p>
            <w:pPr>
              <w:pStyle w:val="TableContents"/>
              <w:bidi w:val="0"/>
              <w:spacing w:before="0" w:after="283"/>
              <w:jc w:val="left"/>
              <w:rPr>
                <w:sz w:val="20"/>
              </w:rPr>
            </w:pPr>
            <w:r>
              <w:rPr>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-62.5</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GEM settlement fee expense</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nm</w:t>
            </w:r>
          </w:p>
        </w:tc>
        <w:tc>
          <w:tcPr>
            <w:tcW w:w="205" w:type="dxa"/>
            <w:tcBorders/>
            <w:shd w:fill="FFFFFF" w:val="clear"/>
            <w:vAlign w:val="center"/>
          </w:tcPr>
          <w:p>
            <w:pPr>
              <w:pStyle w:val="TableContents"/>
              <w:bidi w:val="0"/>
              <w:spacing w:before="0" w:after="283"/>
              <w:jc w:val="left"/>
              <w:rPr/>
            </w:pPr>
            <w:r>
              <w:rPr/>
              <w:t> </w:t>
            </w:r>
          </w:p>
        </w:tc>
      </w:tr>
      <w:tr>
        <w:trPr/>
        <w:tc>
          <w:tcPr>
            <w:tcW w:w="4896" w:type="dxa"/>
            <w:tcBorders/>
            <w:shd w:fill="CCEEFF" w:val="clear"/>
            <w:vAlign w:val="center"/>
          </w:tcPr>
          <w:p>
            <w:pPr>
              <w:pStyle w:val="TableContents"/>
              <w:bidi w:val="0"/>
              <w:spacing w:before="0" w:after="283"/>
              <w:jc w:val="left"/>
              <w:rPr>
                <w:sz w:val="20"/>
              </w:rPr>
            </w:pPr>
            <w:r>
              <w:rPr>
                <w:sz w:val="20"/>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(528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(528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nm</w:t>
            </w:r>
          </w:p>
        </w:tc>
        <w:tc>
          <w:tcPr>
            <w:tcW w:w="205" w:type="dxa"/>
            <w:tcBorders/>
            <w:shd w:fill="CCEEFF" w:val="clear"/>
            <w:vAlign w:val="center"/>
          </w:tcPr>
          <w:p>
            <w:pPr>
              <w:pStyle w:val="TableContents"/>
              <w:bidi w:val="0"/>
              <w:spacing w:before="0" w:after="283"/>
              <w:jc w:val="left"/>
              <w:rPr/>
            </w:pPr>
            <w:r>
              <w:rPr/>
              <w:t> </w:t>
            </w:r>
          </w:p>
        </w:tc>
      </w:tr>
      <w:tr>
        <w:trPr/>
        <w:tc>
          <w:tcPr>
            <w:tcW w:w="4896" w:type="dxa"/>
            <w:tcBorders/>
            <w:shd w:fill="FFFFFF" w:val="clear"/>
            <w:vAlign w:val="center"/>
          </w:tcPr>
          <w:p>
            <w:pPr>
              <w:pStyle w:val="TableContents"/>
              <w:bidi w:val="0"/>
              <w:spacing w:before="0" w:after="283"/>
              <w:jc w:val="left"/>
              <w:rPr>
                <w:sz w:val="20"/>
              </w:rPr>
            </w:pPr>
            <w:r>
              <w:rPr>
                <w:sz w:val="20"/>
              </w:rPr>
              <w:t>Loss on debt issuance</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nm</w:t>
            </w:r>
          </w:p>
        </w:tc>
        <w:tc>
          <w:tcPr>
            <w:tcW w:w="205" w:type="dxa"/>
            <w:tcBorders/>
            <w:shd w:fill="FFFFFF" w:val="clear"/>
            <w:vAlign w:val="center"/>
          </w:tcPr>
          <w:p>
            <w:pPr>
              <w:pStyle w:val="TableContents"/>
              <w:bidi w:val="0"/>
              <w:spacing w:before="0" w:after="283"/>
              <w:jc w:val="left"/>
              <w:rPr/>
            </w:pPr>
            <w:r>
              <w:rPr/>
              <w:t> </w:t>
            </w:r>
          </w:p>
        </w:tc>
      </w:tr>
      <w:tr>
        <w:trPr/>
        <w:tc>
          <w:tcPr>
            <w:tcW w:w="4896" w:type="dxa"/>
            <w:tcBorders/>
            <w:shd w:fill="CCEEFF" w:val="clear"/>
            <w:vAlign w:val="center"/>
          </w:tcPr>
          <w:p>
            <w:pPr>
              <w:pStyle w:val="TableContents"/>
              <w:bidi w:val="0"/>
              <w:spacing w:before="0" w:after="283"/>
              <w:jc w:val="left"/>
              <w:rPr>
                <w:sz w:val="20"/>
              </w:rPr>
            </w:pPr>
            <w:r>
              <w:rPr>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(562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(562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nm</w:t>
            </w:r>
          </w:p>
        </w:tc>
        <w:tc>
          <w:tcPr>
            <w:tcW w:w="205" w:type="dxa"/>
            <w:tcBorders/>
            <w:shd w:fill="CCEEFF" w:val="clear"/>
            <w:vAlign w:val="center"/>
          </w:tcPr>
          <w:p>
            <w:pPr>
              <w:pStyle w:val="TableContents"/>
              <w:bidi w:val="0"/>
              <w:spacing w:before="0" w:after="283"/>
              <w:jc w:val="left"/>
              <w:rPr/>
            </w:pPr>
            <w:r>
              <w:rPr/>
              <w:t> </w:t>
            </w:r>
          </w:p>
        </w:tc>
      </w:tr>
      <w:tr>
        <w:trPr/>
        <w:tc>
          <w:tcPr>
            <w:tcW w:w="4896" w:type="dxa"/>
            <w:tcBorders/>
            <w:shd w:fill="FFFFFF" w:val="clear"/>
            <w:vAlign w:val="center"/>
          </w:tcPr>
          <w:p>
            <w:pPr>
              <w:pStyle w:val="TableContents"/>
              <w:bidi w:val="0"/>
              <w:spacing w:before="0" w:after="283"/>
              <w:jc w:val="left"/>
              <w:rPr>
                <w:sz w:val="20"/>
              </w:rPr>
            </w:pPr>
            <w:r>
              <w:rPr>
                <w:sz w:val="20"/>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(345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(345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nm</w:t>
            </w:r>
          </w:p>
        </w:tc>
        <w:tc>
          <w:tcPr>
            <w:tcW w:w="205" w:type="dxa"/>
            <w:tcBorders/>
            <w:shd w:fill="FFFFFF" w:val="clear"/>
            <w:vAlign w:val="center"/>
          </w:tcPr>
          <w:p>
            <w:pPr>
              <w:pStyle w:val="TableContents"/>
              <w:bidi w:val="0"/>
              <w:spacing w:before="0" w:after="283"/>
              <w:jc w:val="left"/>
              <w:rPr/>
            </w:pPr>
            <w:r>
              <w:rPr/>
              <w:t> </w:t>
            </w:r>
          </w:p>
        </w:tc>
      </w:tr>
      <w:tr>
        <w:trPr/>
        <w:tc>
          <w:tcPr>
            <w:tcW w:w="4896" w:type="dxa"/>
            <w:tcBorders/>
            <w:shd w:fill="CCEEFF" w:val="clear"/>
            <w:vAlign w:val="center"/>
          </w:tcPr>
          <w:p>
            <w:pPr>
              <w:pStyle w:val="TableContents"/>
              <w:bidi w:val="0"/>
              <w:spacing w:before="0" w:after="283"/>
              <w:jc w:val="left"/>
              <w:rPr>
                <w:sz w:val="20"/>
              </w:rPr>
            </w:pPr>
            <w:r>
              <w:rPr>
                <w:sz w:val="20"/>
              </w:rPr>
              <w:t>Change in fair value of simple agreement for future equity</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(91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-100.0</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Change in fair value of simple agreement for future equity - related party</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(1,213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-100.0</w:t>
            </w:r>
          </w:p>
        </w:tc>
        <w:tc>
          <w:tcPr>
            <w:tcW w:w="205" w:type="dxa"/>
            <w:tcBorders/>
            <w:shd w:fill="FFFFFF" w:val="clear"/>
            <w:vAlign w:val="center"/>
          </w:tcPr>
          <w:p>
            <w:pPr>
              <w:pStyle w:val="TableContents"/>
              <w:bidi w:val="0"/>
              <w:spacing w:before="0" w:after="283"/>
              <w:jc w:val="left"/>
              <w:rPr>
                <w:sz w:val="20"/>
              </w:rPr>
            </w:pPr>
            <w:r>
              <w:rPr>
                <w:sz w:val="20"/>
              </w:rPr>
              <w:t>%</w:t>
            </w:r>
          </w:p>
        </w:tc>
      </w:tr>
      <w:tr>
        <w:trPr/>
        <w:tc>
          <w:tcPr>
            <w:tcW w:w="4896" w:type="dxa"/>
            <w:tcBorders/>
            <w:shd w:fill="CCEEFF" w:val="clear"/>
            <w:vAlign w:val="center"/>
          </w:tcPr>
          <w:p>
            <w:pPr>
              <w:pStyle w:val="TableContents"/>
              <w:bidi w:val="0"/>
              <w:spacing w:before="0" w:after="283"/>
              <w:jc w:val="left"/>
              <w:rPr>
                <w:sz w:val="20"/>
              </w:rPr>
            </w:pPr>
            <w:r>
              <w:rPr>
                <w:sz w:val="20"/>
              </w:rPr>
              <w:t>Change in fair value of bifurcated embedded derivative liabilities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-100.0</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Change in fair value of bifurcated embedded derivative liabilities - related party</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(341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-100.0</w:t>
            </w:r>
          </w:p>
        </w:tc>
        <w:tc>
          <w:tcPr>
            <w:tcW w:w="205" w:type="dxa"/>
            <w:tcBorders/>
            <w:shd w:fill="FFFFFF" w:val="clear"/>
            <w:vAlign w:val="center"/>
          </w:tcPr>
          <w:p>
            <w:pPr>
              <w:pStyle w:val="TableContents"/>
              <w:bidi w:val="0"/>
              <w:spacing w:before="0" w:after="283"/>
              <w:jc w:val="left"/>
              <w:rPr>
                <w:sz w:val="20"/>
              </w:rPr>
            </w:pPr>
            <w:r>
              <w:rPr>
                <w:sz w:val="20"/>
              </w:rPr>
              <w:t>%</w:t>
            </w:r>
          </w:p>
        </w:tc>
      </w:tr>
      <w:tr>
        <w:trPr/>
        <w:tc>
          <w:tcPr>
            <w:tcW w:w="4896" w:type="dxa"/>
            <w:tcBorders/>
            <w:shd w:fill="CCEEFF" w:val="clear"/>
            <w:vAlign w:val="center"/>
          </w:tcPr>
          <w:p>
            <w:pPr>
              <w:pStyle w:val="TableContents"/>
              <w:bidi w:val="0"/>
              <w:spacing w:before="0" w:after="283"/>
              <w:jc w:val="left"/>
              <w:rPr>
                <w:sz w:val="20"/>
              </w:rPr>
            </w:pPr>
            <w:r>
              <w:rPr>
                <w:sz w:val="20"/>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20"/>
              </w:rPr>
            </w:pPr>
            <w:r>
              <w:rPr>
                <w:sz w:val="20"/>
              </w:rPr>
              <w:t>nm</w:t>
            </w:r>
          </w:p>
        </w:tc>
        <w:tc>
          <w:tcPr>
            <w:tcW w:w="205" w:type="dxa"/>
            <w:tcBorders/>
            <w:shd w:fill="CCEEFF" w:val="clear"/>
            <w:vAlign w:val="center"/>
          </w:tcPr>
          <w:p>
            <w:pPr>
              <w:pStyle w:val="TableContents"/>
              <w:bidi w:val="0"/>
              <w:spacing w:before="0" w:after="283"/>
              <w:jc w:val="left"/>
              <w:rPr/>
            </w:pPr>
            <w:r>
              <w:rPr/>
              <w:t> </w:t>
            </w:r>
          </w:p>
        </w:tc>
      </w:tr>
      <w:tr>
        <w:trPr/>
        <w:tc>
          <w:tcPr>
            <w:tcW w:w="4896" w:type="dxa"/>
            <w:tcBorders/>
            <w:shd w:fill="FFFFFF" w:val="clear"/>
            <w:vAlign w:val="center"/>
          </w:tcPr>
          <w:p>
            <w:pPr>
              <w:pStyle w:val="TableContents"/>
              <w:bidi w:val="0"/>
              <w:spacing w:before="0" w:after="283"/>
              <w:jc w:val="left"/>
              <w:rPr>
                <w:sz w:val="20"/>
              </w:rPr>
            </w:pPr>
            <w:r>
              <w:rPr>
                <w:sz w:val="20"/>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sz w:val="20"/>
              </w:rPr>
            </w:pPr>
            <w:r>
              <w:rPr>
                <w:sz w:val="20"/>
              </w:rPr>
              <w:t>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20"/>
              </w:rPr>
            </w:pPr>
            <w:r>
              <w:rPr>
                <w:sz w:val="20"/>
              </w:rPr>
              <w:t>nm</w:t>
            </w:r>
          </w:p>
        </w:tc>
        <w:tc>
          <w:tcPr>
            <w:tcW w:w="205" w:type="dxa"/>
            <w:tcBorders/>
            <w:shd w:fill="FFFFFF" w:val="clear"/>
            <w:vAlign w:val="center"/>
          </w:tcPr>
          <w:p>
            <w:pPr>
              <w:pStyle w:val="TableContents"/>
              <w:bidi w:val="0"/>
              <w:spacing w:before="0" w:after="283"/>
              <w:jc w:val="left"/>
              <w:rPr/>
            </w:pPr>
            <w:r>
              <w:rPr/>
              <w:t> </w:t>
            </w:r>
          </w:p>
        </w:tc>
      </w:tr>
      <w:tr>
        <w:trPr/>
        <w:tc>
          <w:tcPr>
            <w:tcW w:w="4896" w:type="dxa"/>
            <w:tcBorders/>
            <w:shd w:fill="CCEEFF" w:val="clear"/>
            <w:vAlign w:val="center"/>
          </w:tcPr>
          <w:p>
            <w:pPr>
              <w:pStyle w:val="TableContents"/>
              <w:bidi w:val="0"/>
              <w:spacing w:before="0" w:after="283"/>
              <w:jc w:val="left"/>
              <w:rPr>
                <w:sz w:val="20"/>
              </w:rPr>
            </w:pPr>
            <w:r>
              <w:rPr>
                <w:sz w:val="20"/>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35.9</w:t>
            </w:r>
          </w:p>
        </w:tc>
        <w:tc>
          <w:tcPr>
            <w:tcW w:w="205" w:type="dxa"/>
            <w:tcBorders/>
            <w:shd w:fill="CCEEFF" w:val="clear"/>
            <w:vAlign w:val="center"/>
          </w:tcPr>
          <w:p>
            <w:pPr>
              <w:pStyle w:val="TableContents"/>
              <w:bidi w:val="0"/>
              <w:spacing w:before="0" w:after="283"/>
              <w:jc w:val="left"/>
              <w:rPr>
                <w:sz w:val="20"/>
              </w:rPr>
            </w:pPr>
            <w:r>
              <w:rPr>
                <w:sz w:val="20"/>
              </w:rPr>
              <w:t>%</w:t>
            </w:r>
          </w:p>
        </w:tc>
      </w:tr>
      <w:tr>
        <w:trPr/>
        <w:tc>
          <w:tcPr>
            <w:tcW w:w="4896" w:type="dxa"/>
            <w:tcBorders/>
            <w:shd w:fill="FFFFFF" w:val="clear"/>
            <w:vAlign w:val="center"/>
          </w:tcPr>
          <w:p>
            <w:pPr>
              <w:pStyle w:val="TableContents"/>
              <w:bidi w:val="0"/>
              <w:spacing w:before="0" w:after="283"/>
              <w:jc w:val="left"/>
              <w:rPr>
                <w:sz w:val="20"/>
              </w:rPr>
            </w:pPr>
            <w:r>
              <w:rPr>
                <w:sz w:val="20"/>
              </w:rPr>
              <w:t>Adjusted EBITDA (Loss)</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(3,351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(1,562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(1,789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114.5</w:t>
            </w:r>
          </w:p>
        </w:tc>
        <w:tc>
          <w:tcPr>
            <w:tcW w:w="20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related expenses include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8221" w:type="dxa"/>
        <w:jc w:val="left"/>
        <w:tblInd w:w="0" w:type="dxa"/>
        <w:tblLayout w:type="fixed"/>
        <w:tblCellMar>
          <w:top w:w="0" w:type="dxa"/>
          <w:left w:w="0" w:type="dxa"/>
          <w:bottom w:w="0" w:type="dxa"/>
          <w:right w:w="0" w:type="dxa"/>
        </w:tblCellMar>
      </w:tblPr>
      <w:tblGrid>
        <w:gridCol w:w="2375"/>
        <w:gridCol w:w="60"/>
        <w:gridCol w:w="316"/>
        <w:gridCol w:w="1233"/>
        <w:gridCol w:w="60"/>
        <w:gridCol w:w="60"/>
        <w:gridCol w:w="316"/>
        <w:gridCol w:w="1233"/>
        <w:gridCol w:w="60"/>
        <w:gridCol w:w="60"/>
        <w:gridCol w:w="215"/>
        <w:gridCol w:w="839"/>
        <w:gridCol w:w="80"/>
        <w:gridCol w:w="60"/>
        <w:gridCol w:w="96"/>
        <w:gridCol w:w="958"/>
        <w:gridCol w:w="200"/>
      </w:tblGrid>
      <w:tr>
        <w:trPr/>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vAlign w:val="center"/>
          </w:tcPr>
          <w:p>
            <w:pPr>
              <w:pStyle w:val="TableContents"/>
              <w:bidi w:val="0"/>
              <w:spacing w:before="0" w:after="283"/>
              <w:jc w:val="center"/>
              <w:rPr>
                <w:b/>
                <w:i/>
                <w:sz w:val="20"/>
              </w:rPr>
            </w:pPr>
            <w:r>
              <w:rPr>
                <w:b/>
                <w:i/>
                <w:sz w:val="20"/>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i/>
                <w:sz w:val="20"/>
              </w:rPr>
            </w:pPr>
            <w:r>
              <w:rPr>
                <w:b/>
                <w:i/>
                <w:sz w:val="20"/>
              </w:rPr>
              <w:t>Period-over-</w:t>
            </w:r>
          </w:p>
        </w:tc>
        <w:tc>
          <w:tcPr>
            <w:tcW w:w="200" w:type="dxa"/>
            <w:tcBorders/>
            <w:vAlign w:val="center"/>
          </w:tcPr>
          <w:p>
            <w:pPr>
              <w:pStyle w:val="TableContents"/>
              <w:bidi w:val="0"/>
              <w:spacing w:before="0" w:after="283"/>
              <w:jc w:val="left"/>
              <w:rPr/>
            </w:pPr>
            <w:r>
              <w:rPr/>
              <w:t> </w:t>
            </w:r>
          </w:p>
        </w:tc>
      </w:tr>
      <w:tr>
        <w:trPr/>
        <w:tc>
          <w:tcPr>
            <w:tcW w:w="237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 in Thousands)</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i/>
                <w:sz w:val="20"/>
              </w:rPr>
            </w:pPr>
            <w:r>
              <w:rPr>
                <w:b/>
                <w:i/>
                <w:sz w:val="20"/>
              </w:rPr>
              <w:t>Period %</w:t>
            </w:r>
          </w:p>
        </w:tc>
        <w:tc>
          <w:tcPr>
            <w:tcW w:w="20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sz w:val="20"/>
              </w:rPr>
            </w:pPr>
            <w:r>
              <w:rPr>
                <w:sz w:val="20"/>
              </w:rPr>
              <w:t>Professional fees - audit</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20"/>
              </w:rPr>
            </w:pPr>
            <w:r>
              <w:rPr>
                <w:sz w:val="20"/>
              </w:rPr>
              <w:t>$</w:t>
            </w:r>
          </w:p>
        </w:tc>
        <w:tc>
          <w:tcPr>
            <w:tcW w:w="1233" w:type="dxa"/>
            <w:tcBorders/>
            <w:shd w:fill="CCEEFF" w:val="clear"/>
            <w:vAlign w:val="center"/>
          </w:tcPr>
          <w:p>
            <w:pPr>
              <w:pStyle w:val="TableContents"/>
              <w:bidi w:val="0"/>
              <w:spacing w:before="0" w:after="283"/>
              <w:jc w:val="right"/>
              <w:rPr>
                <w:sz w:val="20"/>
              </w:rPr>
            </w:pPr>
            <w:r>
              <w:rPr>
                <w:sz w:val="20"/>
              </w:rPr>
              <w:t>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839" w:type="dxa"/>
            <w:tcBorders/>
            <w:shd w:fill="CCEEFF" w:val="clear"/>
            <w:vAlign w:val="center"/>
          </w:tcPr>
          <w:p>
            <w:pPr>
              <w:pStyle w:val="TableContents"/>
              <w:bidi w:val="0"/>
              <w:spacing w:before="0" w:after="283"/>
              <w:jc w:val="right"/>
              <w:rPr>
                <w:sz w:val="20"/>
              </w:rPr>
            </w:pPr>
            <w:r>
              <w:rPr>
                <w:sz w:val="20"/>
              </w:rPr>
              <w:t>(57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sz w:val="20"/>
              </w:rPr>
            </w:pPr>
            <w:r>
              <w:rPr>
                <w:sz w:val="20"/>
              </w:rPr>
              <w:t>-13.3</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375" w:type="dxa"/>
            <w:tcBorders/>
            <w:shd w:fill="FFFFFF" w:val="clear"/>
            <w:vAlign w:val="center"/>
          </w:tcPr>
          <w:p>
            <w:pPr>
              <w:pStyle w:val="TableContents"/>
              <w:bidi w:val="0"/>
              <w:spacing w:before="0" w:after="283"/>
              <w:jc w:val="left"/>
              <w:rPr>
                <w:sz w:val="20"/>
              </w:rPr>
            </w:pPr>
            <w:r>
              <w:rPr>
                <w:sz w:val="20"/>
              </w:rPr>
              <w:t>Professional fees - legal</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1,362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sz w:val="20"/>
              </w:rPr>
            </w:pPr>
            <w:r>
              <w:rPr>
                <w:sz w:val="20"/>
              </w:rPr>
              <w:t>1,255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sz w:val="20"/>
              </w:rPr>
            </w:pPr>
            <w:r>
              <w:rPr>
                <w:sz w:val="20"/>
              </w:rPr>
              <w:t>1177.4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375" w:type="dxa"/>
            <w:tcBorders/>
            <w:shd w:fill="CCEEFF" w:val="clear"/>
            <w:vAlign w:val="center"/>
          </w:tcPr>
          <w:p>
            <w:pPr>
              <w:pStyle w:val="TableContents"/>
              <w:bidi w:val="0"/>
              <w:spacing w:before="0" w:after="283"/>
              <w:jc w:val="left"/>
              <w:rPr>
                <w:sz w:val="20"/>
              </w:rPr>
            </w:pPr>
            <w:r>
              <w:rPr>
                <w:sz w:val="20"/>
              </w:rPr>
              <w:t>Incremental accounting</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sz w:val="20"/>
              </w:rPr>
            </w:pPr>
            <w:r>
              <w:rPr>
                <w:sz w:val="20"/>
              </w:rPr>
              <w:t>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sz w:val="20"/>
              </w:rPr>
            </w:pPr>
            <w:r>
              <w:rPr>
                <w:sz w:val="20"/>
              </w:rPr>
              <w:t>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sz w:val="20"/>
              </w:rPr>
            </w:pPr>
            <w:r>
              <w:rPr>
                <w:sz w:val="20"/>
              </w:rPr>
              <w:t>(536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sz w:val="20"/>
              </w:rPr>
            </w:pPr>
            <w:r>
              <w:rPr>
                <w:sz w:val="20"/>
              </w:rPr>
              <w:t>-35.8</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375" w:type="dxa"/>
            <w:tcBorders/>
            <w:shd w:fill="FFFFFF" w:val="clear"/>
            <w:vAlign w:val="center"/>
          </w:tcPr>
          <w:p>
            <w:pPr>
              <w:pStyle w:val="TableContents"/>
              <w:bidi w:val="0"/>
              <w:spacing w:before="0" w:after="283"/>
              <w:jc w:val="left"/>
              <w:rPr>
                <w:sz w:val="20"/>
              </w:rPr>
            </w:pPr>
            <w:r>
              <w:rPr>
                <w:sz w:val="20"/>
              </w:rPr>
              <w:t>Market study, M&amp;A support</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57.3</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375" w:type="dxa"/>
            <w:tcBorders/>
            <w:shd w:fill="CCEEFF" w:val="clear"/>
            <w:vAlign w:val="center"/>
          </w:tcPr>
          <w:p>
            <w:pPr>
              <w:pStyle w:val="TableContents"/>
              <w:bidi w:val="0"/>
              <w:spacing w:before="0" w:after="283"/>
              <w:jc w:val="left"/>
              <w:rPr>
                <w:sz w:val="20"/>
              </w:rPr>
            </w:pPr>
            <w:r>
              <w:rPr>
                <w:sz w:val="20"/>
              </w:rPr>
              <w:t>Transaction related expenses</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35.9</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2023 Compared to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6272" w:type="dxa"/>
        <w:jc w:val="left"/>
        <w:tblInd w:w="0" w:type="dxa"/>
        <w:tblLayout w:type="fixed"/>
        <w:tblCellMar>
          <w:top w:w="0" w:type="dxa"/>
          <w:left w:w="0" w:type="dxa"/>
          <w:bottom w:w="28" w:type="dxa"/>
          <w:right w:w="0" w:type="dxa"/>
        </w:tblCellMar>
      </w:tblPr>
      <w:tblGrid>
        <w:gridCol w:w="2060"/>
        <w:gridCol w:w="60"/>
        <w:gridCol w:w="184"/>
        <w:gridCol w:w="960"/>
        <w:gridCol w:w="80"/>
        <w:gridCol w:w="60"/>
        <w:gridCol w:w="212"/>
        <w:gridCol w:w="932"/>
        <w:gridCol w:w="80"/>
        <w:gridCol w:w="60"/>
        <w:gridCol w:w="125"/>
        <w:gridCol w:w="545"/>
        <w:gridCol w:w="80"/>
        <w:gridCol w:w="60"/>
        <w:gridCol w:w="63"/>
        <w:gridCol w:w="511"/>
        <w:gridCol w:w="200"/>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Banzai’s Adjusted EBITDA (loss) was $10.2 million, reflecting an increase in the loss of $5.4 million from $4.8 million for the year ended December 31, 2022. This year-over-year increase in loss is primarily attributable to increased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to Adjusted EBITDA Reconciliation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78"/>
        <w:gridCol w:w="60"/>
        <w:gridCol w:w="179"/>
        <w:gridCol w:w="934"/>
        <w:gridCol w:w="80"/>
        <w:gridCol w:w="60"/>
        <w:gridCol w:w="179"/>
        <w:gridCol w:w="934"/>
        <w:gridCol w:w="80"/>
        <w:gridCol w:w="60"/>
        <w:gridCol w:w="125"/>
        <w:gridCol w:w="545"/>
        <w:gridCol w:w="80"/>
        <w:gridCol w:w="60"/>
        <w:gridCol w:w="60"/>
        <w:gridCol w:w="590"/>
        <w:gridCol w:w="201"/>
      </w:tblGrid>
      <w:tr>
        <w:trPr/>
        <w:tc>
          <w:tcPr>
            <w:tcW w:w="597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 related party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extinguishment of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 - related party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 - related party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-653.1</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 - related party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-604.6</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related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1461.2</w:t>
            </w:r>
          </w:p>
        </w:tc>
        <w:tc>
          <w:tcPr>
            <w:tcW w:w="20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20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related expenses include: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543" w:type="dxa"/>
        <w:jc w:val="left"/>
        <w:tblInd w:w="0" w:type="dxa"/>
        <w:tblLayout w:type="fixed"/>
        <w:tblCellMar>
          <w:top w:w="0" w:type="dxa"/>
          <w:left w:w="0" w:type="dxa"/>
          <w:bottom w:w="28" w:type="dxa"/>
          <w:right w:w="0" w:type="dxa"/>
        </w:tblCellMar>
      </w:tblPr>
      <w:tblGrid>
        <w:gridCol w:w="2375"/>
        <w:gridCol w:w="60"/>
        <w:gridCol w:w="234"/>
        <w:gridCol w:w="910"/>
        <w:gridCol w:w="60"/>
        <w:gridCol w:w="60"/>
        <w:gridCol w:w="310"/>
        <w:gridCol w:w="834"/>
        <w:gridCol w:w="60"/>
        <w:gridCol w:w="60"/>
        <w:gridCol w:w="125"/>
        <w:gridCol w:w="485"/>
        <w:gridCol w:w="60"/>
        <w:gridCol w:w="60"/>
        <w:gridCol w:w="60"/>
        <w:gridCol w:w="590"/>
        <w:gridCol w:w="200"/>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 audit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 legal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accounting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study, M&amp;A support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related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Banzai has financed its operations primarily from the sales of redeemable convertible preferred stock and convertible promissory notes and proceeds from senior secured loans. As of June 30, 2024, Banzai had cash of approximately $0.5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has incurred losses since its inception, had a working capital deficit of approximately $34.0 million as of June 30, 2024, and had an accumulated deficit on June 30, 2024 totaling approximately $55.5 million. As of June 30, 2024, Banzai had approximately $10.6 million and approximately $5.5 million aggregate principal amount outstanding on term/promissory notes and convertible notes, respectively. During the six months ended June 30, 2024, Banzai raised additional capital under the SEPA through the issuance of additional convertible notes for a total of approximately $4.5 million to fund the Company’s operations. Additionally, during the six months ended June 30, 2024, the Company issued non-cash share payments of approximately $1.8 million in partial settlement of the Yorkville Promissory Note financing and made an approximately $0.5 million non-cash share payment to settle the deferred fee liability payable to Yorkville in terms of the SEPA. In May 2024 the Company entered into the Amended Repayment Agreement which extended the maturity date on the convertible notes to September 25, 2024, and pursuant to which the Company made a cash payment of $0.8 million in partial settlement of the Yorkville Promissory Notes. These stock issuances described herein do not represent sources of new capital, rather the issuances were made to settle existing liabilities in lieu of cash payments, as described above. Banzai has historically used debt financing proceeds principally to fund operations. On May 22, 2024, Banzai entered into a securities purchase agreement with accredited investors, providing for the issuance and sale of Common Stock, Pre-Funded Warrants, and Common Warrants in a registered direct offering. The aggregate gross proceeds to the Company from such offering were approximately $2.5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intends to seek additional funding through the SEPA arrangement and other equity financings in 2024. If Banzai is unable to raise such funding, Banzai will have to pursue an alternative course of action to seek additional capital through other debt and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is unable to raise sufficient additional capital, through future debt or equity financings or through strategic and collaborative ventures with third parties, Banzai will not have sufficient cash flows and liquidity to fund its planned business for the next 12 months.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hereof. The condensed consolidated financial statements found elsewhere in this report, have been prepared assuming Banzai will continue as a going concern, which contemplates the realization of assets and satisfaction of liabilities in the normal course of business.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Banzai’s cash flows for the six months ended June 30, 2024 and 2023 and the years ended December 31, 2023 and 2022:</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52"/>
        <w:gridCol w:w="60"/>
        <w:gridCol w:w="145"/>
        <w:gridCol w:w="632"/>
        <w:gridCol w:w="80"/>
        <w:gridCol w:w="60"/>
        <w:gridCol w:w="145"/>
        <w:gridCol w:w="632"/>
        <w:gridCol w:w="80"/>
        <w:gridCol w:w="60"/>
        <w:gridCol w:w="125"/>
        <w:gridCol w:w="545"/>
        <w:gridCol w:w="80"/>
        <w:gridCol w:w="60"/>
        <w:gridCol w:w="65"/>
        <w:gridCol w:w="531"/>
        <w:gridCol w:w="185"/>
        <w:gridCol w:w="60"/>
        <w:gridCol w:w="153"/>
        <w:gridCol w:w="801"/>
        <w:gridCol w:w="80"/>
        <w:gridCol w:w="60"/>
        <w:gridCol w:w="153"/>
        <w:gridCol w:w="801"/>
        <w:gridCol w:w="80"/>
        <w:gridCol w:w="60"/>
        <w:gridCol w:w="125"/>
        <w:gridCol w:w="545"/>
        <w:gridCol w:w="80"/>
        <w:gridCol w:w="60"/>
        <w:gridCol w:w="60"/>
        <w:gridCol w:w="545"/>
        <w:gridCol w:w="205"/>
      </w:tblGrid>
      <w:tr>
        <w:trPr/>
        <w:tc>
          <w:tcPr>
            <w:tcW w:w="2852" w:type="dxa"/>
            <w:tcBorders>
              <w:bottom w:val="single" w:sz="8" w:space="0" w:color="000000"/>
            </w:tcBorders>
            <w:vAlign w:val="center"/>
          </w:tcPr>
          <w:p>
            <w:pPr>
              <w:pStyle w:val="TableContents"/>
              <w:bidi w:val="0"/>
              <w:spacing w:before="0" w:after="283"/>
              <w:jc w:val="left"/>
              <w:rPr>
                <w:i/>
                <w:sz w:val="20"/>
              </w:rPr>
            </w:pPr>
            <w:r>
              <w:rPr>
                <w:i/>
                <w:sz w:val="20"/>
              </w:rPr>
              <w:t>($ in Thousands)</w:t>
            </w:r>
          </w:p>
        </w:tc>
        <w:tc>
          <w:tcPr>
            <w:tcW w:w="60" w:type="dxa"/>
            <w:tcBorders/>
            <w:tcMar>
              <w:bottom w:w="0" w:type="dxa"/>
            </w:tcMar>
            <w:vAlign w:val="center"/>
          </w:tcPr>
          <w:p>
            <w:pPr>
              <w:pStyle w:val="TableContents"/>
              <w:bidi w:val="0"/>
              <w:spacing w:before="0" w:after="283"/>
              <w:jc w:val="left"/>
              <w:rPr/>
            </w:pPr>
            <w:r>
              <w:rPr/>
              <w:t> </w:t>
            </w:r>
          </w:p>
        </w:tc>
        <w:tc>
          <w:tcPr>
            <w:tcW w:w="777"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30,</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7"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June 30,</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0"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6"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4"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4"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31,</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0"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 w:type="dxa"/>
            <w:gridSpan w:val="2"/>
            <w:tcBorders>
              <w:bottom w:val="single" w:sz="8" w:space="0" w:color="000000"/>
            </w:tcBorders>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w:t>
            </w:r>
          </w:p>
        </w:tc>
        <w:tc>
          <w:tcPr>
            <w:tcW w:w="205" w:type="dxa"/>
            <w:tcBorders/>
            <w:tcMar>
              <w:bottom w:w="0" w:type="dxa"/>
            </w:tcMar>
            <w:vAlign w:val="center"/>
          </w:tcPr>
          <w:p>
            <w:pPr>
              <w:pStyle w:val="TableContents"/>
              <w:bidi w:val="0"/>
              <w:spacing w:before="0" w:after="283"/>
              <w:jc w:val="left"/>
              <w:rPr/>
            </w:pPr>
            <w:r>
              <w:rPr/>
              <w:t> </w:t>
            </w:r>
          </w:p>
        </w:tc>
      </w:tr>
      <w:tr>
        <w:trPr/>
        <w:tc>
          <w:tcPr>
            <w:tcW w:w="2852" w:type="dxa"/>
            <w:tcBorders/>
            <w:shd w:fill="CCEEFF" w:val="clear"/>
            <w:tcMar>
              <w:bottom w:w="0" w:type="dxa"/>
            </w:tcMar>
            <w:vAlign w:val="center"/>
          </w:tcPr>
          <w:p>
            <w:pPr>
              <w:pStyle w:val="TableContents"/>
              <w:bidi w:val="0"/>
              <w:spacing w:before="0" w:after="283"/>
              <w:jc w:val="left"/>
              <w:rPr>
                <w:sz w:val="20"/>
              </w:rPr>
            </w:pPr>
            <w:r>
              <w:rPr>
                <w:sz w:val="20"/>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sz w:val="20"/>
              </w:rPr>
            </w:pPr>
            <w:r>
              <w:rPr>
                <w:sz w:val="20"/>
              </w:rPr>
              <w:t>$</w:t>
            </w:r>
          </w:p>
        </w:tc>
        <w:tc>
          <w:tcPr>
            <w:tcW w:w="632" w:type="dxa"/>
            <w:tcBorders/>
            <w:shd w:fill="CCEEFF" w:val="clear"/>
            <w:tcMar>
              <w:bottom w:w="0" w:type="dxa"/>
            </w:tcMar>
            <w:vAlign w:val="center"/>
          </w:tcPr>
          <w:p>
            <w:pPr>
              <w:pStyle w:val="TableContents"/>
              <w:bidi w:val="0"/>
              <w:spacing w:before="0" w:after="283"/>
              <w:jc w:val="right"/>
              <w:rPr>
                <w:sz w:val="20"/>
              </w:rPr>
            </w:pPr>
            <w:r>
              <w:rPr>
                <w:sz w:val="20"/>
              </w:rPr>
              <w:t>(8,665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sz w:val="20"/>
              </w:rPr>
            </w:pPr>
            <w:r>
              <w:rPr>
                <w:sz w:val="20"/>
              </w:rPr>
              <w:t>$</w:t>
            </w:r>
          </w:p>
        </w:tc>
        <w:tc>
          <w:tcPr>
            <w:tcW w:w="632" w:type="dxa"/>
            <w:tcBorders/>
            <w:shd w:fill="CCEEFF" w:val="clear"/>
            <w:tcMar>
              <w:bottom w:w="0" w:type="dxa"/>
            </w:tcMar>
            <w:vAlign w:val="center"/>
          </w:tcPr>
          <w:p>
            <w:pPr>
              <w:pStyle w:val="TableContents"/>
              <w:bidi w:val="0"/>
              <w:spacing w:before="0" w:after="283"/>
              <w:jc w:val="right"/>
              <w:rPr>
                <w:sz w:val="20"/>
              </w:rPr>
            </w:pPr>
            <w:r>
              <w:rPr>
                <w:sz w:val="20"/>
              </w:rPr>
              <w:t>(7,251</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(1,414</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right"/>
              <w:rPr>
                <w:sz w:val="20"/>
              </w:rPr>
            </w:pPr>
            <w:r>
              <w:rPr>
                <w:sz w:val="20"/>
              </w:rPr>
              <w:t>19.5</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sz w:val="20"/>
              </w:rPr>
            </w:pPr>
            <w:r>
              <w:rPr>
                <w:sz w:val="20"/>
              </w:rPr>
              <w:t>$</w:t>
            </w:r>
          </w:p>
        </w:tc>
        <w:tc>
          <w:tcPr>
            <w:tcW w:w="801" w:type="dxa"/>
            <w:tcBorders/>
            <w:shd w:fill="CCEEFF" w:val="clear"/>
            <w:tcMar>
              <w:bottom w:w="0" w:type="dxa"/>
            </w:tcMar>
            <w:vAlign w:val="center"/>
          </w:tcPr>
          <w:p>
            <w:pPr>
              <w:pStyle w:val="TableContents"/>
              <w:bidi w:val="0"/>
              <w:spacing w:before="0" w:after="283"/>
              <w:jc w:val="right"/>
              <w:rPr>
                <w:sz w:val="20"/>
              </w:rPr>
            </w:pPr>
            <w:r>
              <w:rPr>
                <w:sz w:val="20"/>
              </w:rPr>
              <w:t>(14,406</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sz w:val="20"/>
              </w:rPr>
            </w:pPr>
            <w:r>
              <w:rPr>
                <w:sz w:val="20"/>
              </w:rPr>
              <w:t>$</w:t>
            </w:r>
          </w:p>
        </w:tc>
        <w:tc>
          <w:tcPr>
            <w:tcW w:w="801" w:type="dxa"/>
            <w:tcBorders/>
            <w:shd w:fill="CCEEFF" w:val="clear"/>
            <w:tcMar>
              <w:bottom w:w="0" w:type="dxa"/>
            </w:tcMar>
            <w:vAlign w:val="center"/>
          </w:tcPr>
          <w:p>
            <w:pPr>
              <w:pStyle w:val="TableContents"/>
              <w:bidi w:val="0"/>
              <w:spacing w:before="0" w:after="283"/>
              <w:jc w:val="right"/>
              <w:rPr>
                <w:sz w:val="20"/>
              </w:rPr>
            </w:pPr>
            <w:r>
              <w:rPr>
                <w:sz w:val="20"/>
              </w:rPr>
              <w:t>(15,469</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1,063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-6.9</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852" w:type="dxa"/>
            <w:tcBorders/>
            <w:shd w:fill="FFFFFF" w:val="clear"/>
            <w:tcMar>
              <w:bottom w:w="0" w:type="dxa"/>
            </w:tcMar>
            <w:vAlign w:val="center"/>
          </w:tcPr>
          <w:p>
            <w:pPr>
              <w:pStyle w:val="TableContents"/>
              <w:bidi w:val="0"/>
              <w:spacing w:before="0" w:after="283"/>
              <w:jc w:val="left"/>
              <w:rPr>
                <w:sz w:val="20"/>
              </w:rPr>
            </w:pPr>
            <w:r>
              <w:rPr>
                <w:sz w:val="20"/>
              </w:rPr>
              <w:t>Adjustments to reconcile net loss to net cash used in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sz w:val="20"/>
              </w:rPr>
            </w:pPr>
            <w:r>
              <w:rPr>
                <w:sz w:val="20"/>
              </w:rPr>
              <w:t>4,853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sz w:val="20"/>
              </w:rPr>
            </w:pPr>
            <w:r>
              <w:rPr>
                <w:sz w:val="20"/>
              </w:rPr>
              <w:t>3,205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1,648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right"/>
              <w:rPr>
                <w:sz w:val="20"/>
              </w:rPr>
            </w:pPr>
            <w:r>
              <w:rPr>
                <w:sz w:val="20"/>
              </w:rPr>
              <w:t>51.4</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sz w:val="20"/>
              </w:rPr>
            </w:pPr>
            <w:r>
              <w:rPr>
                <w:sz w:val="20"/>
              </w:rPr>
              <w:t>12,855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sz w:val="20"/>
              </w:rPr>
            </w:pPr>
            <w:r>
              <w:rPr>
                <w:sz w:val="20"/>
              </w:rPr>
              <w:t>10,300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2,555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24.8</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852" w:type="dxa"/>
            <w:tcBorders/>
            <w:shd w:fill="CCEEFF" w:val="clear"/>
            <w:tcMar>
              <w:bottom w:w="0" w:type="dxa"/>
            </w:tcMar>
            <w:vAlign w:val="center"/>
          </w:tcPr>
          <w:p>
            <w:pPr>
              <w:pStyle w:val="TableContents"/>
              <w:bidi w:val="0"/>
              <w:spacing w:before="0" w:after="283"/>
              <w:jc w:val="left"/>
              <w:rPr>
                <w:sz w:val="20"/>
              </w:rPr>
            </w:pPr>
            <w:r>
              <w:rPr>
                <w:sz w:val="20"/>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632" w:type="dxa"/>
            <w:tcBorders/>
            <w:shd w:fill="CCEEFF" w:val="clear"/>
            <w:tcMar>
              <w:bottom w:w="0" w:type="dxa"/>
            </w:tcMar>
            <w:vAlign w:val="center"/>
          </w:tcPr>
          <w:p>
            <w:pPr>
              <w:pStyle w:val="TableContents"/>
              <w:bidi w:val="0"/>
              <w:spacing w:before="0" w:after="283"/>
              <w:jc w:val="right"/>
              <w:rPr>
                <w:sz w:val="20"/>
              </w:rPr>
            </w:pPr>
            <w:r>
              <w:rPr>
                <w:sz w:val="20"/>
              </w:rPr>
              <w:t>(3,813</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632" w:type="dxa"/>
            <w:tcBorders/>
            <w:shd w:fill="CCEEFF" w:val="clear"/>
            <w:tcMar>
              <w:bottom w:w="0" w:type="dxa"/>
            </w:tcMar>
            <w:vAlign w:val="center"/>
          </w:tcPr>
          <w:p>
            <w:pPr>
              <w:pStyle w:val="TableContents"/>
              <w:bidi w:val="0"/>
              <w:spacing w:before="0" w:after="283"/>
              <w:jc w:val="right"/>
              <w:rPr>
                <w:sz w:val="20"/>
              </w:rPr>
            </w:pPr>
            <w:r>
              <w:rPr>
                <w:sz w:val="20"/>
              </w:rPr>
              <w:t>(4,047</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234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right"/>
              <w:rPr>
                <w:sz w:val="20"/>
              </w:rPr>
            </w:pPr>
            <w:r>
              <w:rPr>
                <w:sz w:val="20"/>
              </w:rPr>
              <w:t>-5.8</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sz w:val="20"/>
              </w:rPr>
            </w:pPr>
            <w:r>
              <w:rPr>
                <w:sz w:val="20"/>
              </w:rPr>
              <w:t>(1,551</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sz w:val="20"/>
              </w:rPr>
            </w:pPr>
            <w:r>
              <w:rPr>
                <w:sz w:val="20"/>
              </w:rPr>
              <w:t>(5,168</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3,617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-70.0</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852" w:type="dxa"/>
            <w:tcBorders/>
            <w:shd w:fill="FFFFFF" w:val="clear"/>
            <w:tcMar>
              <w:bottom w:w="0" w:type="dxa"/>
            </w:tcMar>
            <w:vAlign w:val="center"/>
          </w:tcPr>
          <w:p>
            <w:pPr>
              <w:pStyle w:val="TableContents"/>
              <w:bidi w:val="0"/>
              <w:spacing w:before="0" w:after="283"/>
              <w:jc w:val="left"/>
              <w:rPr>
                <w:sz w:val="20"/>
              </w:rPr>
            </w:pPr>
            <w:r>
              <w:rPr>
                <w:sz w:val="20"/>
              </w:rPr>
              <w:t>Net cash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right"/>
              <w:rPr>
                <w:sz w:val="20"/>
              </w:rPr>
            </w:pPr>
            <w:r>
              <w:rPr>
                <w:sz w:val="20"/>
              </w:rPr>
              <w:t>nm</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sz w:val="20"/>
              </w:rPr>
            </w:pPr>
            <w:r>
              <w:rPr>
                <w:sz w:val="20"/>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sz w:val="20"/>
              </w:rPr>
            </w:pPr>
            <w:r>
              <w:rPr>
                <w:sz w:val="20"/>
              </w:rPr>
              <w:t>(11</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11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-100.0</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852" w:type="dxa"/>
            <w:tcBorders/>
            <w:shd w:fill="CCEEFF" w:val="clear"/>
            <w:tcMar>
              <w:bottom w:w="0" w:type="dxa"/>
            </w:tcMar>
            <w:vAlign w:val="center"/>
          </w:tcPr>
          <w:p>
            <w:pPr>
              <w:pStyle w:val="TableContents"/>
              <w:bidi w:val="0"/>
              <w:spacing w:before="0" w:after="283"/>
              <w:jc w:val="left"/>
              <w:rPr>
                <w:sz w:val="20"/>
              </w:rPr>
            </w:pPr>
            <w:r>
              <w:rPr>
                <w:sz w:val="20"/>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632" w:type="dxa"/>
            <w:tcBorders/>
            <w:shd w:fill="CCEEFF" w:val="clear"/>
            <w:tcMar>
              <w:bottom w:w="0" w:type="dxa"/>
            </w:tcMar>
            <w:vAlign w:val="center"/>
          </w:tcPr>
          <w:p>
            <w:pPr>
              <w:pStyle w:val="TableContents"/>
              <w:bidi w:val="0"/>
              <w:spacing w:before="0" w:after="283"/>
              <w:jc w:val="right"/>
              <w:rPr>
                <w:sz w:val="20"/>
              </w:rPr>
            </w:pPr>
            <w:r>
              <w:rPr>
                <w:sz w:val="20"/>
              </w:rPr>
              <w:t>2,191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632" w:type="dxa"/>
            <w:tcBorders/>
            <w:shd w:fill="CCEEFF" w:val="clear"/>
            <w:tcMar>
              <w:bottom w:w="0" w:type="dxa"/>
            </w:tcMar>
            <w:vAlign w:val="center"/>
          </w:tcPr>
          <w:p>
            <w:pPr>
              <w:pStyle w:val="TableContents"/>
              <w:bidi w:val="0"/>
              <w:spacing w:before="0" w:after="283"/>
              <w:jc w:val="right"/>
              <w:rPr>
                <w:sz w:val="20"/>
              </w:rPr>
            </w:pPr>
            <w:r>
              <w:rPr>
                <w:sz w:val="20"/>
              </w:rPr>
              <w:t>3,446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(1,255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right"/>
              <w:rPr>
                <w:sz w:val="20"/>
              </w:rPr>
            </w:pPr>
            <w:r>
              <w:rPr>
                <w:sz w:val="20"/>
              </w:rPr>
              <w:t>-36.4</w:t>
            </w:r>
          </w:p>
        </w:tc>
        <w:tc>
          <w:tcPr>
            <w:tcW w:w="185"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sz w:val="20"/>
              </w:rPr>
            </w:pPr>
            <w:r>
              <w:rPr>
                <w:sz w:val="20"/>
              </w:rPr>
              <w:t>2,621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801" w:type="dxa"/>
            <w:tcBorders/>
            <w:shd w:fill="CCEEFF" w:val="clear"/>
            <w:tcMar>
              <w:bottom w:w="0" w:type="dxa"/>
            </w:tcMar>
            <w:vAlign w:val="center"/>
          </w:tcPr>
          <w:p>
            <w:pPr>
              <w:pStyle w:val="TableContents"/>
              <w:bidi w:val="0"/>
              <w:spacing w:before="0" w:after="283"/>
              <w:jc w:val="right"/>
              <w:rPr>
                <w:sz w:val="20"/>
              </w:rPr>
            </w:pPr>
            <w:r>
              <w:rPr>
                <w:sz w:val="20"/>
              </w:rPr>
              <w:t>4,416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(1,795</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20"/>
              </w:rPr>
            </w:pPr>
            <w:r>
              <w:rPr>
                <w:sz w:val="20"/>
              </w:rPr>
              <w:t>-40.6</w:t>
            </w:r>
          </w:p>
        </w:tc>
        <w:tc>
          <w:tcPr>
            <w:tcW w:w="205"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852" w:type="dxa"/>
            <w:tcBorders/>
            <w:shd w:fill="FFFFFF" w:val="clear"/>
            <w:tcMar>
              <w:bottom w:w="0" w:type="dxa"/>
            </w:tcMar>
            <w:vAlign w:val="center"/>
          </w:tcPr>
          <w:p>
            <w:pPr>
              <w:pStyle w:val="TableContents"/>
              <w:bidi w:val="0"/>
              <w:spacing w:before="0" w:after="283"/>
              <w:jc w:val="left"/>
              <w:rPr>
                <w:sz w:val="20"/>
              </w:rPr>
            </w:pPr>
            <w:r>
              <w:rPr>
                <w:sz w:val="20"/>
              </w:rPr>
              <w:t>Net increase / (decrease)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sz w:val="20"/>
              </w:rPr>
            </w:pPr>
            <w:r>
              <w:rPr>
                <w:sz w:val="20"/>
              </w:rPr>
              <w:t>(1,622</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632" w:type="dxa"/>
            <w:tcBorders/>
            <w:shd w:fill="FFFFFF" w:val="clear"/>
            <w:tcMar>
              <w:bottom w:w="0" w:type="dxa"/>
            </w:tcMar>
            <w:vAlign w:val="center"/>
          </w:tcPr>
          <w:p>
            <w:pPr>
              <w:pStyle w:val="TableContents"/>
              <w:bidi w:val="0"/>
              <w:spacing w:before="0" w:after="283"/>
              <w:jc w:val="right"/>
              <w:rPr>
                <w:sz w:val="20"/>
              </w:rPr>
            </w:pPr>
            <w:r>
              <w:rPr>
                <w:sz w:val="20"/>
              </w:rPr>
              <w:t>(600</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(1,022</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right"/>
              <w:rPr>
                <w:sz w:val="20"/>
              </w:rPr>
            </w:pPr>
            <w:r>
              <w:rPr>
                <w:sz w:val="20"/>
              </w:rPr>
              <w:t>170.3</w:t>
            </w:r>
          </w:p>
        </w:tc>
        <w:tc>
          <w:tcPr>
            <w:tcW w:w="185"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sz w:val="20"/>
              </w:rPr>
            </w:pPr>
            <w:r>
              <w:rPr>
                <w:sz w:val="20"/>
              </w:rPr>
              <w:t>1,070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801" w:type="dxa"/>
            <w:tcBorders/>
            <w:shd w:fill="FFFFFF" w:val="clear"/>
            <w:tcMar>
              <w:bottom w:w="0" w:type="dxa"/>
            </w:tcMar>
            <w:vAlign w:val="center"/>
          </w:tcPr>
          <w:p>
            <w:pPr>
              <w:pStyle w:val="TableContents"/>
              <w:bidi w:val="0"/>
              <w:spacing w:before="0" w:after="283"/>
              <w:jc w:val="right"/>
              <w:rPr>
                <w:sz w:val="20"/>
              </w:rPr>
            </w:pPr>
            <w:r>
              <w:rPr>
                <w:sz w:val="20"/>
              </w:rPr>
              <w:t>(763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1,833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 w:type="dxa"/>
            <w:tcBorders/>
            <w:shd w:fill="FFFFFF" w:val="clear"/>
            <w:tcMar>
              <w:bottom w:w="0" w:type="dxa"/>
            </w:tcMar>
            <w:vAlign w:val="center"/>
          </w:tcPr>
          <w:p>
            <w:pPr>
              <w:pStyle w:val="TableContents"/>
              <w:bidi w:val="0"/>
              <w:spacing w:before="0" w:after="283"/>
              <w:jc w:val="right"/>
              <w:rPr>
                <w:sz w:val="20"/>
              </w:rPr>
            </w:pPr>
            <w:r>
              <w:rPr>
                <w:sz w:val="20"/>
              </w:rPr>
              <w:t>-240.2</w:t>
            </w:r>
          </w:p>
        </w:tc>
        <w:tc>
          <w:tcPr>
            <w:tcW w:w="205" w:type="dxa"/>
            <w:tcBorders/>
            <w:shd w:fill="FFFF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$3.8 million for the six months ended June 30, 2024. Net cash used in operating activities consists of net loss of approximately $8.7 million, offset by total adjustments of approximately $4.9 million for non-cash items and the effect of changes in working capital. Non-cash adjustments included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$0.7 million, gain on extinguishment of liability of approximately $0.5 million, non-cash interest expense of approximately $0.8 million (approximately $0.18 million for related party), amortization of debt discount and issuance costs of approximately $0.9 million (approximately $0.8 million for related party), amortization of operating lease ROU assets of approximately $0.09 million, fair value adjustment for warrant liabilities gain of approximately $0.9 million (gain of approximately $0.3 million for related party), fair value adjustment of convertible promissory notes of approximately $0.6 million, and net of change in operating assets and liabilities of approximately $2.7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net cash investing activities for the six months ended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$2.2 million for the six months ended June 30, 2024, and was primarily related to proceeds from convertible debt financing of approximately $2.3 million, net proceeds from issuance of common stock of approximately $1.9 million, repayment of Yorkville convertible notes of approximately $0.8 million, and payment of the GEM commitment fee of approximately $1.2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$4.0 million for the six months ended June 30, 2023. Net cash used in operating activities consists of net loss of approximately $7.3 million, total adjustments of approximately $3.2 million for non-cash items and the effect of changes in working capital. Non-cash adjustments include stock-based compensation expense of approximately $0.6 million, non-cash interest expense of approximately $0.7 million (approximately $0.21 million for related party), amortization of debt discount and issuance costs of approximately $1.0 million (approximately $0.7 million for related party), amortization of operating lease ROU assets of approximately $0.09 million, fair value adjustments to simple agreement for future equity of approximately $1.3 million (approximately $1.2 million for related party), fair value adjustments to bifurcated embedded derivative liabilities of approximately $0.5 million (approximately $0.3 million for related party), and net of change in operating assets and liabilities of approximately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net cash investing activities for the six months ended June 30, 2023.</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$3.4 million for the six months ended June 30, 2023, and was primarily related to proceeds from the issuance of convertible note, net of issuance costs of approximately $3.4 million (approximately $2.6 million for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$1.6 million for the year ended December 31, 2023. Net cash used in operating activities consists of net loss of $14.4 million, offset by total adjustments of $12.9 million for non-cash items and the effect of changes in working capital. Non-cash adjustments included non-cash issuance of shares to Yorkville in terms of the aggregate commitment fee of $3.3 million, non-cash issuance of warrants accounted for as liabilities of $2.4 million, non-cash GEM commitment fee of $2.0 million, stock-based compensation expense of $1.2 million, non-cash interest expense of $1.2 million ($0.5 million for related party), amortization of debt discount and issuance costs of $3.4 million ($2.4 million for related party), amortization of operating lease ROU assets of $0.2 million, fair value adjustments to simple agreement for future equity gain of $3.0 million (gain of $2.8 million for related party), fair value adjustments to bifurcated embedded derivative liabilities gain of $4.5 million (gain of $3.1 million for related party), fair value adjustment for warrant liabilities gain of $1.7 million (loss of $0.1 million for related party), and net of change in operating assets and liabilities of $8.1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net cash investing activities for the year ended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$2.6 million for the year ended December 31, 2023, and was primarily related to proceeds from convertible debt financing of $5.8 million ($2.6 million for related party), related party note payable financing of $4.4 million, offset by the effect of the Business Combination, net of transaction costs of $7.6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$5.2 million for the year ended December 31, 2022. Net cash used in operating activities consists of net loss of $15.5 million, total adjustments of $10.3 million for non-cash items and the effect of changes in working capital. Non-cash adjustments include stock-based compensation expense of $0.8 million, non-cash interest expense of $0.9 million ($0.1 million for related party), bad debt expense of $(0.1 million), amortization of debt discount and issuance costs of $0.7 million ($0.5 million for related party), amortization of operating lease ROU assets of $0.2 million, impairment of operating lease ROU assets of $0.3 million, loss on extinguishment of debt of $0.1 million, loss on modification of SAFE $1.7 million ($1.6 million for related party), fair value adjustments to simple agreement for future equity of $4.4 million ($4.0 million for related party), fair value adjustments to bifurcated embedded derivative liabilities of $0.9 million ($0.6 million for related party), and net of change in operating assets and liabilities of $0.5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$(0.01) million for the year ended December 31, 2022, and was primarily related to the purchase of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$4.4 million for the year ended December 31, 2022, and was primarily related to convertible debt financing of $5.9 million ($4.2 million for related party), net of deferred offering cost payment of $1.5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 Commitments and Financing Requirements</w:t>
      </w:r>
    </w:p>
    <w:p>
      <w:pPr>
        <w:pStyle w:val="TextBody"/>
        <w:bidi w:val="0"/>
        <w:spacing w:before="0" w:after="0"/>
        <w:jc w:val="center"/>
        <w:rPr>
          <w:caps w:val="false"/>
          <w:smallCaps w:val="false"/>
        </w:rPr>
      </w:pPr>
      <w:r>
        <w:rPr>
          <w:caps w:val="false"/>
          <w:smallCaps w:val="false"/>
        </w:rPr>
        <w:t> </w:t>
      </w:r>
    </w:p>
    <w:tbl>
      <w:tblPr>
        <w:tblW w:w="9264" w:type="dxa"/>
        <w:jc w:val="left"/>
        <w:tblInd w:w="0" w:type="dxa"/>
        <w:tblLayout w:type="fixed"/>
        <w:tblCellMar>
          <w:top w:w="0" w:type="dxa"/>
          <w:left w:w="0" w:type="dxa"/>
          <w:bottom w:w="0" w:type="dxa"/>
          <w:right w:w="0" w:type="dxa"/>
        </w:tblCellMar>
      </w:tblPr>
      <w:tblGrid>
        <w:gridCol w:w="6875"/>
        <w:gridCol w:w="60"/>
        <w:gridCol w:w="125"/>
        <w:gridCol w:w="590"/>
        <w:gridCol w:w="60"/>
        <w:gridCol w:w="60"/>
        <w:gridCol w:w="145"/>
        <w:gridCol w:w="684"/>
        <w:gridCol w:w="60"/>
        <w:gridCol w:w="60"/>
        <w:gridCol w:w="286"/>
        <w:gridCol w:w="184"/>
        <w:gridCol w:w="75"/>
      </w:tblGrid>
      <w:tr>
        <w:trPr/>
        <w:tc>
          <w:tcPr>
            <w:tcW w:w="6875" w:type="dxa"/>
            <w:tcBorders/>
            <w:vAlign w:val="center"/>
          </w:tcPr>
          <w:p>
            <w:pPr>
              <w:pStyle w:val="TableContents"/>
              <w:bidi w:val="0"/>
              <w:spacing w:before="0" w:after="283"/>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than </w:t>
              <w:br/>
              <w:t>1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1 - 3 </w:t>
              <w:br/>
              <w:t>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principal - 14% CP BF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principal - 14% CP BF term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principal - 8% Alco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principal - Yorkville Convertible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principal - GEM promissory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 expenditure commitments and financing requirements at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principal - 14% CP BF convertible and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entered into a loan agreement with CP BF Lending, LLC (“CP BF”) for $8,000,000 (the “Loan Agreement”). The Loan Agreement was comprised of a Term Note for $6,500,000 and a Convertible Note for $1,500,000, with the option upon the request of the Company for Additional Loan (“Additional Loan”) principal amount of up to $7,000,000, evidenced by additional notes with 81.25% of the principal amount of such Additional Loan being evidenced by a Term Note, and 18.75% of the principal amount of such an Additional Loan being evidenced by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If not sooner converted or prepaid, the Convertible Note principal together with accrued and unpaid interest thereon, unpaid fees and expenses and any other Obligations then due, shall be paid on the Loan Maturity Date. Upon the occurrence, and during the continuance, of an Event of Default (as defined in the agreement), interest on the Term Note will bear cash interest at a per annum rate of 20% (“Default Rate”) and no PIK interest shall accrue at any time during an Event of Default and the Convertible Note will bear PIK Interest at a per annum at the Default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may voluntarily prepay the Principal of the Loans, in accordance with their terms, in whole or in part at any time. On the date of any such prepayment, the Company will owe to Lender: (i) all accrued and unpaid Cash Interest with respect to the principal amount so prepaid through the date the prepayment is made; (ii) if such prepayment is prior to the twelve-month anniversary of the Closing Date, all unpaid interest (including for the avoidance of doubt, PIK Interest and Cash Interest) with respect to the principal amount so prepaid that would have been due and payable on or prior to the twelve-month anniversary of the Closing Date had the Loans remained outstanding until such twelve-month anniversary date (the “Yield Maintenance Premium”); (iii)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(iv) all other Obligations, if any, that shall have become due and payable hereunder with respect to the principal amount so prepaid.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including restrictions on the Company’s ability to incur indebtedness, grant liens or security interest on assets, make acquisitions, loans, advances or investments, or sell or otherwise transfer assets, among others. The Loan Agreement also contains other financial covenants related to minimum gross profit margin, minimum ARR (Annual Recurring Revenue) growth rate, and fixed charge ratio, among other financial covenants per the terms of the Loan Agreement. The Loan Agreement is secured by a first-priority Lien (subject to Permitted Liens) on and security interest in the Collateral pursuant to the terms of the Collateral Documents. The Loan Agreement named Joseph Davy, CEO, as Guarantor, and per the term of the Loan Agreement, he is willing to guarantee the full payment, performance and collection of all of the Credit Parties’ obligations thereunder and under the Loan Agreement, all as further set forth therein.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at any time thereafter unless and until such Event of Default has been waived by CP BF or cured to the satisfaction of Lender, subject to the exercise of customary commercial underwriting standards in determining such satisfaction, Lender may, without notice or demand to the Credit Parties declare the unpaid principal of and any accrued interest shall be immediately due and payable. While the Company and the Lender are engaged in good faith discussions to resolve these matters, no agreement to resolve such matters has been reached and all of the Loans remain in default for the reasons stated above, and the Lender is not presently exercising remedies, which the Lender reserves the right to so do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Term and Convertible Notes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forbearance agreement (the “Forbearance Agreement”) with CP BF Lending. Under the terms of this Forbearance Agreement, and as a result of the Company’s non-compliance with certain covenants of its Loan Agreement with CP BF, CP BF agreed to (i) amend certain provisions of the Loan Agreement to clarify the treatment of the Merger with 7GC under the Loan Agreement, (ii) consent to the consummation of the Merger Agreement with 7GC and (iii) forbear from exercising any of its rights and remedies under the Loan Agreement with the Company from the effective date of the Forbearance Agreement until the earlier of (a) the four-month anniversary of the closing of the Merger if the Merger is closed on or prior to December 29, 2023, (b) December 29, 2023 if the Merger is not consummated on or prior to December 29, 2023 or (c) the date on which any Termination Event (as defined within the Forbearance Agreement) shall have occurred. In connection with the Forbearance Agreement, CP BF and the Company also agreed to amend and restate CP BF’s existing convertible promissory notes (the “A&amp;R CP BF Notes”) so that they may remain outstanding following the closing of the Merger and, at CP BF’s option, be convertible into Class A shares of the combined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First Amendment to the Forbearance Agreement with the Lender. In particular, the Company agreed to pay the Lender an amount in cash equal to $23,748 (the “Amendment Fee”) on the execution date to extend the forbearance period from the four-month anniversary of the closing of the Merger to the six-month anniversary of the closing of the Merger. This amendment was deemed to be a debt modification in accordance with ASC 470, Debt, which will be accounted for prospectively. Modification does not result in recognition of a gain or loss in the consolidated statement of operations but does impact interest expense recognized in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principal - 8% Alco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the earlier of August 29, 2024 and the closing of the next transaction in which the Company sells for cash any of its equity securities (i) with net proceeds of greater than $4,000,000 or (ii) pursuant to which the note holder acquires equity securities in an amount not less than the then-outstanding balance of the Alco August Promissory Note, as amended on May 30, 2024; such amendment also provides the holder with a purchase right should the company conduct an offering while the Alco August Promissory Note is outstanding. The Company recorded a $3,711 debt discount upon issuance of the Alco August Promissory Note. For the six months ended June 30, 2024, interest expense on the Alco August Promissory Note totaled $8,357, comprised of $5,983 of contractual accrued interest and $2,374 for the amortization of the discount. As of June 30, 2024 and December 31, 2023, $150,000 of principal and $10,027 and $4,044, respectively, of accrued interest is outstanding under the Alco August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Investment Company, a related party. The Alco September Promissory Note bears interest at a rate of 8% per annum. The outstanding principal and accrued interest are due and payable on September 30, 2024. The Company recorded $8,588 of debt issuance costs and a $638,808 debt discount upon issuance of the Alco September Promissory Note, relating to the share transfer agreements, see below. For the six months ended June 30, 2024, interest expense on the Alco September Promissory Note totaled $187,498, comprised of $59,836 of contractual accrued interest and $127,662 for the amortization of the discount. As of June 30, 2024 and December 31, 2023, $1,500,000 of principal and $90,411 and $30,575, respectively, of accrued interest is outstanding under the Alco September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are due and payable on the earlier of August 29, 2024 and the closing of the next transaction in which the Company sells for cash any of its equity securities (i) with net proceeds of greater than $4,000,000 or (ii) pursuant to which the note holder acquires equity securities in an amount not less than the then-outstanding balance of the Alco November Promissory Note, as amended on May 30, 2024; such amendment also provides the holder with a purchase right should the company conduct an offering while the Alco August Promissory Note is outstanding. The Company recorded a $363,905 debt discount upon issuance of the Alco November Promissory Note relating to the share transfer agreements, see below. For the six months ended June 30, 2024, interest expense on the Alco November Promissory Note totaled $217,249, comprised of $29,918 of contractual accrued interest and $187,331 for the amortization of the discount. As of June 30, 2024 and December 31, 2023, $750,000 of principal and $31,375 and $7,397, respectively, of accrued interest is outstanding under the Alco November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six months ended June 30, 2024, interest expense on the Alco December Promissory Note totaled $549,883, comprised of $79,780 of contractual accrued interest and $470,103 for the amortization of the discount. As of June 30, 2024 and December 31, 2023, $2,000,000 of principal and $87,670 and $7,890, respectively, of accrued interest is outstanding under the Alco December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issuances of the Alco September, November, and December Promissory Notes, the Company, 7GC and the Sponsor entered into share transfer agreements (the “Alco Share Transfer Agreements”) with Alco Investment Company. Pursuant to which for each $500.00 in principal borrowed under the Alco September and November Promissory Notes, the Sponsor agreed to forfeit one share of 7GC Class B Common Stock held by the Sponsor, in exchange for the right of Alco to receive one New Banzai Class A Share. For each $500.00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3,000, 1,500, and 12,000, respectively. Pursuant to the Alco Share Transfer Agreements, the shares are subject to an 180-day lock-up period upon issuance of the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principal - 7GC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June 30, 2024. The promissory notes were issued on December 21, 2022 for a principal amount of $2,300,000 (“December 2022 7GC Note”) and on October 3, 2023 for a principal amount of $250,000 (“October 2023 7G Note, together with the December 2022 7GC Note, the “7GC Promissory Notes”). The 7GC Promissory Notes were issued to the Sponsor, 7GC &amp; Co. Holdings LLC. The 7GC Promissory Notes do not bear interest and were repayable in full upon the earlier of the consummation of a business combination or the date the Company liquidates the trust account (the “Trust Account”) established in connection with the Company’s initial public offering (the “IPO”) upon the failure of the Company to consummate a business combination within the requisite time period. Under the original terms of the 7GC Promissory Notes, the Sponsor has the option, but not the obligation, to convert the principal balance of the Note, in whole or in part, into that number of shares of Class A common stock, $0.0001 par value per share, of the Company equal to the principal amount of the Note so converted divided by $10.00.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2023, in connection with the Merger, the Sponsor came to a non-binding agreement (“First Amendment”) with the Company to amend the optional conversion provision of the 7GC Promissory Notes. The First Amendment provided that the holder has the right to elect to convert up to the full amount of the principal balance of the 7GC Promissory Notes, in whole or in part, 30 days after the closing of the Merger (the “Closing”) at a conversion price equal to the average daily VWAP of Class A Common Stock for the 30 trading days following the Closing. This amendment was deemed to be a debt modification in accordance with ASC 470, Debt, which will be accounted for prospectively. Modification does not result in recognition of a gain or loss in the consolidated statement of operations but does impact interest expense recognized in the future. Pursuant to ASC 470, if the modification or exchange of a convertible debt instrument is not accounted for as an extinguishment, the accounting for the change in the fair value of the embedded conversion option which increases the value of the embedded conversion option (calculated as the difference between the fair value of the embedded conversion option immediately before and after the modification or exchange) is recorded as a reduction to the carrying amount of the 7GC Promissory Notes with a corresponding increase to additional paid in capital. The 7GC Promissory Notes were converted in full and subsequently cancelled on March 6,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principal - Yorkville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 non-cash original issue discount of $100,000.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$1,500,000 (the “March Yorkville Promissory Note”, together with the December Yorkville Convertible Note and February Yorkville Promissory Note (the “Yorkville Promissory Notes”), received net proceeds of $1,250,000 after a non-cash original issue discount of $250,000 from Yorkville.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Convertible Notes have a maturity date of June 14, 2024, and accrue interest at 0% per annum, subject to an increase to 18% per annum upon events of default as defined in the agreement. As of June 30, 2024, no events of default have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 after a period of 60 days following the closing of the offering. Under the Amended Debt Repayment Agreement, the Company and 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$750,000 on May 31, 2024 (the “Repayment Date”), and issued an Advance Notice for the purchase of 12,000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the right to convert any portion of the outstanding principal into shares of Class A common stock at any time. The number of shares issuable upon conversion is equal to the amount of principal to be converted (as specified by Yorkville) divided by the Conversion Price (as defined in the Standby Equity Purchase Agreement disclosure in Note 15).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Class A common stock is less than the Fixed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Convertible Notes agreement (each an “Amortization Event”), the Company may be required to make monthly repayments of amounts outstanding under the Yorkville Convertible Notes, with each monthly repayment to be in an amount equal to the sum of (x) $1,000,000, plus (y) 10% in respect of such amount, and (z) all outstanding accrued and unpaid interest as of each payment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ending June 30, 2024, $800,000 of principal under the December Yorkville Convertible Note was converted into 35,940 shares of Class A Common stock of the Company and the full principal amount of $1,000,000 under the February Yorkville Convertible Note was converted into 28,910 Class A Common stock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December 31, 2023, the principal amount outstanding under the Yorkville Convertible Notes was $1.95 million and $2 million, respectively. During the six months ended June 30, 2024, the Company recorded interest expense of $80,760 in connection with the Yorkville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principal -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has issued an aggregate of 20,902 shares of Class A Common Stock to GEM in lieu of monthly payment obligations and the remaining balance of the GEM Promissory Note as of June 30, 2024 is $600,000.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on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debt totals $3.0 million for the six months ended June 30, 2024, representing the aggregate interest expenses / payments obligation to be paid and to be recognized during the rest of the terms of the Loan Agreements and Senior Convertible Notes,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has an operating lease for its real estate for office use. The lease term expires in October 2024. Banzai adopted ASC 842 Leases by applying the guidance at adoption date, January 1, 2022. The $81,708 balance recognized as of June 30, 2024 represents the future minimum lease payments under non-cancellable leases as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Structure and Maturity Profile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45"/>
        <w:gridCol w:w="60"/>
        <w:gridCol w:w="157"/>
        <w:gridCol w:w="763"/>
        <w:gridCol w:w="60"/>
        <w:gridCol w:w="60"/>
        <w:gridCol w:w="219"/>
        <w:gridCol w:w="1000"/>
        <w:gridCol w:w="95"/>
        <w:gridCol w:w="60"/>
        <w:gridCol w:w="140"/>
        <w:gridCol w:w="680"/>
        <w:gridCol w:w="60"/>
        <w:gridCol w:w="60"/>
        <w:gridCol w:w="142"/>
        <w:gridCol w:w="568"/>
        <w:gridCol w:w="60"/>
        <w:gridCol w:w="60"/>
        <w:gridCol w:w="211"/>
        <w:gridCol w:w="1028"/>
        <w:gridCol w:w="77"/>
      </w:tblGrid>
      <w:tr>
        <w:trPr/>
        <w:tc>
          <w:tcPr>
            <w:tcW w:w="4645"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Discount /</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Cost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Carrying</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9"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Carrying Value</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77" w:type="dxa"/>
            <w:tcBorders/>
            <w:tcMar>
              <w:bottom w:w="0" w:type="dxa"/>
            </w:tcMar>
            <w:vAlign w:val="center"/>
          </w:tcPr>
          <w:p>
            <w:pPr>
              <w:pStyle w:val="TableContents"/>
              <w:bidi w:val="0"/>
              <w:spacing w:before="0" w:after="283"/>
              <w:jc w:val="left"/>
              <w:rPr/>
            </w:pPr>
            <w:r>
              <w:rPr/>
              <w:t> </w:t>
            </w:r>
          </w:p>
        </w:tc>
      </w:tr>
      <w:tr>
        <w:trPr/>
        <w:tc>
          <w:tcPr>
            <w:tcW w:w="4645" w:type="dxa"/>
            <w:tcBorders/>
            <w:shd w:fill="CCEEFF" w:val="clear"/>
            <w:tcMar>
              <w:bottom w:w="0" w:type="dxa"/>
            </w:tcMar>
            <w:vAlign w:val="center"/>
          </w:tcPr>
          <w:p>
            <w:pPr>
              <w:pStyle w:val="TableContents"/>
              <w:bidi w:val="0"/>
              <w:spacing w:before="0" w:after="283"/>
              <w:jc w:val="left"/>
              <w:rPr/>
            </w:pPr>
            <w:r>
              <w:rPr/>
              <w:t>As of 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5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645" w:type="dxa"/>
            <w:tcBorders/>
            <w:shd w:fill="FFFFFF" w:val="clear"/>
            <w:tcMar>
              <w:bottom w:w="0" w:type="dxa"/>
            </w:tcMar>
            <w:vAlign w:val="center"/>
          </w:tcPr>
          <w:p>
            <w:pPr>
              <w:pStyle w:val="TableContents"/>
              <w:bidi w:val="0"/>
              <w:spacing w:before="0" w:after="283"/>
              <w:jc w:val="left"/>
              <w:rPr/>
            </w:pPr>
            <w:r>
              <w:rPr/>
              <w:t>Debt principal - 14% CP BF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w:t>
            </w:r>
          </w:p>
        </w:tc>
        <w:tc>
          <w:tcPr>
            <w:tcW w:w="763" w:type="dxa"/>
            <w:tcBorders/>
            <w:shd w:fill="FFFFFF" w:val="clear"/>
            <w:tcMar>
              <w:bottom w:w="0" w:type="dxa"/>
            </w:tcMar>
            <w:vAlign w:val="center"/>
          </w:tcPr>
          <w:p>
            <w:pPr>
              <w:pStyle w:val="TableContents"/>
              <w:bidi w:val="0"/>
              <w:spacing w:before="0" w:after="283"/>
              <w:jc w:val="right"/>
              <w:rPr/>
            </w:pPr>
            <w:r>
              <w:rPr/>
              <w:t>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w:t>
            </w:r>
          </w:p>
        </w:tc>
        <w:tc>
          <w:tcPr>
            <w:tcW w:w="1000" w:type="dxa"/>
            <w:tcBorders/>
            <w:shd w:fill="FFFFFF" w:val="clear"/>
            <w:tcMar>
              <w:bottom w:w="0" w:type="dxa"/>
            </w:tcMar>
            <w:vAlign w:val="center"/>
          </w:tcPr>
          <w:p>
            <w:pPr>
              <w:pStyle w:val="TableContents"/>
              <w:bidi w:val="0"/>
              <w:spacing w:before="0" w:after="283"/>
              <w:jc w:val="right"/>
              <w:rPr/>
            </w:pPr>
            <w:r>
              <w:rPr/>
              <w:t>(76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6,424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568" w:type="dxa"/>
            <w:tcBorders/>
            <w:shd w:fill="FFFFFF" w:val="clear"/>
            <w:tcMar>
              <w:bottom w:w="0" w:type="dxa"/>
            </w:tcMar>
            <w:vAlign w:val="center"/>
          </w:tcPr>
          <w:p>
            <w:pPr>
              <w:pStyle w:val="TableContents"/>
              <w:bidi w:val="0"/>
              <w:spacing w:before="0" w:after="283"/>
              <w:jc w:val="right"/>
              <w:rPr/>
            </w:pPr>
            <w:r>
              <w:rPr/>
              <w:t>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1028" w:type="dxa"/>
            <w:tcBorders/>
            <w:shd w:fill="FFFFFF" w:val="clear"/>
            <w:tcMar>
              <w:bottom w:w="0" w:type="dxa"/>
            </w:tcMar>
            <w:vAlign w:val="center"/>
          </w:tcPr>
          <w:p>
            <w:pPr>
              <w:pStyle w:val="TableContents"/>
              <w:bidi w:val="0"/>
              <w:spacing w:before="0" w:after="283"/>
              <w:jc w:val="right"/>
              <w:rPr/>
            </w:pPr>
            <w:r>
              <w:rPr/>
              <w:t>7,089</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645" w:type="dxa"/>
            <w:tcBorders/>
            <w:shd w:fill="CCEEFF" w:val="clear"/>
            <w:tcMar>
              <w:bottom w:w="0" w:type="dxa"/>
            </w:tcMar>
            <w:vAlign w:val="center"/>
          </w:tcPr>
          <w:p>
            <w:pPr>
              <w:pStyle w:val="TableContents"/>
              <w:bidi w:val="0"/>
              <w:spacing w:before="0" w:after="283"/>
              <w:jc w:val="left"/>
              <w:rPr/>
            </w:pPr>
            <w:r>
              <w:rPr/>
              <w:t>Debt principal - 8% Alco promissory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4,400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(1,157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568" w:type="dxa"/>
            <w:tcBorders/>
            <w:shd w:fill="CCEEFF" w:val="clear"/>
            <w:tcMar>
              <w:bottom w:w="0" w:type="dxa"/>
            </w:tcMar>
            <w:vAlign w:val="center"/>
          </w:tcPr>
          <w:p>
            <w:pPr>
              <w:pStyle w:val="TableContents"/>
              <w:bidi w:val="0"/>
              <w:spacing w:before="0" w:after="283"/>
              <w:jc w:val="right"/>
              <w:rPr/>
            </w:pPr>
            <w:r>
              <w:rPr/>
              <w:t>225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3,468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645" w:type="dxa"/>
            <w:tcBorders/>
            <w:shd w:fill="FFFFFF" w:val="clear"/>
            <w:tcMar>
              <w:bottom w:w="0" w:type="dxa"/>
            </w:tcMar>
            <w:vAlign w:val="center"/>
          </w:tcPr>
          <w:p>
            <w:pPr>
              <w:pStyle w:val="TableContents"/>
              <w:bidi w:val="0"/>
              <w:spacing w:before="0" w:after="283"/>
              <w:jc w:val="left"/>
              <w:rPr/>
            </w:pPr>
            <w:r>
              <w:rPr/>
              <w:t>Debt principal - Yorkville Convertible promissory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1,950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2,013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5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2,013</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645" w:type="dxa"/>
            <w:tcBorders/>
            <w:shd w:fill="CCEEFF" w:val="clear"/>
            <w:tcMar>
              <w:bottom w:w="0" w:type="dxa"/>
            </w:tcMar>
            <w:vAlign w:val="center"/>
          </w:tcPr>
          <w:p>
            <w:pPr>
              <w:pStyle w:val="TableContents"/>
              <w:bidi w:val="0"/>
              <w:spacing w:before="0" w:after="283"/>
              <w:jc w:val="left"/>
              <w:rPr/>
            </w:pPr>
            <w:r>
              <w:rPr/>
              <w:t>Debt principal - 14%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1,821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568" w:type="dxa"/>
            <w:tcBorders/>
            <w:shd w:fill="CCEEFF" w:val="clear"/>
            <w:tcMar>
              <w:bottom w:w="0" w:type="dxa"/>
            </w:tcMar>
            <w:vAlign w:val="center"/>
          </w:tcPr>
          <w:p>
            <w:pPr>
              <w:pStyle w:val="TableContents"/>
              <w:bidi w:val="0"/>
              <w:spacing w:before="0" w:after="283"/>
              <w:jc w:val="right"/>
              <w:rPr/>
            </w:pPr>
            <w:r>
              <w:rPr/>
              <w:t>1,136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2,930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4645" w:type="dxa"/>
            <w:tcBorders/>
            <w:shd w:fill="FFFFFF" w:val="clear"/>
            <w:tcMar>
              <w:bottom w:w="0" w:type="dxa"/>
            </w:tcMar>
            <w:vAlign w:val="center"/>
          </w:tcPr>
          <w:p>
            <w:pPr>
              <w:pStyle w:val="TableContents"/>
              <w:bidi w:val="0"/>
              <w:spacing w:before="0" w:after="283"/>
              <w:jc w:val="left"/>
              <w:rPr/>
            </w:pPr>
            <w:r>
              <w:rPr/>
              <w:t>Debt principal - GEM promissory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vAlign w:val="center"/>
          </w:tcPr>
          <w:p>
            <w:pPr>
              <w:pStyle w:val="TableContents"/>
              <w:bidi w:val="0"/>
              <w:spacing w:before="0" w:after="283"/>
              <w:jc w:val="left"/>
              <w:rPr/>
            </w:pPr>
            <w:r>
              <w:rPr/>
              <w:t> </w:t>
            </w:r>
          </w:p>
        </w:tc>
        <w:tc>
          <w:tcPr>
            <w:tcW w:w="763" w:type="dxa"/>
            <w:tcBorders>
              <w:bottom w:val="single" w:sz="8" w:space="0" w:color="000000"/>
            </w:tcBorders>
            <w:shd w:fill="FFFFFF" w:val="clear"/>
            <w:vAlign w:val="center"/>
          </w:tcPr>
          <w:p>
            <w:pPr>
              <w:pStyle w:val="TableContents"/>
              <w:bidi w:val="0"/>
              <w:spacing w:before="0" w:after="283"/>
              <w:jc w:val="right"/>
              <w:rPr/>
            </w:pPr>
            <w:r>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FFFFFF" w:val="clear"/>
            <w:vAlign w:val="center"/>
          </w:tcPr>
          <w:p>
            <w:pPr>
              <w:pStyle w:val="TableContents"/>
              <w:bidi w:val="0"/>
              <w:spacing w:before="0" w:after="283"/>
              <w:jc w:val="left"/>
              <w:rPr/>
            </w:pPr>
            <w:r>
              <w:rPr/>
              <w:t> </w:t>
            </w:r>
          </w:p>
        </w:tc>
        <w:tc>
          <w:tcPr>
            <w:tcW w:w="10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56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pPr>
            <w:r>
              <w:rPr/>
              <w:t> </w:t>
            </w:r>
          </w:p>
        </w:tc>
        <w:tc>
          <w:tcPr>
            <w:tcW w:w="1028" w:type="dxa"/>
            <w:tcBorders>
              <w:bottom w:val="single" w:sz="8" w:space="0" w:color="000000"/>
            </w:tcBorders>
            <w:shd w:fill="FFFFFF" w:val="clear"/>
            <w:vAlign w:val="center"/>
          </w:tcPr>
          <w:p>
            <w:pPr>
              <w:pStyle w:val="TableContents"/>
              <w:bidi w:val="0"/>
              <w:spacing w:before="0" w:after="283"/>
              <w:jc w:val="right"/>
              <w:rPr/>
            </w:pPr>
            <w:r>
              <w:rPr/>
              <w:t>600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4645" w:type="dxa"/>
            <w:tcBorders/>
            <w:shd w:fill="CCEEFF" w:val="clear"/>
            <w:tcMar>
              <w:bottom w:w="0" w:type="dxa"/>
            </w:tcMar>
            <w:vAlign w:val="center"/>
          </w:tcPr>
          <w:p>
            <w:pPr>
              <w:pStyle w:val="TableContents"/>
              <w:bidi w:val="0"/>
              <w:spacing w:before="0" w:after="283"/>
              <w:jc w:val="left"/>
              <w:rPr/>
            </w:pPr>
            <w:r>
              <w:rPr/>
              <w:t>Total debt carrying values at 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763" w:type="dxa"/>
            <w:tcBorders/>
            <w:shd w:fill="CCEEFF" w:val="clear"/>
            <w:tcMar>
              <w:bottom w:w="0" w:type="dxa"/>
            </w:tcMar>
            <w:vAlign w:val="center"/>
          </w:tcPr>
          <w:p>
            <w:pPr>
              <w:pStyle w:val="TableContents"/>
              <w:bidi w:val="0"/>
              <w:spacing w:before="0" w:after="283"/>
              <w:jc w:val="right"/>
              <w:rPr/>
            </w:pPr>
            <w:r>
              <w:rPr/>
              <w:t>15,271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(1,247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14,074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568" w:type="dxa"/>
            <w:tcBorders/>
            <w:shd w:fill="CCEEFF" w:val="clear"/>
            <w:tcMar>
              <w:bottom w:w="0" w:type="dxa"/>
            </w:tcMar>
            <w:vAlign w:val="center"/>
          </w:tcPr>
          <w:p>
            <w:pPr>
              <w:pStyle w:val="TableContents"/>
              <w:bidi w:val="0"/>
              <w:spacing w:before="0" w:after="283"/>
              <w:jc w:val="righ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1028" w:type="dxa"/>
            <w:tcBorders/>
            <w:shd w:fill="CCEEFF" w:val="clear"/>
            <w:tcMar>
              <w:bottom w:w="0" w:type="dxa"/>
            </w:tcMar>
            <w:vAlign w:val="center"/>
          </w:tcPr>
          <w:p>
            <w:pPr>
              <w:pStyle w:val="TableContents"/>
              <w:bidi w:val="0"/>
              <w:spacing w:before="0" w:after="283"/>
              <w:jc w:val="right"/>
              <w:rPr/>
            </w:pPr>
            <w:r>
              <w:rPr/>
              <w:t>16,100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existing leases contain escalation clauses and renewal options. Banzai is not reasonably certain that renewal options will be exercised upon expiration of the initial terms of its existing leases. Prior to adoption of ASU 2016-02 effective January 1, 2022, Banzai accounted for operating lease transactions by recording lease expense on a straight-line basis over the expected term of the lease.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underwriting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2023, the Company and Cantor amended the Fee Reduction Agreement to provide that the Reduced Deferred Fee was payable in the form of 22,279 shares of Class A Common Stock and to provide that Cantor is subject to a 12-month lock-up with respect to the Cantor Fee Shares. On December 28, 2023, the Company issued the Cantor Fee Shares to Cantor, covering the Reduced Deferred Fee in accordance with the Fee Reduction Agreement. The fair value of the 22,279 shares of Class A Common Stock was determined to be $2,450,639 on December 28, 2023 based on the Company’s opening stock price of $110.00. Although the Company issued the Cantor Fee Shares, as of June 30, 2024,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June 30, 2024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commitment fee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Legacy Banzai entered into the GEM Agreement with GEM pursuant to which, among other things, upon the terms and subject to the conditions of the GEM Agreement, GEM was to purchase Legacy Banzai (or its successor per the GEM Agreement) up to the number of duly authorized, validly issued, fully paid and non-assessable shares of common stock having an aggregate value of $100,000,000 (the “GEM Financing”). Further, in terms of the GEM Agreement, on the date of public listing of Legacy Banzai, Legacy Banzai was required to make and execute a warrant granting GEM the right to purchase up to the number of common shares of Legacy Banzai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Legacy Banzai and GEM entered into the GEM Term Sheet and, on December 14, 2023, the GEM Letter, agreeing to terminate in its entirety the GEM Agreement by and between Legacy Banzai and GEM, other than with respect to the Company’s obligation (as the post-combination company in the Business Combination)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June 30, 2024,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the GEM Settlement Agreement, pursuant to which (a) the Company and GEM agreed to (i) settle the Company’s obligations under and terminate the GEM Term Sheet, and (ii) terminate the GEM Agreement, and (b) the Company (i) agreed to pay GEM $1.2 million in cash within three business days of the GEM Settlement Agreement and (ii) issued to GEM the GEM an unsecured promissory Note on February 5, 2024 in the amount of $1.0 million, payable in monthly installments of $100,000 beginning on March 1, 2024, with the final payment to be made on December 1, 2024 (the “GEM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this prospectus, we have issued an aggregate of 40,000 shares of Class A Common Stock to GEM in lieu of monthly payment obligations through October 14,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2023 or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is not applicable as we are a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Previously Identified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concluded that it had material weaknesses in its IT General Controls, adherence to the Committee of Sponsoring Organizations (“COSO”) of the Treadway Commission in Internal Control-Integrated Framework (2013), and period end financial close and reporting process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in our internal control over financial reporting for the year ended December 31, 2023, and the quarter ended June 30, 2024,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IT General Controls</w:t>
            </w:r>
            <w:r>
              <w:rPr>
                <w:rFonts w:ascii="Times New Roman;Times;Serif" w:hAnsi="Times New Roman;Times;Serif"/>
                <w:b w:val="false"/>
                <w:i w:val="false"/>
                <w:caps w:val="false"/>
                <w:smallCaps w:val="false"/>
                <w:sz w:val="20"/>
              </w:rPr>
              <w:t xml:space="preserve">-We did not maintain an effective IT control environment because we did not maintain a formal cybersecurity governance program, sufficient provisioning, deprovisioning, user access reviews, and reviews of service organizations.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COSO Entity Level Controls</w:t>
            </w:r>
            <w:r>
              <w:rPr>
                <w:rFonts w:ascii="Times New Roman;Times;Serif" w:hAnsi="Times New Roman;Times;Serif"/>
                <w:b w:val="false"/>
                <w:i w:val="false"/>
                <w:caps w:val="false"/>
                <w:smallCaps w:val="false"/>
                <w:sz w:val="20"/>
              </w:rPr>
              <w:t xml:space="preserve">-We did not maintain effective controls over the identification and monitoring of related party relationships and transactions and have not yet implemented a formal delegation of authority process.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Period end financial close and reporting</w:t>
            </w:r>
            <w:r>
              <w:rPr>
                <w:rFonts w:ascii="Times New Roman;Times;Serif" w:hAnsi="Times New Roman;Times;Serif"/>
                <w:b w:val="false"/>
                <w:i w:val="false"/>
                <w:caps w:val="false"/>
                <w:smallCaps w:val="false"/>
                <w:sz w:val="20"/>
              </w:rPr>
              <w:t xml:space="preserve">-Our assessment of internal controls has identified a material weakness whereby the CFO has unrestricted administrative access to the General Ledger (GL) system. Given the concentration of responsibility includes approval of key transactions, bank account reconciliations, and journal entries, administrative access to the G/L system should be restricted to personnel outside of Accounting and Finance function.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of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remediation of the material weaknesses described above, as well as the continued improvement of our internal control over financial reporting. We are in the process of taking steps to remediate the identified material weaknesses and continue to evaluate our internal controls over financial reporting, including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IT General Controls: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implemented enhanced segregation of duties and workflow approvals to prevent unauthorized changes in our systems.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begun utilizing the services of external consultants to review our internal controls environment and make recommendations to remediate the material weaknesses in our financial reporting.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begun utilizing the services of external consultants to complete a formal cybersecurity assessment and subsequently identified remediation plans to address any gaps and weaknesses.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utilized the services of external consultants to assist in the development of an incident response plan to mitigate the IT control risk, which we expect to formalize by the end of 2024.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COSO Entity Level Controls: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utilized the services of external consultants to assist in the identification and documentation of entity level controls as of June 30, 2024. Additionally, in Q1 2024 we completed a formal COSO mapping document and remediation plans have been drafted where gaps were identified.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implemented an Audit Committee, Compensation Committee, Nominating and Governance Committee and Board of Directors immediately post-merger.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Period End Financial Close and Reporting: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begun utilizing the services of external consultants to assess our overall security role design and privileged user access for each of our in-scope applications, including our general ledger system. We expect to implement certain user access changes by the end of 2024 and further system-wide changes thereafter.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our evaluation and improve our internal control over financial reporting, management may identify and take additional measures to address control deficiencies. We cannot assure you that we will be successful in remediating the material weaknesses in a timely manner. See the section titled “</w:t>
      </w:r>
      <w:r>
        <w:rPr>
          <w:rFonts w:ascii="Times New Roman;Times;Serif" w:hAnsi="Times New Roman;Times;Serif"/>
          <w:b w:val="false"/>
          <w:i/>
          <w:caps w:val="false"/>
          <w:smallCaps w:val="false"/>
          <w:sz w:val="20"/>
        </w:rPr>
        <w:t>Risk Factors-We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j_001"/>
      <w:bookmarkEnd w:id="9"/>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(f/k/a 7GC &amp; Co. Holdings Inc.) is a MarTech company that produces data-driven marketing and sales solutions for businesses of all sizes. We were originally incorporated in Delaware in September 2020 as a blank check company formed for the purpose of effecting a merger, share exchange, asset acquisition, stock purchase, reorganization or similar business combination with one or more businesses or entities. Upon closing the Business Combination on December 14, 2023 pursuant to the Original Merger Agreement (as amended by the Merger Agreement Amendment, we acquired Legacy Banzai. Legacy Banzai operates under the name “Banzai Operating Co Inc.” (the “Operating Company”) and is one of our two wholly owned subsidiaries. Legacy Banzai was incorporated in Delaware in September 2015. Our business operations are currently conducted by the Operating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MarTech company, our mission is to help our customers accomplish their mission-to enable better marketing, sales, and customer engagement outcomes by increasing the value of every customer interaction. We plan to do this by delivering SaaS MarTech tools that leverage data, analytics, and artificial intelligence (“AI”) to improve all types of customer interactions and provide powerful benefits to our customers across three key areas of focus: targeting, engagement, and measurement. As part of our acquisition strategy, we also endeavor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currently includes three products. The first product we launched was Reach, a SaaS and managed services offering designed to increase registration and attendance of marketing events, followed by the acquisition of Demio, a SaaS solution for webinars designed for marketing, sales, and customer success teams in 2021. In 2023, we launched Boost, a SaaS solution for social sharing designed to increase attendance for Demio-hosted events by enabling easy social sharing by event registrants.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with customer contracts that vary in term length from single months to multiple years. As of December 31, 2023, our customer base included over 2,770 customers operating in over 90 countries, representing a variety of industries, including (among others) healthcare, financial services, e-commerce, technology, media and others. Our customers range in size from solo entrepreneurs and small businesses to Fortune 500 companies. No single customer represents more than 1% of our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experienced significant growth and transformation in recent years. As companies increasingly rely on digital channels to reach customers, the demand for MarTech solutions has grown. MarTech refers to the software and tools that enable marketers to plan, execute, and measure their campaigns across various channels.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complex, with thousands of vendors offering a wide range of solutions. There are 11,038 MarTech companies included in the 2023 Marketing Technology Landscape report published by ChiefMartec, a leading marketing technology research group. MarTech solutions can be grouped into several broad categories, including advertising and promotion, content and experience, social and relationships, commerce and sales, data management and analytics, and marketing automation.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drivers of growth in the MarTech industry is the increasing importance of data-driven marketing. As companies collect more data on their customers’ behaviors and preferences, they need more sophisticated tools to analyze this data and use it to inform and optimize their marketing strategies. This has led to a proliferation of customer data platforms, customer relationship management (“CRM”) systems, analytics tools, and other solutions that help marketers make sense of their data and utilize it more effectively.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trend driving growth in the MarTech industry is the rise of AI and machine learning. These technologies can be used to automate many aspects of marketing campaigns, from ad targeting to content creation. Overall, the MarTech industry is expected to continue growing rapidly in the coming years as companies invest more heavily in digital marketing channels. However, with so many vendors offering similar solutions, competition is fierce, making it essential for MarTech companies to differentiate themselves through innovation and exceptional customer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key trends in MarTech that are shaping the industry and driving innovation: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Personalization</w:t>
            </w:r>
            <w:r>
              <w:rPr>
                <w:rFonts w:ascii="Times New Roman;Times;Serif" w:hAnsi="Times New Roman;Times;Serif"/>
                <w:b w:val="false"/>
                <w:i w:val="false"/>
                <w:caps w:val="false"/>
                <w:smallCaps w:val="false"/>
                <w:sz w:val="20"/>
              </w:rPr>
              <w:t xml:space="preserve">: Consumers today expect personalized experiences from the brands they interact with, and MarTech solutions are helping companies deliver on this expectation. By leveraging data and AI, marketers can create highly targeted campaigns that speak directly to individual customers’ needs and preferences.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Automation</w:t>
            </w:r>
            <w:r>
              <w:rPr>
                <w:rFonts w:ascii="Times New Roman;Times;Serif" w:hAnsi="Times New Roman;Times;Serif"/>
                <w:b w:val="false"/>
                <w:i w:val="false"/>
                <w:caps w:val="false"/>
                <w:smallCaps w:val="false"/>
                <w:sz w:val="20"/>
              </w:rPr>
              <w:t xml:space="preserve">: As marketing campaigns become more complex, automation is becoming increasingly important. By leveraging data and AI, MarTech solutions can automate many aspects of marketing, from ad targeting to content creation, freeing up marketers’ time to focus on strategy and creativity.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Integration</w:t>
            </w:r>
            <w:r>
              <w:rPr>
                <w:rFonts w:ascii="Times New Roman;Times;Serif" w:hAnsi="Times New Roman;Times;Serif"/>
                <w:b w:val="false"/>
                <w:i w:val="false"/>
                <w:caps w:val="false"/>
                <w:smallCaps w:val="false"/>
                <w:sz w:val="20"/>
              </w:rPr>
              <w:t xml:space="preserve">: With so many different MarTech solutions available, integration has become a major challenge for marketers. To address this issue, many vendors are working to create more open platforms that can easily integrate with other tools and systems. The growing trend of open platforms allows us to gather larger amounts of data as an input from an increasing variety of marketing tools and platforms to then leverage in AI systems.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Data Privacy</w:t>
            </w:r>
            <w:r>
              <w:rPr>
                <w:rFonts w:ascii="Times New Roman;Times;Serif" w:hAnsi="Times New Roman;Times;Serif"/>
                <w:b w:val="false"/>
                <w:i w:val="false"/>
                <w:caps w:val="false"/>
                <w:smallCaps w:val="false"/>
                <w:sz w:val="20"/>
              </w:rPr>
              <w:t xml:space="preserve">: With the increasing importance of data-driven marketing comes a greater need for data privacy and security. MarTech vendors are working to ensure that their solutions comply with regulations like the EU General Data Protection Regulation (“GDPR”) and the California Consumer Privacy Act of 2018 (“CCPA”), while also providing customers with greater control over their data.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Results Driven Environment</w:t>
            </w:r>
            <w:r>
              <w:rPr>
                <w:rFonts w:ascii="Times New Roman;Times;Serif" w:hAnsi="Times New Roman;Times;Serif"/>
                <w:b w:val="false"/>
                <w:i w:val="false"/>
                <w:caps w:val="false"/>
                <w:smallCaps w:val="false"/>
                <w:sz w:val="20"/>
              </w:rPr>
              <w:t xml:space="preserve">: In today’s economic environment, marketers are faced with internal pressure to prove the value of every dollar spent while also maintaining results across every channel. Marketers require a complete view of performance and ROI of all marketing campaigns and investments to enable better decision making and streamline their operations.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is constantly evolving, and these trends are just a few of the many factors shaping its future. As technology continues to advance, the success of any MarTech company will depend on its ability to adapt to these trends and deliver real value to marketers and their customers alike.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tasks ranging from acquiring and nurturing leads, to executing and optimizing campaigns and managing and measuring content, data, and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an analysis of our opportunity within the MarTech space. Winterberry provided a Strategic Due Diligence Assessment Report (the “Winterberry Report”) on April 14, 2023, which estimated the size of our total addressable market (our “TAM”), which is defined to include B2B spending in the United States on demand generation, marketing automation, digital events platforms, account-based marketing, customer relationship management, engagement, content management systems, customer data platforms, measurement and attribution, and predictive and prescriptive analytics. The Winterberry Report forecasted our TAM to reach an estimated $39.42 billion by 2026, which would represent a projected compound annual growth rate (“CAGR”) of 11.80% during the 2020 to 2026 period. The Winterberry Report also estimated our Serviceable Addressable Market (our “SAM”), which is defined to include B2B spending in the United States on measurement and attribution, demand generation, and digital events platforms. The Winterberry Report forecasted our SAM to reach an estimated $8.37 billion by 2026. This would represent a projected CAGR of 16.07% during the 2020 to 2026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offers three SaaS products: Demio, Boost, and Reach.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user-friendly, browser-based webinar platform with extensive data and marketing features designed to help businesses effectively engage with their audience through live events and on-demand, interactive video content. Demio enables customers to create, host, and manage webinars with ease, providing a suite of tools and features that enhance audience interaction, generate leads, and drive sales. Demio provides the following features and benefits to customers: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Easy Webinar Creation and Setup</w:t>
            </w:r>
            <w:r>
              <w:rPr>
                <w:rFonts w:ascii="Times New Roman;Times;Serif" w:hAnsi="Times New Roman;Times;Serif"/>
                <w:b w:val="false"/>
                <w:i w:val="false"/>
                <w:caps w:val="false"/>
                <w:smallCaps w:val="false"/>
                <w:sz w:val="20"/>
              </w:rPr>
              <w:t xml:space="preserve">: Demio allows users to quickly create and schedule webinars with a simple, intuitive interface. Users can customize their webinar registration pages, add branding elements, and set up email reminders for attendees.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Live Webinars</w:t>
            </w:r>
            <w:r>
              <w:rPr>
                <w:rFonts w:ascii="Times New Roman;Times;Serif" w:hAnsi="Times New Roman;Times;Serif"/>
                <w:b w:val="false"/>
                <w:i w:val="false"/>
                <w:caps w:val="false"/>
                <w:smallCaps w:val="false"/>
                <w:sz w:val="20"/>
              </w:rPr>
              <w:t xml:space="preserve">: Customers can host live webinars, where they can interact with their audience in real-time using features like polls, question &amp; answer sessions, featured actions, and pre-loaded content.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Automated Webinars</w:t>
            </w:r>
            <w:r>
              <w:rPr>
                <w:rFonts w:ascii="Times New Roman;Times;Serif" w:hAnsi="Times New Roman;Times;Serif"/>
                <w:b w:val="false"/>
                <w:i w:val="false"/>
                <w:caps w:val="false"/>
                <w:smallCaps w:val="false"/>
                <w:sz w:val="20"/>
              </w:rPr>
              <w:t xml:space="preserve">: Automated webinars run on a pre-set schedule and can run with or without participation from the host. This flexibility enables businesses to reach their audience at the most convenient times and increase engagement.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Audience Interaction</w:t>
            </w:r>
            <w:r>
              <w:rPr>
                <w:rFonts w:ascii="Times New Roman;Times;Serif" w:hAnsi="Times New Roman;Times;Serif"/>
                <w:b w:val="false"/>
                <w:i w:val="false"/>
                <w:caps w:val="false"/>
                <w:smallCaps w:val="false"/>
                <w:sz w:val="20"/>
              </w:rPr>
              <w:t xml:space="preserve">: Demio offers a range of engagement tools, such as polls, question &amp; answer sessions, and real-time chat, which allow presenters to interact with their audience during the webinar and helps create a more interactive experience, leading to higher attendee engagement.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Screen Sharing and Presentations</w:t>
            </w:r>
            <w:r>
              <w:rPr>
                <w:rFonts w:ascii="Times New Roman;Times;Serif" w:hAnsi="Times New Roman;Times;Serif"/>
                <w:b w:val="false"/>
                <w:i w:val="false"/>
                <w:caps w:val="false"/>
                <w:smallCaps w:val="false"/>
                <w:sz w:val="20"/>
              </w:rPr>
              <w:t xml:space="preserve">: Presenters can share their screen, display slides, or play videos during the webinar, providing a seamless multimedia experience for the audience. This helps to create a more professional and polished presentation.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Integration with Marketing Tools</w:t>
            </w:r>
            <w:r>
              <w:rPr>
                <w:rFonts w:ascii="Times New Roman;Times;Serif" w:hAnsi="Times New Roman;Times;Serif"/>
                <w:b w:val="false"/>
                <w:i w:val="false"/>
                <w:caps w:val="false"/>
                <w:smallCaps w:val="false"/>
                <w:sz w:val="20"/>
              </w:rPr>
              <w:t xml:space="preserve">: Demio integrates with various marketing tools and platforms, such as CRM systems, email marketing services, and marketing automation software, allowing users to streamline their lead generation and follow-up processes.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Analytics and Reporting</w:t>
            </w:r>
            <w:r>
              <w:rPr>
                <w:rFonts w:ascii="Times New Roman;Times;Serif" w:hAnsi="Times New Roman;Times;Serif"/>
                <w:b w:val="false"/>
                <w:i w:val="false"/>
                <w:caps w:val="false"/>
                <w:smallCaps w:val="false"/>
                <w:sz w:val="20"/>
              </w:rPr>
              <w:t xml:space="preserve">: Demio provides detailed analytics and reporting features, giving users insights into attendee engagement, registration conversion, and overall webinar performance. This data can help businesses optimize their webinar strategies and improve their results.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Lead Generation and Sales</w:t>
            </w:r>
            <w:r>
              <w:rPr>
                <w:rFonts w:ascii="Times New Roman;Times;Serif" w:hAnsi="Times New Roman;Times;Serif"/>
                <w:b w:val="false"/>
                <w:i w:val="false"/>
                <w:caps w:val="false"/>
                <w:smallCaps w:val="false"/>
                <w:sz w:val="20"/>
              </w:rPr>
              <w:t xml:space="preserve">: With customizable registration forms, Demio enables customers to capture lead information during the registration process. Additionally, Demio’s built-in call-to-action (“CTA”) feature allows presenters to promote products or services during the webinar, driving sales and audience conversions.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Demio enables customers to create and host engaging, interactive webinars with ease, helping businesses generate leads, drive sales, and foster strong relationships with their audience.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 tool utilized by customers to enhance participation in their Demio webinars. This tool allows registered attendees to promote Demio webinars on social media platforms. Moreover, Boost offers incentives to current registrants to encourage additional signups. In this manner, registrants become promoters, with the ability to tailor promotional content for platforms such as Facebook, LinkedIn, Twitter, and email. Boost’s native integration with Demio ensures a smooth user experience. Boost offers customers a series of features and benefits, as outlined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Email Notifications</w:t>
            </w:r>
            <w:r>
              <w:rPr>
                <w:rFonts w:ascii="Times New Roman;Times;Serif" w:hAnsi="Times New Roman;Times;Serif"/>
                <w:b w:val="false"/>
                <w:i w:val="false"/>
                <w:caps w:val="false"/>
                <w:smallCaps w:val="false"/>
                <w:sz w:val="20"/>
              </w:rPr>
              <w:t xml:space="preserve">: Boost integrates with Demio to send automated notifications to all event registrants directing them to a share page.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Social Sharing</w:t>
            </w:r>
            <w:r>
              <w:rPr>
                <w:rFonts w:ascii="Times New Roman;Times;Serif" w:hAnsi="Times New Roman;Times;Serif"/>
                <w:b w:val="false"/>
                <w:i w:val="false"/>
                <w:caps w:val="false"/>
                <w:smallCaps w:val="false"/>
                <w:sz w:val="20"/>
              </w:rPr>
              <w:t xml:space="preserve">: Boost provides a share page that makes it easy for registrants to share Demio registration links on LinkedIn, Twitter, Facebook, and via email.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Link Tracking</w:t>
            </w:r>
            <w:r>
              <w:rPr>
                <w:rFonts w:ascii="Times New Roman;Times;Serif" w:hAnsi="Times New Roman;Times;Serif"/>
                <w:b w:val="false"/>
                <w:i w:val="false"/>
                <w:caps w:val="false"/>
                <w:smallCaps w:val="false"/>
                <w:sz w:val="20"/>
              </w:rPr>
              <w:t xml:space="preserve">: Boost’s seamless link tracking enables customers to identify which registrants have driven additional registrations through their links.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Rewards</w:t>
            </w:r>
            <w:r>
              <w:rPr>
                <w:rFonts w:ascii="Times New Roman;Times;Serif" w:hAnsi="Times New Roman;Times;Serif"/>
                <w:b w:val="false"/>
                <w:i w:val="false"/>
                <w:caps w:val="false"/>
                <w:smallCaps w:val="false"/>
                <w:sz w:val="20"/>
              </w:rPr>
              <w:t xml:space="preserve">: Boost enables offering rewards for registrants who drive additional registrations and tracking reward attainment through tracking links.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summary, Boost enables customers to create social sharing campaigns for their events more easily, leading to increased registrations.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use Reach to directly connect with their event’s target audience to increase registrations for their events. Reach’s Audience AI feature generates target lists of potential event attendees, and the email marketing feature sends personalized email invitations to those target lists. Reach provides features such 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Audience AI</w:t>
            </w:r>
            <w:r>
              <w:rPr>
                <w:rFonts w:ascii="Times New Roman;Times;Serif" w:hAnsi="Times New Roman;Times;Serif"/>
                <w:b w:val="false"/>
                <w:i w:val="false"/>
                <w:caps w:val="false"/>
                <w:smallCaps w:val="false"/>
                <w:sz w:val="20"/>
              </w:rPr>
              <w:t xml:space="preserve">: Reach enables targeting of a potential audience based on customer-defined criteria such as region, job title, company size, and revenue. </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185"/>
        <w:gridCol w:w="88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Automatic Event Invitations</w:t>
            </w:r>
            <w:r>
              <w:rPr>
                <w:rFonts w:ascii="Times New Roman;Times;Serif" w:hAnsi="Times New Roman;Times;Serif"/>
                <w:b w:val="false"/>
                <w:i w:val="false"/>
                <w:caps w:val="false"/>
                <w:smallCaps w:val="false"/>
                <w:sz w:val="20"/>
              </w:rPr>
              <w:t xml:space="preserve">: Event invitations are automatically generated and sent to targeted customers.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Event Confirmation and Reminders</w:t>
            </w:r>
            <w:r>
              <w:rPr>
                <w:rFonts w:ascii="Times New Roman;Times;Serif" w:hAnsi="Times New Roman;Times;Serif"/>
                <w:b w:val="false"/>
                <w:i w:val="false"/>
                <w:caps w:val="false"/>
                <w:smallCaps w:val="false"/>
                <w:sz w:val="20"/>
              </w:rPr>
              <w:t xml:space="preserve">: Confirmations and reminders are automatically generated and sent to registrants to improve attendance rate.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Opt-ins and Privacy Compliance</w:t>
            </w:r>
            <w:r>
              <w:rPr>
                <w:rFonts w:ascii="Times New Roman;Times;Serif" w:hAnsi="Times New Roman;Times;Serif"/>
                <w:b w:val="false"/>
                <w:i w:val="false"/>
                <w:caps w:val="false"/>
                <w:smallCaps w:val="false"/>
                <w:sz w:val="20"/>
              </w:rPr>
              <w:t xml:space="preserve">: Reach enables customers to define customized privacy policy and opt-in language to help customers maintain compliance with privacy regulations such as GDPR.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Target Lists</w:t>
            </w:r>
            <w:r>
              <w:rPr>
                <w:rFonts w:ascii="Times New Roman;Times;Serif" w:hAnsi="Times New Roman;Times;Serif"/>
                <w:b w:val="false"/>
                <w:i w:val="false"/>
                <w:caps w:val="false"/>
                <w:smallCaps w:val="false"/>
                <w:sz w:val="20"/>
              </w:rPr>
              <w:t xml:space="preserve">: Account and contact lists can be specified for inclusion or exclusion, allowing customers to enact account-based marketing (“ABM”) campaigns or exclude sensitive accounts or contacts.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 Scrubbing</w:t>
            </w:r>
            <w:r>
              <w:rPr>
                <w:rFonts w:ascii="Times New Roman;Times;Serif" w:hAnsi="Times New Roman;Times;Serif"/>
                <w:b w:val="false"/>
                <w:i w:val="false"/>
                <w:caps w:val="false"/>
                <w:smallCaps w:val="false"/>
                <w:sz w:val="20"/>
              </w:rPr>
              <w:t xml:space="preserve">: Target lists are pre-validated to remove invalid email addresses and other invalid contacts, improving email deliverability rates.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can be used to drive event attendance and reach leads that customers might be otherwise unable to engage.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ability to create products and features based on data and AI to increase customer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Strategic Vision and Alignment</w:t>
            </w:r>
            <w:r>
              <w:rPr>
                <w:rFonts w:ascii="Times New Roman;Times;Serif" w:hAnsi="Times New Roman;Times;Serif"/>
                <w:b w:val="false"/>
                <w:i w:val="false"/>
                <w:caps w:val="false"/>
                <w:smallCaps w:val="false"/>
                <w:sz w:val="20"/>
              </w:rPr>
              <w:t xml:space="preserve">: We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Customer-Centric Approach</w:t>
            </w:r>
            <w:r>
              <w:rPr>
                <w:rFonts w:ascii="Times New Roman;Times;Serif" w:hAnsi="Times New Roman;Times;Serif"/>
                <w:b w:val="false"/>
                <w:i w:val="false"/>
                <w:caps w:val="false"/>
                <w:smallCaps w:val="false"/>
                <w:sz w:val="20"/>
              </w:rPr>
              <w:t xml:space="preserve">: By prioritizing innovation, we demonstrate a commitment to addressing the evolving needs and expectations of our customers. This customer-centric approach helps us maintain a competitive edge, as we continuously adapt our products and services to stay relevant and valuable to our existing and future customers.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Growth</w:t>
            </w:r>
            <w:r>
              <w:rPr>
                <w:rFonts w:ascii="Times New Roman;Times;Serif" w:hAnsi="Times New Roman;Times;Serif"/>
                <w:b w:val="false"/>
                <w:i w:val="false"/>
                <w:caps w:val="false"/>
                <w:smallCaps w:val="false"/>
                <w:sz w:val="20"/>
              </w:rPr>
              <w:t xml:space="preserve">: By identifying opportunities for new features, enhancements, and market segments, we can strategically plan and execute our growth initiatives, supporting our long-term sustainability and success.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Expansion</w:t>
            </w:r>
            <w:r>
              <w:rPr>
                <w:rFonts w:ascii="Times New Roman;Times;Serif" w:hAnsi="Times New Roman;Times;Serif"/>
                <w:b w:val="false"/>
                <w:i w:val="false"/>
                <w:caps w:val="false"/>
                <w:smallCaps w:val="false"/>
                <w:sz w:val="20"/>
              </w:rPr>
              <w:t xml:space="preserve">: We believe our strategies support increasing the average amount of revenue we earn per customer per year (our average customer value or “ACV”) through development of features that are correlated with usage by higher value customers. We also develop add-on features and products that can be sold to our existing customers.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Resource Allocation</w:t>
            </w:r>
            <w:r>
              <w:rPr>
                <w:rFonts w:ascii="Times New Roman;Times;Serif" w:hAnsi="Times New Roman;Times;Serif"/>
                <w:b w:val="false"/>
                <w:i w:val="false"/>
                <w:caps w:val="false"/>
                <w:smallCaps w:val="false"/>
                <w:sz w:val="20"/>
              </w:rPr>
              <w:t xml:space="preserve">: Our strategic planning process allows us to better allocate resources between projects, allowing us to advance multiple initiatives at once. This capability is essential for a multi-product company to maintain product leadership on multiple fronts.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Stakeholder Communication</w:t>
            </w:r>
            <w:r>
              <w:rPr>
                <w:rFonts w:ascii="Times New Roman;Times;Serif" w:hAnsi="Times New Roman;Times;Serif"/>
                <w:b w:val="false"/>
                <w:i w:val="false"/>
                <w:caps w:val="false"/>
                <w:smallCaps w:val="false"/>
                <w:sz w:val="20"/>
              </w:rPr>
              <w:t xml:space="preserve">: A product roadmap serves as a powerful communication tool, enabling us to set clear expectations with our customers. We use tools such as Product Board to accept customer feedback and share upcoming product changes.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product areas that we are focused on for the foreseeable future. These may change from time to time as we learn from our customers and make changes to our strategy.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Mobile Capabilities</w:t>
            </w:r>
            <w:r>
              <w:rPr>
                <w:rFonts w:ascii="Times New Roman;Times;Serif" w:hAnsi="Times New Roman;Times;Serif"/>
                <w:b w:val="false"/>
                <w:i w:val="false"/>
                <w:caps w:val="false"/>
                <w:smallCaps w:val="false"/>
                <w:sz w:val="20"/>
              </w:rPr>
              <w:t xml:space="preserve">: By expanding our mobile web experience or developing future mobile apps, we believe we can increase customer value across multiple products, including Demio.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Integrations</w:t>
            </w:r>
            <w:r>
              <w:rPr>
                <w:rFonts w:ascii="Times New Roman;Times;Serif" w:hAnsi="Times New Roman;Times;Serif"/>
                <w:b w:val="false"/>
                <w:i w:val="false"/>
                <w:caps w:val="false"/>
                <w:smallCaps w:val="false"/>
                <w:sz w:val="20"/>
              </w:rPr>
              <w:t xml:space="preserve">: Integrations are a core feature of Demio. Over time, we will want to develop integrations with new systems, as well as improve our existing integrations.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xml:space="preserve">: We are exploring a number of additional AI-powered features such as text-to-voice, translation, transcription, and content generation.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Analytics &amp; Insights</w:t>
            </w:r>
            <w:r>
              <w:rPr>
                <w:rFonts w:ascii="Times New Roman;Times;Serif" w:hAnsi="Times New Roman;Times;Serif"/>
                <w:b w:val="false"/>
                <w:i w:val="false"/>
                <w:caps w:val="false"/>
                <w:smallCaps w:val="false"/>
                <w:sz w:val="20"/>
              </w:rPr>
              <w:t xml:space="preserve">: We are embedding analytics and insights features into multiple products, including Demio. These features seek to enable our customers to see new perspectives on their data, further improve their results, and dramatically reduce their manual analysis effort.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 Generation</w:t>
            </w:r>
            <w:r>
              <w:rPr>
                <w:rFonts w:ascii="Times New Roman;Times;Serif" w:hAnsi="Times New Roman;Times;Serif"/>
                <w:b w:val="false"/>
                <w:i w:val="false"/>
                <w:caps w:val="false"/>
                <w:smallCaps w:val="false"/>
                <w:sz w:val="20"/>
              </w:rPr>
              <w:t xml:space="preserve">: We believe there may be opportunities in automating ad-creative generation (e.g., text, images, and videos) to help our customers improve their ad performance through automated testing.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Content and Experience Hosting</w:t>
            </w:r>
            <w:r>
              <w:rPr>
                <w:rFonts w:ascii="Times New Roman;Times;Serif" w:hAnsi="Times New Roman;Times;Serif"/>
                <w:b w:val="false"/>
                <w:i w:val="false"/>
                <w:caps w:val="false"/>
                <w:smallCaps w:val="false"/>
                <w:sz w:val="20"/>
              </w:rPr>
              <w:t xml:space="preserve">: We are expanding the content and experiences that can be hosted and deployed using Banzai products. For example, we plan to improve our automated events capability in Demio.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xml:space="preserve">: Continue to acquire new customers cost effectively through organic traffic, content, affiliates, social media, partnerships, advertising, word-of-mouth, and other sources.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xml:space="preserve">: Continue to expand our customer success and customer marketing organizations to increase customer retention and customer expansion.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xml:space="preserve">: Continue to develop our family of products to create defensibly differentiated solutions that are essential to customers.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xml:space="preserve">: Roll out new products that attract new customers and expand the ways we can serve existing customers.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 xml:space="preserve">Banzai signed and announced non-binding letters of intent (“LOI”) to acquire 4 target companies in Q1 2024. The company is still engaged in the potential acquisition of Boast and Cliently, for which the company previously announced non-binding LOIs. These companies, which operate in the MarTech space, provide data analytics, innovative solutions in social media and B2B scraping across multiple platforms. Completion of these acquisitions would enhance the company’s product offerings that would lead to the next stage of growth for Banzai.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for Demio. Progress towards this is reflected in our increase in multi-host Demio customers from 12 on January 1, 2021 to 116 on December 31, 2023, an approximately 10-fold increase.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or purchase directly from our product websites or start free product trials which can lead to a later paid subscription or purchase. Our direct sales customers subscribe or purchase through sales representatives, who are compensated with a base salary and typically participate in incentive plans such as commissions or bonuses.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and demand generation programs, webinars, and other direct and indirect marketing activities to reach our target audience and acquire leads and customers.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 It is common for our customers to purchase services to supplement their subscriptions to include additional licenses or products. For example, as of December 31, 2023, less than 8 months after the launch of the Boost product, approximately 1.0% of Demio customers had also purchased the Boost add-on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MarTech landscape: digital events and webinars, demand generation, creative development, engagement platforms and marketing automation, and measurement and attribution.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Brand</w:t>
            </w:r>
            <w:r>
              <w:rPr>
                <w:rFonts w:ascii="Times New Roman;Times;Serif" w:hAnsi="Times New Roman;Times;Serif"/>
                <w:b w:val="false"/>
                <w:i w:val="false"/>
                <w:caps w:val="false"/>
                <w:smallCaps w:val="false"/>
                <w:sz w:val="20"/>
              </w:rPr>
              <w:t xml:space="preserve">: Our recognizable brand, and the brands of our products, especially Demio, can be leveraged to acquire customers at lower costs than reliance on paid advertising alone.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Existing Customer Base</w:t>
            </w:r>
            <w:r>
              <w:rPr>
                <w:rFonts w:ascii="Times New Roman;Times;Serif" w:hAnsi="Times New Roman;Times;Serif"/>
                <w:b w:val="false"/>
                <w:i w:val="false"/>
                <w:caps w:val="false"/>
                <w:smallCaps w:val="false"/>
                <w:sz w:val="20"/>
              </w:rPr>
              <w:t xml:space="preserve">: Our existing customers can be cross-sold additional products we may offer in the future. We can also cross sell our current products to existing customers.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Success</w:t>
            </w:r>
            <w:r>
              <w:rPr>
                <w:rFonts w:ascii="Times New Roman;Times;Serif" w:hAnsi="Times New Roman;Times;Serif"/>
                <w:b w:val="false"/>
                <w:i w:val="false"/>
                <w:caps w:val="false"/>
                <w:smallCaps w:val="false"/>
                <w:sz w:val="20"/>
              </w:rPr>
              <w:t xml:space="preserve">: We have developed an operational competency in customer success, enabling us to more effectively leverage our customer base to drive expansion sales.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in the following ways: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xml:space="preserve">: Our products incorporate data either as a primary value proposition or an enabling feature, or by utilizing data through integrations to simplify and streamline otherwise complex business processes.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 / Machine Learning</w:t>
            </w:r>
            <w:r>
              <w:rPr>
                <w:rFonts w:ascii="Times New Roman;Times;Serif" w:hAnsi="Times New Roman;Times;Serif"/>
                <w:b w:val="false"/>
                <w:i w:val="false"/>
                <w:caps w:val="false"/>
                <w:smallCaps w:val="false"/>
                <w:sz w:val="20"/>
              </w:rPr>
              <w:t xml:space="preserve">: Many of our products incorporate AI and machine learning to deliver new capabilities or improved performance for our customers.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Marketing Industry Focus</w:t>
            </w:r>
            <w:r>
              <w:rPr>
                <w:rFonts w:ascii="Times New Roman;Times;Serif" w:hAnsi="Times New Roman;Times;Serif"/>
                <w:b w:val="false"/>
                <w:i w:val="false"/>
                <w:caps w:val="false"/>
                <w:smallCaps w:val="false"/>
                <w:sz w:val="20"/>
              </w:rPr>
              <w:t xml:space="preserve">: Our focus exclusively on the marketing industry differentiates us from broad-market competitors such as Zoom and GoToWebinar in the digital event, analytics, and webinar product categories.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Organic Customer Acquisition</w:t>
            </w:r>
            <w:r>
              <w:rPr>
                <w:rFonts w:ascii="Times New Roman;Times;Serif" w:hAnsi="Times New Roman;Times;Serif"/>
                <w:b w:val="false"/>
                <w:i w:val="false"/>
                <w:caps w:val="false"/>
                <w:smallCaps w:val="false"/>
                <w:sz w:val="20"/>
              </w:rPr>
              <w:t xml:space="preserve">: The majority of our product trials and new leads come from organic customer acquisition due to our content, social media, affiliates, word-of-mouth, and brand awareness.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Multi-Product Strategy</w:t>
            </w:r>
            <w:r>
              <w:rPr>
                <w:rFonts w:ascii="Times New Roman;Times;Serif" w:hAnsi="Times New Roman;Times;Serif"/>
                <w:b w:val="false"/>
                <w:i w:val="false"/>
                <w:caps w:val="false"/>
                <w:smallCaps w:val="false"/>
                <w:sz w:val="20"/>
              </w:rPr>
              <w:t xml:space="preserve">: Multiple products provide opportunities to grow our customer base through expansion that single-product companies typically do not have.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2023, we held two registered trademark in the United States: “Banzai”, “Demio”. For more information regarding risks related to our intellectual property, please see “</w:t>
      </w:r>
      <w:r>
        <w:rPr>
          <w:rFonts w:ascii="Times New Roman;Times;Serif" w:hAnsi="Times New Roman;Times;Serif"/>
          <w:b w:val="false"/>
          <w:i/>
          <w:caps w:val="false"/>
          <w:smallCaps w:val="false"/>
          <w:sz w:val="20"/>
        </w:rPr>
        <w:t>Risk Factors-Risks Related to Business and Industry-Failure to protect or enforce our intellectual property rights could harm our business and results of operations” and “Risk Factors-Risks Related to Business and Industry-Third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435 Ericksen Ave NE, Suite 250, Bainbridge Island, WA 98110 and, as of December 31, 2023, consists of approximately 1,800 square feet of space under a lease that expires in September 2024. We believe this facility is adequate and suitable for our current and anticipated future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13 full-time employees, 0 part-time employees, and 54 contractors.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 xml:space="preserve">Technology and marketing are constantly changing. We value learning because adaptation is essential to delivering the best solutions for our customers. Our team members are open-minded, critical-thinkers who are willing to disagree, try new things, and change their minds when warranted.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005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 Our offices are located at 435 Ericksen Ave NE, Suite 250, Bainbridge Island, WA 98110. Our website is www.banzai.io.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wholly owned operating subsidiaries: Banzai Operating Co LLC (f/k/a Banzai International, Inc.) and Demio Holding, Inc.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j_002"/>
      <w:bookmarkEnd w:id="10"/>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the persons who currently serve, as of the date of this prospectus, as directors and executive officers of Banzai.</w:t>
      </w:r>
    </w:p>
    <w:p>
      <w:pPr>
        <w:pStyle w:val="TextBody"/>
        <w:bidi w:val="0"/>
        <w:spacing w:before="0" w:after="0"/>
        <w:ind w:left="0" w:right="0" w:hanging="0"/>
        <w:jc w:val="left"/>
        <w:rPr>
          <w:caps w:val="false"/>
          <w:smallCaps w:val="false"/>
        </w:rPr>
      </w:pPr>
      <w:r>
        <w:rPr>
          <w:caps w:val="false"/>
          <w:smallCaps w:val="false"/>
        </w:rPr>
        <w:t> </w:t>
      </w:r>
    </w:p>
    <w:tbl>
      <w:tblPr>
        <w:tblW w:w="6150" w:type="dxa"/>
        <w:jc w:val="left"/>
        <w:tblInd w:w="0" w:type="dxa"/>
        <w:tblLayout w:type="fixed"/>
        <w:tblCellMar>
          <w:top w:w="0" w:type="dxa"/>
          <w:left w:w="0" w:type="dxa"/>
          <w:bottom w:w="28" w:type="dxa"/>
          <w:right w:w="0" w:type="dxa"/>
        </w:tblCellMar>
      </w:tblPr>
      <w:tblGrid>
        <w:gridCol w:w="1790"/>
        <w:gridCol w:w="60"/>
        <w:gridCol w:w="350"/>
        <w:gridCol w:w="60"/>
        <w:gridCol w:w="3890"/>
      </w:tblGrid>
      <w:tr>
        <w:trPr/>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P.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Alvin Yip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Stanley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Customer Experience</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 (1)(2)(3)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 (1)(2)(3)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60"/>
        <w:gridCol w:w="26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of the audit committee. </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60"/>
        <w:gridCol w:w="33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of the compensation committee. </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60"/>
        <w:gridCol w:w="53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 of the nominating and corporate governance committee.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P. Davy</w:t>
      </w:r>
      <w:r>
        <w:rPr>
          <w:rFonts w:ascii="Times New Roman;Times;Serif" w:hAnsi="Times New Roman;Times;Serif"/>
          <w:b w:val="false"/>
          <w:i w:val="false"/>
          <w:caps w:val="false"/>
          <w:smallCaps w:val="false"/>
          <w:sz w:val="20"/>
        </w:rPr>
        <w:t xml:space="preserve"> serves as our Chief Executive Officer and a member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Alvin Yip </w:t>
      </w:r>
      <w:r>
        <w:rPr>
          <w:rFonts w:ascii="Times New Roman;Times;Serif" w:hAnsi="Times New Roman;Times;Serif"/>
          <w:b w:val="false"/>
          <w:i w:val="false"/>
          <w:caps w:val="false"/>
          <w:smallCaps w:val="false"/>
          <w:sz w:val="20"/>
        </w:rPr>
        <w:t>serves as our Interim Chief Financial Officer and prior to this, served as Legacy Banzai’s Corporate Controller since 2022. Prior to that, Mr. Yip worked at Pax Lab Inc as Director of Accounting from 2021 to 2022, as a Chief Financial consultant at RGP from 2018 to 2021, as a Corporate Controller at [24/].ai from 2010 to 2018.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Rachel Stanley</w:t>
      </w:r>
      <w:r>
        <w:rPr>
          <w:rFonts w:ascii="Times New Roman;Times;Serif" w:hAnsi="Times New Roman;Times;Serif"/>
          <w:b w:val="false"/>
          <w:i w:val="false"/>
          <w:caps w:val="false"/>
          <w:smallCaps w:val="false"/>
          <w:sz w:val="20"/>
        </w:rPr>
        <w:t xml:space="preserve"> serves as our Vice President of Customer Experience and prior to this, served as Legacy Banzai’s Vice President of Revenue since 2022 and previously served as Legacy Banzai’s Vice President of Customer Experience from 2021 to 2022, as Senior Director of Customer Adoption and Support in 2021, as Director of Customer Adoption from 2020 to 2021, and as Enterprise Customer Success Manager from 2019 to 2020. In 2018, she served as Marketing Manager at Amazon. Prior to that, she worked at ACS Technologies as Team Leader from 2014 to 2018, as Implementation Consultant from 2012 to 2014, and as Launch and Onboarding Coordinator in 2012. Ms. Stanley worked at CRISTA Ministries as Administrative Assistant in the President’s Office from 2011 to 2012. Ms. Stanley holds a degree from Palm Beach Atlantic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December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 See “</w:t>
      </w:r>
      <w:r>
        <w:rPr>
          <w:rFonts w:ascii="Times New Roman;Times;Serif" w:hAnsi="Times New Roman;Times;Serif"/>
          <w:b w:val="false"/>
          <w:i/>
          <w:caps w:val="false"/>
          <w:smallCaps w:val="false"/>
          <w:sz w:val="20"/>
        </w:rPr>
        <w:t>Description of Securities-Anti-Takeover Effects of Delaware Law and the Charter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I, which consists of Joseph Davy, whose term will expire at the Company’s first annual meeting of stockholders to be held in 2024;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II, which consists of Mason Ward, whose term will expire at the Company’s annual meeting of stockholders to be held in 2025;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III, which consists of Paula Boggs and Jack Leeney, whose terms will expire at the Company’s third annual meeting of stockholders to be held in 2026.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the directors of the Company other than Mr. Davy qualify as independent directors, as defined under the listing rules of Nasdaq (the “Nasdaq listing rules”), and that the Board consists of a majority of “independent directors,” as defined under the rules of the SEC and Nasdaq listing rules relating to director independence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rPr>
        <w:t>https://ir.banzai.io/corporate-governance/governance-overview</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ind w:left="0" w:right="0" w:hanging="0"/>
        <w:jc w:val="left"/>
        <w:rPr>
          <w:caps w:val="false"/>
          <w:smallCaps w:val="false"/>
        </w:rPr>
      </w:pPr>
      <w:r>
        <w:rPr>
          <w:caps w:val="false"/>
          <w:smallCaps w:val="false"/>
        </w:rPr>
        <w:t> </w:t>
      </w:r>
    </w:p>
    <w:tbl>
      <w:tblPr>
        <w:tblW w:w="7040" w:type="dxa"/>
        <w:jc w:val="left"/>
        <w:tblInd w:w="0" w:type="dxa"/>
        <w:tblLayout w:type="fixed"/>
        <w:tblCellMar>
          <w:top w:w="0" w:type="dxa"/>
          <w:left w:w="0" w:type="dxa"/>
          <w:bottom w:w="28" w:type="dxa"/>
          <w:right w:w="0" w:type="dxa"/>
        </w:tblCellMar>
      </w:tblPr>
      <w:tblGrid>
        <w:gridCol w:w="1265"/>
        <w:gridCol w:w="60"/>
        <w:gridCol w:w="950"/>
        <w:gridCol w:w="60"/>
        <w:gridCol w:w="1235"/>
        <w:gridCol w:w="60"/>
        <w:gridCol w:w="3410"/>
      </w:tblGrid>
      <w:tr>
        <w:trPr/>
        <w:tc>
          <w:tcPr>
            <w:tcW w:w="12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P. Davy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0" w:type="dxa"/>
            <w:tcBorders/>
            <w:tcMar>
              <w:bottom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ü</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ü</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0" w:type="dxa"/>
            <w:tcBorders/>
            <w:tcMar>
              <w:bottom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ü</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ü</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ü</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tcMar>
              <w:bottom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ü</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Class A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helping the Board oversee its corporate accounting and financial reporting processes; </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170"/>
        <w:gridCol w:w="9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discussing with management the adequacy and effectiveness of our disclosure controls and procedures; </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assisting with design and implementation of our risk assessment functions;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the selection, engagement, qualifications, independence and performance of a qualified firm to serve as the independent registered public accounting firm to audit our financial statements;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170"/>
        <w:gridCol w:w="9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procedures for employees to submit concerns anonymously about questionable accounting or audit matters; </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related person transactions;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approving or, as permitted, pre-approving, audit and permissible non-audit services to be performed by the independent registered public accounting firm.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Paula Boggs and Kent. Schofield. Each member is independent under the listing standards of Nasdaq, including Nasdaq’s controlled company exemption which is discussed below, and a “non-employee director” as defined in Rule 16b-3 promulgated under the Exchange Act.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recommending to the Company’s Board the compensation of the Chief Executive Officer and other executive officers;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recommending to the Board the compensation of the Company’s directors; </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170"/>
        <w:gridCol w:w="6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the Company’s equity incentive plans and other benefit programs;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adopting, amending and terminating incentive compensation and equity plans, severance agreements, profit sharing plans, bonus plans, change-of-control protections and any other compensatory arrangements for the Company’s executive officers and other senior management;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establishing general policies relating to compensation and benefits of the Company’s employees, including the Company’s overall compensation philosophy; and </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and evaluating with the Chief Executive Officer the succession plans for the Company’s executive officers.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including Nasdaq’s controlled company exemption which is discussed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identifying, reviewing, and evaluating candidates, including the nomination of incumbent directors for reelection and nominees recommended by stockholders, to serve on the Board;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considering and making recommendations to the Board regarding the composition and chairmanship of the committees of the Board;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reviewing with the Chief Executive Officer the plans for succession to the offices of the Company’s executive officers and make recommendations to the Board with respect to the selection of appropriate individuals to succeed to these positions; </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and making recommendations to the Board regarding corporate governance guidelines and matters; and </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periodic evaluations of the Board’s performance, including committees of the Board.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https://ir.banzai.io/corporate-governance/governance-overview.We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currently or has been during the Company’s last fiscal year one of its officers or employees. None of the Company’s executive officers currently serves, or has served during the last year, as a member of the Board or Compensation Committee of any entity that has one or more executive officers that serve as a member of the Board or 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j_003"/>
      <w:bookmarkEnd w:id="11"/>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2023, consisting of our principal executive officer, principal financial officer and the next two most highly compensated executive officers, were: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P. Davy,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Musburger, our Chief Financial Officer(1);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Levesque, our Vice President of Marketing(2).</w:t>
      </w:r>
    </w:p>
    <w:p>
      <w:pPr>
        <w:pStyle w:val="TextBody"/>
        <w:bidi w:val="0"/>
        <w:spacing w:before="0" w:after="0"/>
        <w:ind w:left="0" w:right="0" w:firstLine="36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45"/>
        <w:gridCol w:w="7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with respect to the fiscal years ended December 31, 2023 and, to the extent required by SEC disclosure rules, December 31, 2022.</w:t>
      </w:r>
    </w:p>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28" w:type="dxa"/>
          <w:right w:w="0" w:type="dxa"/>
        </w:tblCellMar>
      </w:tblPr>
      <w:tblGrid>
        <w:gridCol w:w="2465"/>
        <w:gridCol w:w="60"/>
        <w:gridCol w:w="440"/>
        <w:gridCol w:w="60"/>
        <w:gridCol w:w="125"/>
        <w:gridCol w:w="695"/>
        <w:gridCol w:w="60"/>
        <w:gridCol w:w="60"/>
        <w:gridCol w:w="125"/>
        <w:gridCol w:w="845"/>
        <w:gridCol w:w="245"/>
        <w:gridCol w:w="60"/>
        <w:gridCol w:w="753"/>
        <w:gridCol w:w="482"/>
        <w:gridCol w:w="60"/>
        <w:gridCol w:w="60"/>
        <w:gridCol w:w="215"/>
        <w:gridCol w:w="1020"/>
        <w:gridCol w:w="60"/>
        <w:gridCol w:w="60"/>
        <w:gridCol w:w="125"/>
        <w:gridCol w:w="845"/>
        <w:gridCol w:w="75"/>
      </w:tblGrid>
      <w:tr>
        <w:trPr/>
        <w:tc>
          <w:tcPr>
            <w:tcW w:w="24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P.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318,216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Musburger(4)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1,133,105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1,349,105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289,559</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539,559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Technology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38,210</w:t>
            </w:r>
          </w:p>
        </w:tc>
        <w:tc>
          <w:tcPr>
            <w:tcW w:w="2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288,210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Levesque(5)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621,296</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812,890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Vice President of Marketing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7,642</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162,460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disclosed represent the (i) aggregate grant date fair value of the stock options granted to our named executive officers during the fiscal year ended December 31, 2023 under the 2016 Plan Equity Incentive Plan (the “2016 Plan”) (Mr. Musburger, $1,104,209; Mr. Baumer $262,289; Ms. Levesque, $595,294) and (ii) the incremental cost under Financial Accounting Standards Board Accounting Standards Codification Topic 718, Compensation-Stock Compensation (“ASC Topic 718”) associated with a reduction in the exercise price of certain outstanding options that occurred in December 2023 (Mr. Musburger, $28,896; Mr. Baumer, $27,270; Ms. Levesque, $26,002), each computed in accordance ASC Topic 718. The assumptions used in calculating the grant date fair value of the stock options are set forth in Note 19 to our audited consolidated financial statements included in the registration statement of which this prospectus forms a part. This amount does not reflect the actual economic value that may be realized by the named executive officer.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disclosed represent the aggregate grant date fair value of the stock options granted to our named executive officers during the fiscal year ended December 31, 2022 under the 2016 Plan computed in accordance with ASC Topic 718. The assumptions used in calculating the grant date fair value of the stock options are set forth in Note 19 to our audited consolidated financial statements included elsewhere in the registration statement of which this prospectus forms a part. This amount does not reflect the actual economic value that may be realized by the named executive officer. </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260"/>
        <w:gridCol w:w="770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Company contributions to the Company’s 401(k) plan. </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7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Non-Equity Incentive Plan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 None of our named executive officers received or will receive annual performance-based cash bonuses with respect to the fiscal years ended December 31, 2022 or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Legacy Banzai historically granted equity compensation in the form of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1/48th of the total shares underlying the option award vests in 36 equal monthly installments, subject to the named executive officer’s continued service at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Ms. Levesque received option grants with respect to 115,000 shares with an original exercise price of $7.36 per share. On December 6, 2023, the Board approved a repricing of the 2023 option awards granted to Ms. Levesque, reducing the exercise price to $5.15 per share, which, upon the closing of the Business Combination, then increased to $8.38 and at the same time the original option grants reduced to 70,685 shares. The exercise price further increased to $419.00 and at the same time the original grants reduced to 1,414 shares upon completion of the reversed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Mr. Baumer received option grants with respect to 50,000 shares with an original exercise price of $7.36 per share. On December 6, 2023, the Board approved a repricing of the 2023 option awards granted to Mr. Baumer, reducing the exercise price to $5.15 per share, which, upon the closing of the Business Combination, then increased to $8.38 and at the same time the original option grants reduced to 30,732 shares. The exercise price further increased to $419.00 and at the same time the original grants reduced to 615 shares upon completion of the reversed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Mr. Musburger received option grants with respect to 150,000 shares with an original exercise price of $7.36 per share. On December 6, 2023, the Board approved a repricing of the 2023 option awards granted to Mr. Musburger, reducing the exercise price to $5.15 per share, which, upon the closing of the Business Combination, then increased to $8.38 and at the same time the original option grants reduced to 92,196 shares. The exercise price further increased to $419.00 and at the same time the original grants reduced to 1,844 shares upon completion of the reversed stock split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2023.</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3"/>
        <w:gridCol w:w="60"/>
        <w:gridCol w:w="700"/>
        <w:gridCol w:w="60"/>
        <w:gridCol w:w="1836"/>
        <w:gridCol w:w="60"/>
        <w:gridCol w:w="60"/>
        <w:gridCol w:w="1646"/>
        <w:gridCol w:w="60"/>
        <w:gridCol w:w="60"/>
        <w:gridCol w:w="60"/>
        <w:gridCol w:w="1848"/>
        <w:gridCol w:w="60"/>
        <w:gridCol w:w="60"/>
        <w:gridCol w:w="140"/>
        <w:gridCol w:w="1033"/>
        <w:gridCol w:w="60"/>
        <w:gridCol w:w="60"/>
        <w:gridCol w:w="1099"/>
      </w:tblGrid>
      <w:tr>
        <w:trPr/>
        <w:tc>
          <w:tcPr>
            <w:tcW w:w="12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center"/>
              <w:rPr/>
            </w:pPr>
            <w:r>
              <w:rPr/>
              <w:t> </w:t>
            </w:r>
          </w:p>
        </w:tc>
        <w:tc>
          <w:tcPr>
            <w:tcW w:w="18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46" w:type="dxa"/>
            <w:gridSpan w:val="13"/>
            <w:tcBorders>
              <w:bottom w:val="single" w:sz="8" w:space="0" w:color="000000"/>
            </w:tcBorders>
            <w:tcMar>
              <w:bottom w:w="28" w:type="dxa"/>
            </w:tcMar>
            <w:vAlign w:val="center"/>
          </w:tcPr>
          <w:p>
            <w:pPr>
              <w:pStyle w:val="TableContents"/>
              <w:bidi w:val="0"/>
              <w:spacing w:before="0" w:after="283"/>
              <w:jc w:val="center"/>
              <w:rPr>
                <w:b/>
              </w:rPr>
            </w:pPr>
            <w:r>
              <w:rPr>
                <w:b/>
              </w:rPr>
              <w:t>Option Awards (1)</w:t>
            </w:r>
          </w:p>
        </w:tc>
      </w:tr>
      <w:tr>
        <w:trPr/>
        <w:tc>
          <w:tcPr>
            <w:tcW w:w="124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Name</w:t>
            </w:r>
          </w:p>
        </w:tc>
        <w:tc>
          <w:tcPr>
            <w:tcW w:w="60" w:type="dxa"/>
            <w:tcBorders/>
            <w:shd w:fill="FFFFFF" w:val="cle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Grant Date</w:t>
            </w:r>
          </w:p>
        </w:tc>
        <w:tc>
          <w:tcPr>
            <w:tcW w:w="60" w:type="dxa"/>
            <w:tcBorders/>
            <w:shd w:fill="FFFFFF" w:val="clear"/>
            <w:vAlign w:val="center"/>
          </w:tcPr>
          <w:p>
            <w:pPr>
              <w:pStyle w:val="TableContents"/>
              <w:bidi w:val="0"/>
              <w:spacing w:before="0" w:after="283"/>
              <w:jc w:val="center"/>
              <w:rPr/>
            </w:pPr>
            <w:r>
              <w:rPr/>
              <w:t> </w:t>
            </w:r>
          </w:p>
        </w:tc>
        <w:tc>
          <w:tcPr>
            <w:tcW w:w="1836"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Vesting Commencement Date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4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Options Exercisable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84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Options Unexercisable (#) (2)</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03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Exercise Price Per Share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9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Expiration Date</w:t>
            </w:r>
          </w:p>
        </w:tc>
      </w:tr>
      <w:tr>
        <w:trPr/>
        <w:tc>
          <w:tcPr>
            <w:tcW w:w="1243" w:type="dxa"/>
            <w:tcBorders/>
            <w:shd w:fill="CCEEFF" w:val="clear"/>
            <w:vAlign w:val="center"/>
          </w:tcPr>
          <w:p>
            <w:pPr>
              <w:pStyle w:val="TableContents"/>
              <w:bidi w:val="0"/>
              <w:spacing w:before="0" w:after="283"/>
              <w:jc w:val="left"/>
              <w:rPr/>
            </w:pPr>
            <w:r>
              <w:rPr/>
              <w:t>Joseph P. Davy</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r>
      <w:tr>
        <w:trPr/>
        <w:tc>
          <w:tcPr>
            <w:tcW w:w="1243" w:type="dxa"/>
            <w:tcBorders/>
            <w:shd w:fill="CCEEFF" w:val="clear"/>
            <w:vAlign w:val="center"/>
          </w:tcPr>
          <w:p>
            <w:pPr>
              <w:pStyle w:val="TableContents"/>
              <w:bidi w:val="0"/>
              <w:spacing w:before="0" w:after="283"/>
              <w:jc w:val="left"/>
              <w:rPr/>
            </w:pPr>
            <w:r>
              <w:rPr/>
              <w:t>Mark Musburger(3)</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12/3/2023</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10/1/2023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419.00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12/2/2033</w:t>
            </w:r>
          </w:p>
        </w:tc>
      </w:tr>
      <w:tr>
        <w:trPr/>
        <w:tc>
          <w:tcPr>
            <w:tcW w:w="1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12/3/2023</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12/9/2022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419.00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3/1/2033</w:t>
            </w:r>
          </w:p>
        </w:tc>
      </w:tr>
      <w:tr>
        <w:trPr/>
        <w:tc>
          <w:tcPr>
            <w:tcW w:w="1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12/3/2023</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12/9/2022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419.00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3/1/2033</w:t>
            </w:r>
          </w:p>
        </w:tc>
      </w:tr>
      <w:tr>
        <w:trPr/>
        <w:tc>
          <w:tcPr>
            <w:tcW w:w="1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r>
      <w:tr>
        <w:trPr/>
        <w:tc>
          <w:tcPr>
            <w:tcW w:w="1243" w:type="dxa"/>
            <w:tcBorders/>
            <w:shd w:fill="FFFFFF" w:val="clear"/>
            <w:vAlign w:val="center"/>
          </w:tcPr>
          <w:p>
            <w:pPr>
              <w:pStyle w:val="TableContents"/>
              <w:bidi w:val="0"/>
              <w:spacing w:before="0" w:after="283"/>
              <w:jc w:val="left"/>
              <w:rPr/>
            </w:pPr>
            <w:r>
              <w:rPr/>
              <w:t>Simon Baumer</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r>
      <w:tr>
        <w:trPr/>
        <w:tc>
          <w:tcPr>
            <w:tcW w:w="1243" w:type="dxa"/>
            <w:tcBorders/>
            <w:shd w:fill="FFFFFF" w:val="clear"/>
            <w:vAlign w:val="center"/>
          </w:tcPr>
          <w:p>
            <w:pPr>
              <w:pStyle w:val="TableContents"/>
              <w:bidi w:val="0"/>
              <w:spacing w:before="0" w:after="283"/>
              <w:jc w:val="left"/>
              <w:rPr/>
            </w:pPr>
            <w:r>
              <w:rPr/>
              <w:t>Simon Baumer</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12/3/2023</w:t>
            </w:r>
          </w:p>
        </w:tc>
        <w:tc>
          <w:tcPr>
            <w:tcW w:w="60"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right"/>
              <w:rPr/>
            </w:pPr>
            <w:r>
              <w:rPr/>
              <w:t>12/9/2022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33" w:type="dxa"/>
            <w:tcBorders/>
            <w:shd w:fill="FFFFFF" w:val="clear"/>
            <w:vAlign w:val="center"/>
          </w:tcPr>
          <w:p>
            <w:pPr>
              <w:pStyle w:val="TableContents"/>
              <w:bidi w:val="0"/>
              <w:spacing w:before="0" w:after="283"/>
              <w:jc w:val="right"/>
              <w:rPr/>
            </w:pPr>
            <w:r>
              <w:rPr/>
              <w:t>419.00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3/1/2033</w:t>
            </w:r>
          </w:p>
        </w:tc>
      </w:tr>
      <w:tr>
        <w:trPr/>
        <w:tc>
          <w:tcPr>
            <w:tcW w:w="1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2/16/2022</w:t>
            </w:r>
          </w:p>
        </w:tc>
        <w:tc>
          <w:tcPr>
            <w:tcW w:w="60"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right"/>
              <w:rPr/>
            </w:pPr>
            <w:r>
              <w:rPr/>
              <w:t>1/31/2022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right"/>
              <w:rPr/>
            </w:pPr>
            <w:r>
              <w:rPr/>
              <w:t>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33" w:type="dxa"/>
            <w:tcBorders/>
            <w:shd w:fill="FFFFFF" w:val="clear"/>
            <w:vAlign w:val="center"/>
          </w:tcPr>
          <w:p>
            <w:pPr>
              <w:pStyle w:val="TableContents"/>
              <w:bidi w:val="0"/>
              <w:spacing w:before="0" w:after="283"/>
              <w:jc w:val="right"/>
              <w:rPr/>
            </w:pPr>
            <w:r>
              <w:rPr/>
              <w:t>138.50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2/15/2032</w:t>
            </w:r>
          </w:p>
        </w:tc>
      </w:tr>
      <w:tr>
        <w:trPr/>
        <w:tc>
          <w:tcPr>
            <w:tcW w:w="1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7/14/2021</w:t>
            </w:r>
          </w:p>
        </w:tc>
        <w:tc>
          <w:tcPr>
            <w:tcW w:w="60" w:type="dxa"/>
            <w:tcBorders/>
            <w:shd w:fill="FFFFFF" w:val="clear"/>
            <w:vAlign w:val="center"/>
          </w:tcPr>
          <w:p>
            <w:pPr>
              <w:pStyle w:val="TableContents"/>
              <w:bidi w:val="0"/>
              <w:spacing w:before="0" w:after="283"/>
              <w:jc w:val="left"/>
              <w:rPr/>
            </w:pPr>
            <w:r>
              <w:rPr/>
              <w:t> </w:t>
            </w:r>
          </w:p>
        </w:tc>
        <w:tc>
          <w:tcPr>
            <w:tcW w:w="1836" w:type="dxa"/>
            <w:tcBorders/>
            <w:shd w:fill="FFFFFF" w:val="clear"/>
            <w:vAlign w:val="center"/>
          </w:tcPr>
          <w:p>
            <w:pPr>
              <w:pStyle w:val="TableContents"/>
              <w:bidi w:val="0"/>
              <w:spacing w:before="0" w:after="283"/>
              <w:jc w:val="right"/>
              <w:rPr/>
            </w:pPr>
            <w:r>
              <w:rPr/>
              <w:t>7/1/2021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6" w:type="dxa"/>
            <w:tcBorders/>
            <w:shd w:fill="FFFFFF" w:val="clear"/>
            <w:vAlign w:val="center"/>
          </w:tcPr>
          <w:p>
            <w:pPr>
              <w:pStyle w:val="TableContents"/>
              <w:bidi w:val="0"/>
              <w:spacing w:before="0" w:after="283"/>
              <w:jc w:val="right"/>
              <w:rPr/>
            </w:pPr>
            <w:r>
              <w:rPr/>
              <w:t>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33" w:type="dxa"/>
            <w:tcBorders/>
            <w:shd w:fill="FFFFFF" w:val="clear"/>
            <w:vAlign w:val="center"/>
          </w:tcPr>
          <w:p>
            <w:pPr>
              <w:pStyle w:val="TableContents"/>
              <w:bidi w:val="0"/>
              <w:spacing w:before="0" w:after="283"/>
              <w:jc w:val="right"/>
              <w:rPr/>
            </w:pPr>
            <w:r>
              <w:rPr/>
              <w:t>141.00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7/14/2031</w:t>
            </w:r>
          </w:p>
        </w:tc>
      </w:tr>
      <w:tr>
        <w:trPr/>
        <w:tc>
          <w:tcPr>
            <w:tcW w:w="1243" w:type="dxa"/>
            <w:tcBorders/>
            <w:shd w:fill="CCEEFF" w:val="clear"/>
            <w:vAlign w:val="center"/>
          </w:tcPr>
          <w:p>
            <w:pPr>
              <w:pStyle w:val="TableContents"/>
              <w:bidi w:val="0"/>
              <w:spacing w:before="0" w:after="283"/>
              <w:jc w:val="left"/>
              <w:rPr/>
            </w:pPr>
            <w:r>
              <w:rPr/>
              <w:t>Ashley Levesque(4)</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12/3/2023</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6/1/2022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419.00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3/1/2033</w:t>
            </w:r>
          </w:p>
        </w:tc>
      </w:tr>
      <w:tr>
        <w:trPr/>
        <w:tc>
          <w:tcPr>
            <w:tcW w:w="1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2/16/2022</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1/31/2022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138.50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2/15/2032</w:t>
            </w:r>
          </w:p>
        </w:tc>
      </w:tr>
      <w:tr>
        <w:trPr/>
        <w:tc>
          <w:tcPr>
            <w:tcW w:w="1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7/14/2021</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2/21/2021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141.00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7/14/2031</w:t>
            </w:r>
          </w:p>
        </w:tc>
      </w:tr>
      <w:tr>
        <w:trPr/>
        <w:tc>
          <w:tcPr>
            <w:tcW w:w="1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7/14/2021</w:t>
            </w:r>
          </w:p>
        </w:tc>
        <w:tc>
          <w:tcPr>
            <w:tcW w:w="60" w:type="dxa"/>
            <w:tcBorders/>
            <w:shd w:fill="CCEEFF" w:val="clear"/>
            <w:vAlign w:val="center"/>
          </w:tcPr>
          <w:p>
            <w:pPr>
              <w:pStyle w:val="TableContents"/>
              <w:bidi w:val="0"/>
              <w:spacing w:before="0" w:after="283"/>
              <w:jc w:val="left"/>
              <w:rPr/>
            </w:pPr>
            <w:r>
              <w:rPr/>
              <w:t> </w:t>
            </w:r>
          </w:p>
        </w:tc>
        <w:tc>
          <w:tcPr>
            <w:tcW w:w="1836" w:type="dxa"/>
            <w:tcBorders/>
            <w:shd w:fill="CCEEFF" w:val="clear"/>
            <w:vAlign w:val="center"/>
          </w:tcPr>
          <w:p>
            <w:pPr>
              <w:pStyle w:val="TableContents"/>
              <w:bidi w:val="0"/>
              <w:spacing w:before="0" w:after="283"/>
              <w:jc w:val="right"/>
              <w:rPr/>
            </w:pPr>
            <w:r>
              <w:rPr/>
              <w:t>7/1/2021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6"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33" w:type="dxa"/>
            <w:tcBorders/>
            <w:shd w:fill="CCEEFF" w:val="clear"/>
            <w:vAlign w:val="center"/>
          </w:tcPr>
          <w:p>
            <w:pPr>
              <w:pStyle w:val="TableContents"/>
              <w:bidi w:val="0"/>
              <w:spacing w:before="0" w:after="283"/>
              <w:jc w:val="right"/>
              <w:rPr/>
            </w:pPr>
            <w:r>
              <w:rPr/>
              <w:t>141.00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7/14/2031</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equity awards was granted under the 2016 Plan. </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of the total shares underlying the option award vest on the one-year anniversary of the vesting commencement date, thereafter 1/48th of the total shares underlying the option award vest in 36 equal monthly installments, subject to the named executive officer’s continued service at each vesting date. </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While none of the non-employee directors received compensation during the fiscal years ended December 31, 2023 or December 31, 2022 for services rendered to the Company,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Annual base retainer of $100,000, to be paid as determined by the compensation committee;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Committee Chair Retainers: Audit Committee, $10,000; Compensation Committee, $5,000; and Nominating and Corporate Governance Committee, $5,000.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Committee Member Retainers: Audit Committee, $5,000; Compensation Committee, $2,500; and Nominating and Corporate Governance Committee, $2,500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10b5-1 Sales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j_004"/>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2022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&amp;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the Sponsor and certain securityholders of 7GC and Legacy Banzai entered into the Amended and Restated Registration Rights Agreement (the “A&amp;R Registration Rights Agreement”), which amended and restated that certain Registration Rights Agreement, dated December 22, 2020. The A&amp;R Registration Rights Agreements provides these holders (and their permitted transactions) with the right to require the Company, at the Company’s expense, to register shares of Class A Common Stock that they hold on customary terms for such a Business Combination, including customary demand and piggyback registration rights. The A&amp;R Registration Rights Agreement also provides that the Company pay certain expenses of the electing holders relating to such registrations and indemnify them against certain liabilities that may arise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certain exceptions, the A&amp;R Registration Rights Agreement provides for certain restrictions on transfer with respect to the securities of the Company. Such restrictions began upon Closing and end at the earliest of (A) 180 days after the Closing and (B) the first date on which (x) the closing price of Class A Common Stock equals or exceeds $12.00 per share for any 20 trading days within any 30-trading day period commencing at least 150 days after the Closing or (y) the Company completes a liquidation, merger, capital stock exchange, reorganization or other similar transaction that results in the Company’s stockholders having the right to exchange their shares of Class A Common Stock for cash, securities, or other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Transfer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in connection with the Business Combination, 7GC and the Sponsor entered into a share transfer agreement (the “December Share Transfer Agreement”) with Alco, pursuant to which for each $500.00 in principal borrowed under the New Alco Note, the Sponsor agreed to forfeit three shares of 7GC Class B Common Stock held by the Sponsor, in exchange for the right of Alco to receive three shares of Class A Common Stock, in each case, at (and contingent upon) the Closing, with such forfeited and issued shares capped at an amount equal to 12,000. On October 3, 2023 and November 16, 2023, 7GC, the Sponsor, and Alco also entered into share transfer agreements, pursuant to which the Sponsor agreed to forfeit an aggregate of 4,500 shares of 7GC Class B Common Stock held by the Sponsor, in exchange for the right of Alco to receive 4,500 shares of Class A Common Stock at (and contingent upon) the Closing (such share transfer agreements together with the December Share Transfer Agreement, the “Share Transfer Agreements”). Alco is subject to a 180-day lock-up period with respect to such shares of Class A Common Stock pursuant to the Share Transfer Agreements, subject to customary exceptions. Additionally, in connection with the December Share Transfer Agreement, (a) Legacy Banzai issued the New Alco Note to Alco in the aggregate principal amount of $2.0 million, which bears interest at a rate of 8% per annum and will be due and payable on December 31, 2024, and (b) Legacy Banzai, Alco, and the Lender agreed to amend that certain Subordinated Promissory Note issued by Legacy Banzai to Alco on September 13, 2023 in the aggregate principal amount of $1.5 million to extend the maturity date from January 10, 2024 to September 30, 2024. Immediately prior to, and substantially concurrently with, the Closing, (i) the Sponsor surrendered and forfeited to 7GC for no consideration an aggregate of 16,500 shares of the class B common stock of 7GC and (ii) the Company issued to Alco 16,500 shares of Class A Common Stock pursuant to the Share Transfer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7GC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extension of 7GC’s deadline to consummate an initial business combination, on December 21, 2022, 7GC issued to the Sponsor an unsecured promissory note, dated as of December 21, 2022 (the “2022 Promissory Note”), which provided for borrowings from time to time of up to an aggregate of $2.3 million. On October 3, 2023, 7GC also issued to the Sponsor an unsecured promissory note, dated as of October 3, 2023 (the “2023 Promissory Note,” and together with the 2022 Promissory Note, the “7GC Promissory Notes”), which provided for borrowings from time to time of up to an aggregate of $500,000.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the 7GC Promissory Notes became payable, and the Sponsor gained the option, but not the obligation, to convert the principal balance of the 7GC Promissory Notes, in whole or in part, into shares of Class A Common Stock (the “Converted Shares”) equal to the principal amount of the 7GC Promissory Notes so converted divided by $500.00. On December 12, 2023, in connection with the Business Combination, the Sponsor and 7GC amended the optional conversion provision of the 7GC Promissory Notes to provide that the Sponsor has the right to elect to convert up to the full amount of the principal balance of the 7GC Promissory Notes, in whole or in part, 30 days after the Closing at a conversion price equal to the average daily VWAP of Class A Common Stock for the 30 trading days following the Closing. Pursuant to these amended terms, each of the 7GC Promissory Notes was converted in full on February 2, 2024, resulting in the issuance to the Sponsor of an aggregate of 17,812 shares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accrued a total of approximately $40,000 related to office space, utilities, and secretarial and administrative support services, incurred by our predecessor, 7GC.</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July 2022, Legacy Banzai issued convertible promissory notes (the “2022 Notes”) to certain accredited investors in an aggregate principal amount of approximately $6.0 million (of which $4.2 million was issued to related parties). The 2022 Notes accrued interest at a rate of 8% per annum. During the year ended December 31, 2023, Legacy Banzai issued additional convertible promissory notes to certain accredited investors in an aggregate principle amount of approximately $4.0 million (of which $2.6 million was issued to related parties) under the same terms of the 2022 Notes (together with the 2022 Notes, the “Legacy Banzai Notes”). The Legacy Banzai Notes, including principal and interest, converted into shares of our Class A Common Stock in connection with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aggregate principal amount of Legacy Banzai Notes issued to Legacy Banzai’s related parties:</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3305"/>
        <w:gridCol w:w="60"/>
        <w:gridCol w:w="125"/>
        <w:gridCol w:w="845"/>
        <w:gridCol w:w="75"/>
      </w:tblGrid>
      <w:tr>
        <w:trPr/>
        <w:tc>
          <w:tcPr>
            <w:tcW w:w="3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Affiliated with DNX Partners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5,100,538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Bryant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a 2022 Note issued to DNX III in the principal amount of $717,000 (ii) a 2022 Note issued to DNX Japan III in the principal amount of $258,000, (iii) a 2022 Note issued to DNX S-III in the principal amount of $25,000, (iv) a 2022 Note issued to DNX III in the principal amount of $358,500, (v) a 2022 Note issued to DNX Japan III in the principal amount of $129,000, (vi) a 2022 Note issued to DNX S-III in the principal amount of $12,500 ((i)-(iii) together, the “2022 DNX Notes”, (iv)-(vi) together, the “2023 DNX Notes” and, the 2022 DNX Notes and the 2023 DNX Notes, together, the “DNX Notes”). The 2022 DNX Notes were issued in on July 1,2022 and the 2023 DNX Notes were issued on May 11, 2023.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a 2022 Note issued to Alco in the principal amount of $1,000,000 on July 1, 2022, (ii) a 2022 Note issued to Alco in the principal amount of $2,100,538.22 on July 19, 2022, (iii) a 2023 Note issued to Alco in the principal amount of $1,500,000 on March 8, 2023 and (iv) a 2023 Note issued to Alco in the principal amount of $500,000 on May 10, 2023.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a 2023 Note issued to William Bryant in the principal amount of $33,000 on June 6, 2023. William Bryant resigned as one of our directors on September 9,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a 2022 Note issued to Mason Ward in the principal amount of $50,000 on July 28, 2022, (ii) a 2022 Note issued to Mason Ward in the principal amount of $50,000 on September 2, 2022, and (iii) a 2023 Note issued to Mason Ward in the principal amount of $50,000 on June 14, 2023.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the Alco August Promissory Note in the aggregate principal amount of $150,000 to Alco. Alco held approximately 5% of the issued equity of the Company, through its ownership of Series A Preferred Stock, for all periods presented. The Alco August Promissory Note bears interest at a rate of 8% per annum. The outstanding principal and accrued interest are due and payable on the earlier of August 29, 2024 and the closing of the next transaction in which the Company sells for cash any of its equity securities (i) with net proceeds of greater than $4,000,000 or (ii) pursuant to which the note holder acquires equity securities in an amount not less than the then-outstanding balance of the Alco August Promissory Note, as amended on May 30, 2024; such amendment also provides the holder with a purchase right should the company conduct an offering while the Alco August Promissory Note is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the Alco September Promissory Note in the aggregate principal amount of up to $1,500,000 to Alco. The Alco September Promissory Note bears interest at a rate of 8% per annum. In December 2023, the Alco September Promissory Note was amended pursuant to the Alco September Promissory Note Amendment to extend the maturity date to September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the Alco November Promissory Note in the aggregate principal amount of up to $750,000 to Alco. The Alco November Promissory Note bears interest at a rate of 8% per annum. The outstanding principal and accrued interest are due and payable on the earlier of August 29, 2024 and the closing of the next transaction in which the Company sells for cash any of its equity securities (i) with net proceeds of greater than $4,000,000 or (ii) pursuant to which the note holder acquires equity securities in an amount not less than the then-outstanding balance of the Alco November Promissory Note, as amended on May 30, 2024; such amendment also provides the holder with a purchase right should the company conduct an offering while the Alco August Promissory Note is outstanding. As of December 31, 2023, $750,000 of principal and $7,397 of accrued interest is outstanding under the Alco November Promissory Note recorded in note payable-related party on the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As of December 31, 2023, $2,000,000 of principal and $7,890 of accrued interest is outstanding under the Alco December Promissory Note recorded in note payable-related party on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Legacy Banzai issued and sold an aggregate of 2,129,476 shares of its Series A-1 Preferred Stock at a purchase price of $2.9155 per share, for an aggregate purchase price of approximately $6.2 million, and issued an aggregate of 199,347 shares of its Series A-2 Preferred Stock upon conversion of an aggregate of $100,000 in 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number of shares of Legacy Banzai Series A Preferred Stock purchased by Legacy Banzai’s related parties, which were converted into shares of our Class A Common Stock in connection with the Closing of the Business Combination:</w:t>
      </w:r>
    </w:p>
    <w:p>
      <w:pPr>
        <w:pStyle w:val="TextBody"/>
        <w:bidi w:val="0"/>
        <w:spacing w:before="0" w:after="0"/>
        <w:ind w:left="0" w:right="0" w:hanging="0"/>
        <w:jc w:val="left"/>
        <w:rPr>
          <w:caps w:val="false"/>
          <w:smallCaps w:val="false"/>
        </w:rPr>
      </w:pPr>
      <w:r>
        <w:rPr>
          <w:caps w:val="false"/>
          <w:smallCaps w:val="false"/>
        </w:rPr>
        <w:t> </w:t>
      </w:r>
    </w:p>
    <w:tbl>
      <w:tblPr>
        <w:tblW w:w="7163" w:type="dxa"/>
        <w:jc w:val="left"/>
        <w:tblInd w:w="0" w:type="dxa"/>
        <w:tblLayout w:type="fixed"/>
        <w:tblCellMar>
          <w:top w:w="0" w:type="dxa"/>
          <w:left w:w="0" w:type="dxa"/>
          <w:bottom w:w="0" w:type="dxa"/>
          <w:right w:w="0" w:type="dxa"/>
        </w:tblCellMar>
      </w:tblPr>
      <w:tblGrid>
        <w:gridCol w:w="3260"/>
        <w:gridCol w:w="60"/>
        <w:gridCol w:w="89"/>
        <w:gridCol w:w="1265"/>
        <w:gridCol w:w="60"/>
        <w:gridCol w:w="60"/>
        <w:gridCol w:w="125"/>
        <w:gridCol w:w="845"/>
        <w:gridCol w:w="60"/>
        <w:gridCol w:w="60"/>
        <w:gridCol w:w="182"/>
        <w:gridCol w:w="1022"/>
        <w:gridCol w:w="75"/>
      </w:tblGrid>
      <w:tr>
        <w:trPr/>
        <w:tc>
          <w:tcPr>
            <w:tcW w:w="3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affiliated with DNX Partners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1,371,977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3,999,999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Bryant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1,104,166 shares of Series A-1 Preferred Stock purchased by DNX III, (ii) 350,266 shares of Series A-1 Preferred Stock purchased by DNX Japan III, and (iii) 7,545 shares of Series A-1 Preferred Stock purchased by DNX S-III. DNX III LLC is the general partner of DNX III and DNX Japan III, and DNX S3 is the general partner of DNX S-III. Mitch Kitamura, a member of Banzai’s board of directors, is the manager of each of DNX III LLC and DNX S3.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342,994 shares of Series A-1 Preferred Stock purchased by Alco and (ii) 181,225 shares of Series A-2 Preferred Stock purchased by Alco in consideration of the conversion of a SAFE Agreement issued to Alco in 2016.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17,149 shares of Series A-1 Preferred Stock purchased by William Bryant. William Bryant resigned as one of our directors on September 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Legacy Banzai entered into SAFE Agreements (the “2021 SAFEs”) with accredited investors in an aggregate principal amount of approximately $3.8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aggregate principal amount of 2021 SAFEs issued to Legacy Banzai’s related parties, which was converted into shares of our Class A Common Stock in connection with the Closing of the Business Combination:</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3305"/>
        <w:gridCol w:w="60"/>
        <w:gridCol w:w="125"/>
        <w:gridCol w:w="845"/>
        <w:gridCol w:w="75"/>
      </w:tblGrid>
      <w:tr>
        <w:trPr/>
        <w:tc>
          <w:tcPr>
            <w:tcW w:w="3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Affiliated with DNX Partners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Bryan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a 2021 SAFE entered into with DNX III in the principal amount of $717,000, (ii) a 2021 SAFE entered into with DNX Japan III in the principal amount of $258,000, and (iii) a 2021 SAFE entered into with DNX S-III in the principal amount of $25,000 (together, the “DNX SAFEs”). Each of the DNX SAFEs were issued on September 17, 2021. DNX III LLC is the general partner of DNX III and DNX Japan III, and DNX S3 is the general partner of DNX S-III. Mitch Kitamura, a member of Banzai’s board of directors, is the manager of each of DNX III LLC and DNX S3.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260"/>
        <w:gridCol w:w="839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a 2021 SAFE in the principal amount of $2,500,000 issued to Alco on September 17, 2021.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2021 SAFE in the principal amount of $67,000 issued to William Bryant on September 17, 2021. William Bryant resigned as one of our directors on September 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size of the transaction and the amount payable to a related party; </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nature of the interest of the related party in the transaction; </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transaction may involve a conflict of interest;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information regarding the related party transaction or related party that would be material to investors in light of the circumstances of the transaction.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nd_006"/>
      <w:bookmarkEnd w:id="13"/>
      <w:r>
        <w:rPr>
          <w:rFonts w:ascii="Times New Roman;Times;Serif" w:hAnsi="Times New Roman;Times;Serif"/>
          <w:b/>
          <w:i w:val="false"/>
          <w:caps w:val="false"/>
          <w:smallCaps w:val="false"/>
          <w:sz w:val="20"/>
        </w:rPr>
        <w:t xml:space="preserve">PRINCIPAL SECURITYHOLDERS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October 14, 2024 for:</w:t>
      </w:r>
    </w:p>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known to us to be the beneficial owner of more than 5% of our outstanding shares of Common Stock;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our named executive officers;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our directors;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directors and named executive officers as a group.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October 14, 2024,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beneficial ownership is based on 2,038,152 shares of Class A Common Stock and 2,311,134 shares of Class B Common Stock outstanding as of October 14, 2024 reflecting reverse stock split ratio at 1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0"/>
        <w:gridCol w:w="60"/>
        <w:gridCol w:w="60"/>
        <w:gridCol w:w="800"/>
        <w:gridCol w:w="60"/>
        <w:gridCol w:w="60"/>
        <w:gridCol w:w="60"/>
        <w:gridCol w:w="560"/>
        <w:gridCol w:w="215"/>
        <w:gridCol w:w="60"/>
        <w:gridCol w:w="60"/>
        <w:gridCol w:w="980"/>
        <w:gridCol w:w="60"/>
        <w:gridCol w:w="60"/>
        <w:gridCol w:w="60"/>
        <w:gridCol w:w="380"/>
        <w:gridCol w:w="215"/>
        <w:gridCol w:w="60"/>
        <w:gridCol w:w="85"/>
        <w:gridCol w:w="808"/>
        <w:gridCol w:w="232"/>
      </w:tblGrid>
      <w:tr>
        <w:trPr/>
        <w:tc>
          <w:tcPr>
            <w:tcW w:w="5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br/>
              <w:t>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Total</w:t>
              <w:br/>
              <w:t>Voting</w:t>
            </w:r>
          </w:p>
        </w:tc>
        <w:tc>
          <w:tcPr>
            <w:tcW w:w="232" w:type="dxa"/>
            <w:tcBorders/>
            <w:vAlign w:val="center"/>
          </w:tcPr>
          <w:p>
            <w:pPr>
              <w:pStyle w:val="TableContents"/>
              <w:bidi w:val="0"/>
              <w:spacing w:before="0" w:after="283"/>
              <w:jc w:val="left"/>
              <w:rPr/>
            </w:pPr>
            <w:r>
              <w:rPr/>
              <w:t> </w:t>
            </w:r>
          </w:p>
        </w:tc>
      </w:tr>
      <w:tr>
        <w:trPr/>
        <w:tc>
          <w:tcPr>
            <w:tcW w:w="5270" w:type="dxa"/>
            <w:tcBorders>
              <w:bottom w:val="single" w:sz="8"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Power††</w:t>
            </w:r>
          </w:p>
        </w:tc>
        <w:tc>
          <w:tcPr>
            <w:tcW w:w="232" w:type="dxa"/>
            <w:tcBorders/>
            <w:vAlign w:val="center"/>
          </w:tcPr>
          <w:p>
            <w:pPr>
              <w:pStyle w:val="TableContents"/>
              <w:bidi w:val="0"/>
              <w:spacing w:before="0" w:after="283"/>
              <w:jc w:val="left"/>
              <w:rPr/>
            </w:pPr>
            <w:r>
              <w:rPr/>
              <w:t> </w:t>
            </w:r>
          </w:p>
        </w:tc>
      </w:tr>
      <w:tr>
        <w:trPr/>
        <w:tc>
          <w:tcPr>
            <w:tcW w:w="10205" w:type="dxa"/>
            <w:gridSpan w:val="21"/>
            <w:tcBorders/>
            <w:shd w:fill="CCEEFF" w:val="clear"/>
            <w:vAlign w:val="center"/>
          </w:tcPr>
          <w:p>
            <w:pPr>
              <w:pStyle w:val="TableContents"/>
              <w:bidi w:val="0"/>
              <w:spacing w:before="0" w:after="283"/>
              <w:jc w:val="left"/>
              <w:rPr>
                <w:b/>
                <w:i/>
              </w:rPr>
            </w:pPr>
            <w:r>
              <w:rPr>
                <w:b/>
                <w:i/>
              </w:rPr>
              <w:t>Directors and Named Executive Officers:</w:t>
            </w:r>
          </w:p>
        </w:tc>
      </w:tr>
      <w:tr>
        <w:trPr/>
        <w:tc>
          <w:tcPr>
            <w:tcW w:w="5270" w:type="dxa"/>
            <w:tcBorders/>
            <w:shd w:fill="FFFFFF" w:val="clear"/>
            <w:vAlign w:val="center"/>
          </w:tcPr>
          <w:p>
            <w:pPr>
              <w:pStyle w:val="TableContents"/>
              <w:bidi w:val="0"/>
              <w:spacing w:before="0" w:after="283"/>
              <w:jc w:val="left"/>
              <w:rPr/>
            </w:pPr>
            <w:r>
              <w:rPr/>
              <w:t>Jack Leeney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Joseph Davy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2,311,134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91.89</w:t>
            </w:r>
          </w:p>
        </w:tc>
        <w:tc>
          <w:tcPr>
            <w:tcW w:w="232"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Simon Baumer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Rachel Stanley (4)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Mason Ward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330,851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Paula Boggs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Alvin Yip (6)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Kent Schofield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b/>
              </w:rPr>
            </w:pPr>
            <w:r>
              <w:rPr>
                <w:b/>
              </w:rPr>
              <w:t>All Directors and Executive Officers of the Company as a Group (8 Individuals)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397,003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93.47</w:t>
            </w:r>
          </w:p>
        </w:tc>
        <w:tc>
          <w:tcPr>
            <w:tcW w:w="232"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b/>
                <w:i/>
              </w:rPr>
            </w:pPr>
            <w:r>
              <w:rPr>
                <w:b/>
                <w:i/>
              </w:rPr>
              <w:t>Five Percent or Greater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CPBF Lending LLC (7)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330,849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Alco Investment Company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330,346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both"/>
              <w:rPr>
                <w:caps w:val="false"/>
                <w:smallCaps w:val="false"/>
              </w:rPr>
            </w:pPr>
            <w:r>
              <w:rPr>
                <w:caps w:val="false"/>
                <w:smallCaps w:val="false"/>
              </w:rPr>
              <w:t>†</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noted, the business address of each of the following persons is c/o Banzai International, Inc., 435 Ericksen Ave NE, Suite 250, Bainbridge Island, WA 98110. </w:t>
            </w:r>
          </w:p>
        </w:tc>
      </w:tr>
      <w:tr>
        <w:trPr/>
        <w:tc>
          <w:tcPr>
            <w:tcW w:w="205" w:type="dxa"/>
            <w:tcBorders/>
            <w:vAlign w:val="center"/>
          </w:tcPr>
          <w:p>
            <w:pPr>
              <w:pStyle w:val="TableContents"/>
              <w:bidi w:val="0"/>
              <w:spacing w:before="0" w:after="283"/>
              <w:jc w:val="both"/>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both"/>
              <w:rPr>
                <w:caps w:val="false"/>
                <w:smallCaps w:val="false"/>
              </w:rPr>
            </w:pPr>
            <w:r>
              <w:rPr>
                <w:caps w:val="false"/>
                <w:smallCaps w:val="false"/>
              </w:rPr>
              <w:t>††</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entitles its holders to one vote per share; each share of Class B Common Stock entitles its holder to ten votes on all matters presented to our stockholders generally. As a result, percentage of voting power is based on 25,150,492 total votes.</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&amp; Co. Holdings LLC (“Holdings”) is the record holder of the Company shares. VII Co-Invest Sponsor LLC and HC 7GC Partners I LLC are the managing members of Holdings. VII Co-Invest Sponsor LLC is managed by SP Global Advisors LLC, which is managed by Jack Leeney. Each of Tom Hennessy and Joseph Beck are the managing members of HC 7GC Partners I LLC. As such, each of the foregoing individuals have voting and investment discretion with respect to and may be deemed to have shared beneficial ownership of Class A Common Stock held of record by Holdings. Each such entity or person disclaims any beneficial ownership of the reported shares other than to the extent of any pecuniary interest they may have therein, directly or indirectly. The address of Sponsor is 388 Market Street, Suite 1300, San Francisco, CA 94111.</w:t>
            </w:r>
          </w:p>
        </w:tc>
      </w:tr>
      <w:tr>
        <w:trPr/>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88 shares of Class A Common Stock and 2,311,134 shares of Class B Common Stock. Each share of Class B Common Stock entitles its holder to ten votes on all matters presented to our stockholders generally, which has the effect of concentrating the majority of the aggregate voting power of our Common Stock with Mr. Davy (approximately 91.89% of the aggregate voting power as of October 14, 2024). </w:t>
            </w:r>
          </w:p>
        </w:tc>
      </w:tr>
      <w:tr>
        <w:trPr/>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options to purchase 1,268 shares of Class A Common Stock exercisable within 60 days of October 14, 2024. </w:t>
            </w:r>
          </w:p>
        </w:tc>
      </w:tr>
      <w:tr>
        <w:trPr/>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120 shares of Class A Common Stock and options to purchase 1,106 shares of Class A Common Stock exercisable within 60 days of October 14, 2024. </w:t>
            </w:r>
          </w:p>
        </w:tc>
      </w:tr>
      <w:tr>
        <w:trPr/>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504 shares of Class A Common Stock held directly by Mason Ward and 330,346 shares of Class A Common Stock held directly by Alco. Mr. Ward is the Chief Financial Officer of Alco and, in such capacity, has voting and investment control over the shares held by Alco such that Mason Ward may be deemed to indirectly beneficially own the shares owned directly by Alco. The address of Alco is 33930 Weyerhaeuser Way S., Suite 150, Federal Way, Washington 98001. </w:t>
            </w:r>
          </w:p>
        </w:tc>
      </w:tr>
      <w:tr>
        <w:trPr/>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options to purchase 72 shares of Class A Common Stock exercisable within 60 days of October 14, 2024. </w:t>
            </w:r>
          </w:p>
        </w:tc>
      </w:tr>
      <w:tr>
        <w:trPr/>
        <w:tc>
          <w:tcPr>
            <w:tcW w:w="192" w:type="dxa"/>
            <w:tcBorders/>
            <w:vAlign w:val="center"/>
          </w:tcPr>
          <w:p>
            <w:pPr>
              <w:pStyle w:val="TableContents"/>
              <w:bidi w:val="0"/>
              <w:spacing w:before="0" w:after="283"/>
              <w:jc w:val="both"/>
              <w:rPr>
                <w:caps w:val="false"/>
                <w:smallCaps w:val="false"/>
              </w:rPr>
            </w:pPr>
            <w:r>
              <w:rPr>
                <w:caps w:val="false"/>
                <w:smallCaps w:val="false"/>
              </w:rPr>
              <w:t> </w:t>
            </w:r>
          </w:p>
        </w:tc>
        <w:tc>
          <w:tcPr>
            <w:tcW w:w="100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CPBF Lending LLC is 1910 Fairview Avenue, Suite 200 Seattle, WA 98102</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s_001"/>
      <w:bookmarkEnd w:id="14"/>
      <w:r>
        <w:rPr>
          <w:rFonts w:ascii="Times New Roman;Times;Serif" w:hAnsi="Times New Roman;Times;Serif"/>
          <w:b/>
          <w:i w:val="false"/>
          <w:caps w:val="false"/>
          <w:smallCaps w:val="false"/>
          <w:sz w:val="20"/>
        </w:rPr>
        <w:t>SELLING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the selling shareholders of the shares of Class A Common Stock. For additional information regarding the issuance of Common Stock covered by this prospectus, see the section titled “Recent Events - Debt Equitization Plan”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pursuant to the provisions of the agreements we entered into with the Selling Securities as part of the Debt Equitization Plan to permit such entities to offer the shares of Common Stock for resale from time to time. Except for the transactions contemplated by the Debt Equitization Plan, none of the Selling Securityholders have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an additional 15% of shares of Class A Common Stock to account for the additional shares that may be owed to the Selling Shareholders as a result of our changing stock price, since the number of shares issuable to the Selling Shareholders under the applicable Debt Equitization Plan agreement is based upon our stock price at the time of issuance, which is after this Registration Statement is declared effective. For purposes of this Registration Statement, to calculate the number of shares to register, we assumed the issuance date was October 9, 2024 and used a stock price of $3.666 per share, which is the average of the closing price of our Class A Common Stock for the five trading days preceding October 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Selling Securityholder;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of Common Stock that the Selling Securityholder beneficially owned prior to the Offering for resale of the shares under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our Shares of Common Stock that may be offered for resale for the account of the Selling Securityholders under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percentage of our Shares of Common Stock beneficially owned by the Selling Securityholder after the Offering of the shares (assuming all of the offered shares are sold by the Selling Securityholders), is based on 2,039,152 shares of Common stock outstanding immediately after the split as of the date hereof; as stated previously, these figures do not include: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230,000 shares issuable upon exercise of outstanding Public Warrants with an exercise price of $575.00;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16,571 shares issuable upon exercise of the GEM Warrant with an exercise price of $324.50 per share, which will be adjusted downward to 105% of the per share consideration received in this offering pursuant to anti-dilution price protections contained within those warrants (See “Description of Securities-Warrants-GEM Warrant”);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121,661 shares issuable for repayment of GEM Promissory Noted based on a VWAP of $3.863;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10,205 shares issuable upon exercise of outstanding stock options with a weighted average exercise price of $253.99 granted through October 14, 2024;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12,959 shares issuable upon vesting of outstanding restricted stock units granted through October 14, 2024;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2,698,696 shares issuable upon conversion of Senior Convertible Notes;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2,311,134 shares issuable upon conversion of outstanding shares of Class B Common Stock;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277,778 shares issuable upon exercise of outstanding Common Stock Purchase Warrants with an exercise price of $9.00;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 shares issuable upon exercise of Placement Agent Warrants issued pursuant to the “best efforts” public offering the Company completed in May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J.V.B., none of the Selling Securityholders is a broker dealer or an affiliate of a broker dealer. None of the Selling Securityholders has any agreement or understanding to distribute any of the shares being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31"/>
        <w:gridCol w:w="60"/>
        <w:gridCol w:w="128"/>
        <w:gridCol w:w="1461"/>
        <w:gridCol w:w="60"/>
        <w:gridCol w:w="60"/>
        <w:gridCol w:w="154"/>
        <w:gridCol w:w="2068"/>
        <w:gridCol w:w="60"/>
        <w:gridCol w:w="60"/>
        <w:gridCol w:w="750"/>
        <w:gridCol w:w="1751"/>
        <w:gridCol w:w="60"/>
        <w:gridCol w:w="60"/>
        <w:gridCol w:w="289"/>
        <w:gridCol w:w="676"/>
        <w:gridCol w:w="77"/>
      </w:tblGrid>
      <w:tr>
        <w:trPr/>
        <w:tc>
          <w:tcPr>
            <w:tcW w:w="2431"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0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(3)</w:t>
            </w:r>
          </w:p>
        </w:tc>
        <w:tc>
          <w:tcPr>
            <w:tcW w:w="77" w:type="dxa"/>
            <w:tcBorders/>
            <w:tcMar>
              <w:bottom w:w="0" w:type="dxa"/>
            </w:tcMar>
            <w:vAlign w:val="center"/>
          </w:tcPr>
          <w:p>
            <w:pPr>
              <w:pStyle w:val="TableContents"/>
              <w:bidi w:val="0"/>
              <w:spacing w:before="0" w:after="283"/>
              <w:jc w:val="left"/>
              <w:rPr/>
            </w:pPr>
            <w:r>
              <w:rPr/>
              <w:t> </w:t>
            </w:r>
          </w:p>
        </w:tc>
      </w:tr>
      <w:tr>
        <w:trPr/>
        <w:tc>
          <w:tcPr>
            <w:tcW w:w="2431" w:type="dxa"/>
            <w:tcBorders/>
            <w:shd w:fill="CCEEFF" w:val="clear"/>
            <w:tcMar>
              <w:bottom w:w="0" w:type="dxa"/>
            </w:tcMar>
            <w:vAlign w:val="center"/>
          </w:tcPr>
          <w:p>
            <w:pPr>
              <w:pStyle w:val="TableContents"/>
              <w:bidi w:val="0"/>
              <w:spacing w:before="0" w:after="283"/>
              <w:jc w:val="left"/>
              <w:rPr/>
            </w:pPr>
            <w:r>
              <w:rPr/>
              <w:t>Gem Global Yield LLC SCS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46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068" w:type="dxa"/>
            <w:tcBorders/>
            <w:shd w:fill="CCEEFF" w:val="clear"/>
            <w:tcMar>
              <w:bottom w:w="0" w:type="dxa"/>
            </w:tcMar>
            <w:vAlign w:val="center"/>
          </w:tcPr>
          <w:p>
            <w:pPr>
              <w:pStyle w:val="TableContents"/>
              <w:bidi w:val="0"/>
              <w:spacing w:before="0" w:after="283"/>
              <w:jc w:val="right"/>
              <w:rPr/>
            </w:pPr>
            <w:r>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1" w:type="dxa"/>
            <w:tcBorders/>
            <w:shd w:fill="FFFFFF" w:val="clear"/>
            <w:tcMar>
              <w:bottom w:w="0" w:type="dxa"/>
            </w:tcMar>
            <w:vAlign w:val="center"/>
          </w:tcPr>
          <w:p>
            <w:pPr>
              <w:pStyle w:val="TableContents"/>
              <w:bidi w:val="0"/>
              <w:spacing w:before="0" w:after="283"/>
              <w:jc w:val="left"/>
              <w:rPr/>
            </w:pPr>
            <w:r>
              <w:rPr/>
              <w:t>J.V.B Financial Group, LLC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461" w:type="dxa"/>
            <w:tcBorders/>
            <w:shd w:fill="FFFFFF" w:val="clear"/>
            <w:tcMar>
              <w:bottom w:w="0" w:type="dxa"/>
            </w:tcMar>
            <w:vAlign w:val="center"/>
          </w:tcPr>
          <w:p>
            <w:pPr>
              <w:pStyle w:val="TableContents"/>
              <w:bidi w:val="0"/>
              <w:spacing w:before="0" w:after="283"/>
              <w:jc w:val="right"/>
              <w:rPr/>
            </w:pPr>
            <w:r>
              <w:rPr/>
              <w:t>29,078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068" w:type="dxa"/>
            <w:tcBorders/>
            <w:shd w:fill="FFFFFF" w:val="clear"/>
            <w:tcMar>
              <w:bottom w:w="0" w:type="dxa"/>
            </w:tcMar>
            <w:vAlign w:val="center"/>
          </w:tcPr>
          <w:p>
            <w:pPr>
              <w:pStyle w:val="TableContents"/>
              <w:bidi w:val="0"/>
              <w:spacing w:before="0" w:after="283"/>
              <w:jc w:val="right"/>
              <w:rPr/>
            </w:pPr>
            <w:r>
              <w:rPr/>
              <w:t>29,078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31" w:type="dxa"/>
            <w:tcBorders/>
            <w:shd w:fill="CCEEFF" w:val="clear"/>
            <w:tcMar>
              <w:bottom w:w="0" w:type="dxa"/>
            </w:tcMar>
            <w:vAlign w:val="center"/>
          </w:tcPr>
          <w:p>
            <w:pPr>
              <w:pStyle w:val="TableContents"/>
              <w:bidi w:val="0"/>
              <w:spacing w:before="0" w:after="283"/>
              <w:jc w:val="left"/>
              <w:rPr/>
            </w:pPr>
            <w:r>
              <w:rPr/>
              <w:t>Perkins Coie LLP(6)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46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068"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1" w:type="dxa"/>
            <w:tcBorders/>
            <w:shd w:fill="FFFFFF" w:val="clear"/>
            <w:tcMar>
              <w:bottom w:w="0" w:type="dxa"/>
            </w:tcMar>
            <w:vAlign w:val="center"/>
          </w:tcPr>
          <w:p>
            <w:pPr>
              <w:pStyle w:val="TableContents"/>
              <w:bidi w:val="0"/>
              <w:spacing w:before="0" w:after="283"/>
              <w:jc w:val="left"/>
              <w:rPr/>
            </w:pPr>
            <w:r>
              <w:rPr/>
              <w:t>Roth Capital Partners, LLC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461" w:type="dxa"/>
            <w:tcBorders/>
            <w:shd w:fill="FFFFFF" w:val="clear"/>
            <w:tcMar>
              <w:bottom w:w="0" w:type="dxa"/>
            </w:tcMar>
            <w:vAlign w:val="center"/>
          </w:tcPr>
          <w:p>
            <w:pPr>
              <w:pStyle w:val="TableContents"/>
              <w:bidi w:val="0"/>
              <w:spacing w:before="0" w:after="283"/>
              <w:jc w:val="right"/>
              <w:rPr/>
            </w:pPr>
            <w:r>
              <w:rPr/>
              <w:t>35,294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068" w:type="dxa"/>
            <w:tcBorders/>
            <w:shd w:fill="FFFFFF" w:val="clear"/>
            <w:tcMar>
              <w:bottom w:w="0" w:type="dxa"/>
            </w:tcMar>
            <w:vAlign w:val="center"/>
          </w:tcPr>
          <w:p>
            <w:pPr>
              <w:pStyle w:val="TableContents"/>
              <w:bidi w:val="0"/>
              <w:spacing w:before="0" w:after="283"/>
              <w:jc w:val="right"/>
              <w:rPr/>
            </w:pPr>
            <w:r>
              <w:rPr/>
              <w:t>35,294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31" w:type="dxa"/>
            <w:tcBorders/>
            <w:shd w:fill="CCEEFF" w:val="clear"/>
            <w:tcMar>
              <w:bottom w:w="0" w:type="dxa"/>
            </w:tcMar>
            <w:vAlign w:val="center"/>
          </w:tcPr>
          <w:p>
            <w:pPr>
              <w:pStyle w:val="TableContents"/>
              <w:bidi w:val="0"/>
              <w:spacing w:before="0" w:after="283"/>
              <w:jc w:val="left"/>
              <w:rPr/>
            </w:pPr>
            <w:r>
              <w:rPr/>
              <w:t>Verista Partners, Inc.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46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068" w:type="dxa"/>
            <w:tcBorders/>
            <w:shd w:fill="CCEEFF" w:val="clear"/>
            <w:tcMar>
              <w:bottom w:w="0" w:type="dxa"/>
            </w:tcMar>
            <w:vAlign w:val="center"/>
          </w:tcPr>
          <w:p>
            <w:pPr>
              <w:pStyle w:val="TableContents"/>
              <w:bidi w:val="0"/>
              <w:spacing w:before="0" w:after="283"/>
              <w:jc w:val="right"/>
              <w:rPr/>
            </w:pPr>
            <w:r>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left"/>
              <w:rPr/>
            </w:pPr>
            <w:r>
              <w:rPr/>
              <w:t> </w:t>
            </w:r>
          </w:p>
        </w:tc>
        <w:tc>
          <w:tcPr>
            <w:tcW w:w="175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31" w:type="dxa"/>
            <w:tcBorders/>
            <w:shd w:fill="FFFFFF" w:val="clear"/>
            <w:tcMar>
              <w:bottom w:w="0" w:type="dxa"/>
            </w:tcMar>
            <w:vAlign w:val="center"/>
          </w:tcPr>
          <w:p>
            <w:pPr>
              <w:pStyle w:val="TableContents"/>
              <w:bidi w:val="0"/>
              <w:spacing w:before="0" w:after="283"/>
              <w:jc w:val="left"/>
              <w:rPr/>
            </w:pPr>
            <w:r>
              <w:rPr/>
              <w:t>Hudson Global Ventures, LLC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 w:type="dxa"/>
            <w:tcBorders/>
            <w:shd w:fill="FFFFFF" w:val="clear"/>
            <w:tcMar>
              <w:bottom w:w="0" w:type="dxa"/>
            </w:tcMar>
            <w:vAlign w:val="center"/>
          </w:tcPr>
          <w:p>
            <w:pPr>
              <w:pStyle w:val="TableContents"/>
              <w:bidi w:val="0"/>
              <w:spacing w:before="0" w:after="283"/>
              <w:jc w:val="left"/>
              <w:rPr/>
            </w:pPr>
            <w:r>
              <w:rPr/>
              <w:t> </w:t>
            </w:r>
          </w:p>
        </w:tc>
        <w:tc>
          <w:tcPr>
            <w:tcW w:w="1461"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068"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1751"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selling securityholder table only, the Offering refers to the resale of the Shares of Common Stock by each Selling Securityholder listed above. This column includes shares of Common Stock owned by each listed Selling Securityholder prior to the Offering.</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percentages have been rounded up to the nearest one hundredth of one percent.</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15% additional shares to account for the additional shares that may be owed to Gem as a result of our changing stock price, since the number of shares issuable to Gem under the applicable agreement is based upon dividing the Monthly Payment Amount (as defined in the agreement) by the volume weighted average price for the trading day immediately preceding the payment due date. For purposes of this Registration Statement, we assumed the payment due date was October 9, 2024, and therefore, the price was calculated to be $3.666 per share. The person having voting and dispositive power over Gem is Christopher F. Brown. The business address of Gem is 9 West 57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49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10019.</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J.V.B. Financial Group, LLC is a subsidiary of J.V.B. Financial Holdings, LLC which is owned by Cohen &amp; Company, LLC, the operating entity for Cohen &amp; Company Inc., which is controlled by its CEO, Lester Brafman. </w:t>
            </w:r>
            <w:r>
              <w:rPr>
                <w:rFonts w:ascii="Times New Roman;Times;Serif" w:hAnsi="Times New Roman;Times;Serif"/>
                <w:b w:val="false"/>
                <w:i w:val="false"/>
                <w:caps w:val="false"/>
                <w:smallCaps w:val="false"/>
                <w:sz w:val="20"/>
              </w:rPr>
              <w:t xml:space="preserve">The person having voting and dispositive power over J.V.B. is Jerry Serowik. </w:t>
            </w:r>
            <w:r>
              <w:rPr>
                <w:rFonts w:ascii="Times New Roman;Times;Serif" w:hAnsi="Times New Roman;Times;Serif"/>
                <w:b w:val="false"/>
                <w:i w:val="false"/>
                <w:caps w:val="false"/>
                <w:smallCaps w:val="false"/>
                <w:sz w:val="20"/>
                <w:shd w:fill="FFFFFF" w:val="clear"/>
              </w:rPr>
              <w:t xml:space="preserve">The address of the persons and entities listed above is 1825 NW Corporate Blvd, Suite 100, Boca Raton, FL 33431. </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15% additional shares to account for the additional shares that may be owed to Perkins as a result of our changing stock price, since the number of shares issuable to Perkins under the applicable agreement is based upon the lower of: (i) the closing price reported by Nasdaq on the date immediately preceding the date of issuance; and (ii) the average closing price reported by Nasdaq for the five trading days immediately preceding the date of issuance. For purposes of this Registration Statement, we assumed the issuance date was October 9, 2024, and therefore, the price was calculated to be $3.666 per share. Perkins as an entity does not have an individual with the power to vote or dispose the securities on behalf of the firm, and no partner or employee of the firm has, or in the last three years has had, in its individual capacity, a material relationship with the Company. The address of Perkins is 1120 NW Couch Street,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Portland, OR 97209.</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35,294 shares issued on September 6, 2024, pursuant to Addendum to engagement letters dated February 2, 2024 includes 12,000 shares previously registered in Amendment No.1 on February 5, 2024, of the registration statement initially filed on December 29, 2023. Byron Roth is the Chairman and Chief Executive Officer and Gordon Roth is the Chief Operating Officer and Chief Financial Officer of Roth Capital Partners, LLC. In these positions, both Mr. Byron Roth and Mr. Gordon Roth may be deemed to have voting and dispositive power over the shares held by this entity. The address of Roth is 888 San Clemente Dr Ste 400, Newport Beach, CA 92660.</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15% additional shares to account for the additional shares that may be owed to Verista as a result of our changing stock price, since the number of shares issuable to Verista under the applicable agreement is based upon the quotient of $66,666 by the greater of: (i) the VWAP for the five trading days immediately preceding the “Deadline” (as defined in the agreement”); and (ii) the “Minimum Price” as defined under Nasdaq Rule 5635(d). For purposes of this Registration Statement, we assumed the Deadline was October 9, 2024, and therefore, the price was calculated to be $3.666 per share. The person having voting and dispositive power over Verista is Bruce Biegel. The address of Verista is 16001 Collins Avenue, Apt 3707, Sunny Isles Beach, FL 33160.</w:t>
            </w:r>
          </w:p>
        </w:tc>
      </w:tr>
      <w:tr>
        <w:trPr/>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 shares issued on October 15, 2024, pursuant to the Consulting Agreement by and between the Company and Hudson Global Ventures, LLC, dated September 26, 2024. The person having voting and dispositive power over Hudson is Seth Ahdoot. The address of Hudson is 1 Linden Place, Suite 210, Great Neck, NY 11021.</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ds_002"/>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of their respective pledgees, donees, assignees and other successors-in-interest may, from time to time, sell any or all of their shares of common stock on any stock exchange, market or trading facility on which the shares are traded or in private transactions. These sales may be at fixed or negotiated prices. The selling shareholders may use any one or more of the following methods when selling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the 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shareholders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of options on the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shares under Rule 144 of the Securities Act of 1933, as amended (the “Securities Act”), if available, rather than under this prospectus. The selling shareholders shall have the sole and absolute discretion not to accept any purchase offer or make any sale of shares if it deems the purchase price to be unsatisfactory at any particular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or their respective pledgees, donees, transferees or other successors in interest, may also sell the shares directly to market makers acting as principals and/or broker-dealers acting as agents for themselves or their customers. Such broker-dealers may receive compensation in the form of discounts, concessions or commissions from the selling shareholders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shareholder will attempt to sell shares of common stock in block transactions to market makers or other purchasers at a price per share which may be below the then existing market price. We cannot assure that all or any of the shares offered in this prospectus will be issued to, or sold by, the selling shareholders. The selling shareholders and any brokers, dealers or agents, upon effecting the sale of any of the shares offered in this prospectus, may be deemed to be “underwriters” as that term is defined under the Securities Act, the Exchange Act and the rules and regulations of such acts. In such event, any commissions received by such broker-dealers or agents and any profit on the resale of the shares purchased by them may be deemed to be underwriting commissions or discounts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all fees and expenses incident to the registration of the shares, including fees and disbursements of counsel to the selling shareholders, but excluding brokerage commissions or underwriter discounts.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alternatively, may sell all or any part of the shares offered in this prospectus through an underwriter.  The selling shareholders have not entered into any agreement with a prospective underwriter and there is no assurance that any such agreement will be entered into.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their shares to their brokers under the margin provisions of customer agreements. If a selling shareholder defaults on a margin loan, the broker may, from time to time, offer and sell the pledged shares. The selling shareholders and any other persons participating in the sale or distribution of the shares will be subject to applicable provisions of the Exchange Act, and the rules and regulations under such act, including, without limitation, Regulation M. These provisions may restrict certain activities of, and limit the timing of purchases and sales of any of the shares by, the selling shareholders or any other such person. In the event that any of the selling shareholders are deemed an affiliated purchaser or distribution participant within the meaning of Regulation M, then the selling shareholders will not be permitted to engage in short sales of common stock.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specified exceptions or exemptions. In addition, if a short sale is deemed to be a stabilizing activity, then the selling shareholders will not be permitted to engage in a short sale of our common stock. All of these limitations may affect the marketability of the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selling shareholder notifies us that it has a material arrangement with a broker-dealer for the resale of the common stock, then we would be required to amend the registration statement of which this prospectus is a part, and file a prospectus supplement to describe the agreements between the selling shareholder and the broker-dealer.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Inc., or FINRA, the maximum consideration or discount to be received by any member of the FINRA may not exceed 8% of the aggregate amount of the securities offered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s_003"/>
      <w:bookmarkEnd w:id="16"/>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Lock-Up entered into in September 2024, the Company’s CEO, Joe Davy, agreed not to sell an aggregate of 2,311,134 shares of Class B Common Stock that he owns, directly or underlying derivative securities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Registered for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shd w:fill="FFFFFF" w:val="clear"/>
        <w:bidi w:val="0"/>
        <w:jc w:val="both"/>
        <w:rPr>
          <w:caps w:val="false"/>
          <w:smallCaps w:val="false"/>
          <w:color w:val="212529"/>
        </w:rPr>
      </w:pPr>
      <w:r>
        <w:rPr>
          <w:caps w:val="false"/>
          <w:smallCaps w:val="false"/>
          <w:color w:val="212529"/>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485,550 shares of Common Stock (representing approximately 19.23% of our issued and outstanding shares of Common Stock and approximately 22.82% of our issued and outstanding shares of Common Stock held by non-affiliates (in each case, assuming the exercise of all of our warrants)), which was declared effective on February 14, 2024.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25,000,0000 shares of Common Stock (representing approximately 92.46% of our issued and outstanding shares of Common Stock and approximately 93.84% of our issued and outstanding shares of Common Stock held by non-affiliates (in each case, assuming the exercise of all of our warrants)), which was declared effective on September 26, 2024.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(representing approximately 14.75% of our issued and outstanding shares of Common Stock and approximately 17.69% of our issued and outstanding shares of Common Stock held by non-affiliates (in each case, assuming the exercise of all of our warrants), which was declared effective on May 21, 2024</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333-282506) with the SEC for purposes of registering for resale from time to time up to 3,617,648 shares of Common Stock (representing approximately 63.95% of our issued and outstanding shares of Common Stock and approximately 68.78% of our issued and outstanding shares of Common Stock held by non-affiliates (in each case, assuming the exercise of all of our warrants)).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333-282306) with the SEC for purposes of registering for resale from time to time up to an aggregate 6,143,057 shares of Common Stock, 613,269 shares issued as of October 11, 2024. 5,529,788 shares are issuable as of the date hereof including shares underlying notes and warrants (representing approximately 73.06% of our issued and outstanding shares of Common Stock and approximately 77.10% of our issued and outstanding shares of Common Stock held by non-affiliates (in each case, assuming the exercise of all of our warrants).</w:t>
            </w:r>
          </w:p>
        </w:tc>
      </w:tr>
    </w:tbl>
    <w:p>
      <w:pPr>
        <w:pStyle w:val="TextBody"/>
        <w:shd w:fill="FFFFFF" w:val="clear"/>
        <w:bidi w:val="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0" w:right="0" w:hanging="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ind w:left="960" w:right="0" w:hanging="4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bl>
    <w:p>
      <w:pPr>
        <w:pStyle w:val="TextBody"/>
        <w:bidi w:val="0"/>
        <w:spacing w:before="0" w:after="0"/>
        <w:ind w:left="960" w:right="0" w:hanging="48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nd_007"/>
      <w:bookmarkEnd w:id="17"/>
      <w:r>
        <w:rPr>
          <w:rFonts w:ascii="Times New Roman;Times;Serif" w:hAnsi="Times New Roman;Times;Serif"/>
          <w:b/>
          <w:i w:val="false"/>
          <w:caps w:val="false"/>
          <w:smallCaps w:val="false"/>
          <w:sz w:val="20"/>
        </w:rPr>
        <w:t xml:space="preserve">DESCRIPTION OF SECURITIES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and Outstanding Stock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A Common Stock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B Common Stock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Preferred Stock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Pre-Funded Warrants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“Prospectus Summary – Recent Developments - Alco and CP BF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“Prospectus Summary – Recent Developments - Alco and CP BF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Public Stockholder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$575.00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Redemption of Public Warrants When the price per Share of Class A Common Stock Equals or Exceeds $900.00.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whole and not in part;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 price of $0.01 per Public Warrant;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minimum of 30 days’ prior written notice of redemption to each warrant holder;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$900.00 redemption trigger price (as adjusted for certain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as well as the $575.00 (for whole shares) Public Warrant exercise price after the redemption notice is issued.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Redemption Procedures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Anti-dilution Adjustments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$0.50,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GEM Warrant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16,571 shares of Class A Common Stock at an exercise price of $324.50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Senior Convertible Notes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Legacy Banzai issued the First Senior Convertible Note in an aggregate principal amount of $1.5 million to CP BF in connection with the Loan Agreement. On October 10, 2022, the Loan Agreement was amended, whereby CP BF waived payment by Banzai of four months of cash interest with respect to the term loan under the Loan Agreement in replacement for the Second Senior Convertible Note in an aggregate principal amount of $321,345. On August 24, 2023, Legacy Banzai and CP BF entered into the Forbearance Agreement, in connection with which they agreed to amend and restate the Senior Convertible Notes so that they would not convert at the Closing of the Business Combination as a “Change of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Notes became convertible, at CP BF’s option on 5 days’ written notice to the Company, into shares of Class A Common Stock. The Senior Convertible Notes provide that, at all times after a SPAC Transaction (as defined in the Senior Convertible Notes), the conversion price for any such conversion is $4.3485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Notes accrue paid-in-kind interest on the unpaid principal balance at a rate equal to 15.5% per annum, compounding monthly, subject to an increase to 20.0% upon an event of default as described in the Senior Convertible Notes, and have a maturity date of February 19, 2025.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Notes are subject to a restriction on conversion such that the principal of the Senior Convertible Notes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GEM Promissory Note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Promissory Notes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w:t>
      </w:r>
      <w:r>
        <w:rPr>
          <w:rFonts w:ascii="Times New Roman;Times;Serif" w:hAnsi="Times New Roman;Times;Serif"/>
          <w:b w:val="false"/>
          <w:i/>
          <w:caps w:val="false"/>
          <w:smallCaps w:val="false"/>
          <w:sz w:val="20"/>
        </w:rPr>
        <w:t>- Yorkville SEPA</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Yorkville SEPAs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w:t>
      </w:r>
      <w:r>
        <w:rPr>
          <w:rFonts w:ascii="Times New Roman;Times;Serif" w:hAnsi="Times New Roman;Times;Serif"/>
          <w:b/>
          <w:i w:val="false"/>
          <w:caps w:val="false"/>
          <w:smallCaps w:val="false"/>
          <w:sz w:val="20"/>
        </w:rPr>
        <w:t>Amended Debt Repayment Agreement</w:t>
      </w:r>
      <w:r>
        <w:rPr>
          <w:rFonts w:ascii="Times New Roman;Times;Serif" w:hAnsi="Times New Roman;Times;Serif"/>
          <w:b w:val="false"/>
          <w:i w:val="false"/>
          <w:caps w:val="false"/>
          <w:smallCaps w:val="false"/>
          <w:sz w:val="20"/>
        </w:rPr>
        <w:t>”) with Yorkville with respect to the unsecured promissory note in the principal amount of $2,000,000 issued to Yorkville on December 14, 2023 (the “</w:t>
      </w:r>
      <w:r>
        <w:rPr>
          <w:rFonts w:ascii="Times New Roman;Times;Serif" w:hAnsi="Times New Roman;Times;Serif"/>
          <w:b/>
          <w:i w:val="false"/>
          <w:caps w:val="false"/>
          <w:smallCaps w:val="false"/>
          <w:sz w:val="20"/>
        </w:rPr>
        <w:t>December Promissory Note</w:t>
      </w:r>
      <w:r>
        <w:rPr>
          <w:rFonts w:ascii="Times New Roman;Times;Serif" w:hAnsi="Times New Roman;Times;Serif"/>
          <w:b w:val="false"/>
          <w:i w:val="false"/>
          <w:caps w:val="false"/>
          <w:smallCaps w:val="false"/>
          <w:sz w:val="20"/>
        </w:rPr>
        <w:t>”) and the unsecured promissory note in the principal amount of $1,500,000 issued to Yorkville on March 26, 2024 (the “</w:t>
      </w:r>
      <w:r>
        <w:rPr>
          <w:rFonts w:ascii="Times New Roman;Times;Serif" w:hAnsi="Times New Roman;Times;Serif"/>
          <w:b/>
          <w:i w:val="false"/>
          <w:caps w:val="false"/>
          <w:smallCaps w:val="false"/>
          <w:sz w:val="20"/>
        </w:rPr>
        <w:t>March Promissory Note</w:t>
      </w:r>
      <w:r>
        <w:rPr>
          <w:rFonts w:ascii="Times New Roman;Times;Serif" w:hAnsi="Times New Roman;Times;Serif"/>
          <w:b w:val="false"/>
          <w:i w:val="false"/>
          <w:caps w:val="false"/>
          <w:smallCaps w:val="false"/>
          <w:sz w:val="20"/>
        </w:rPr>
        <w:t>,” together with the December Promissory Note, the “</w:t>
      </w:r>
      <w:r>
        <w:rPr>
          <w:rFonts w:ascii="Times New Roman;Times;Serif" w:hAnsi="Times New Roman;Times;Serif"/>
          <w:b/>
          <w:i w:val="false"/>
          <w:caps w:val="false"/>
          <w:smallCaps w:val="false"/>
          <w:sz w:val="20"/>
        </w:rPr>
        <w:t>Promissory Notes</w:t>
      </w:r>
      <w:r>
        <w:rPr>
          <w:rFonts w:ascii="Times New Roman;Times;Serif" w:hAnsi="Times New Roman;Times;Serif"/>
          <w:b w:val="false"/>
          <w:i w:val="false"/>
          <w:caps w:val="false"/>
          <w:smallCaps w:val="false"/>
          <w:sz w:val="20"/>
        </w:rPr>
        <w:t>”).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xml:space="preserve">”). As of the date hereof, there is </w:t>
      </w:r>
      <w:r>
        <w:rPr>
          <w:rFonts w:ascii="Times New Roman;Times;Serif" w:hAnsi="Times New Roman;Times;Serif"/>
          <w:b w:val="false"/>
          <w:i w:val="false"/>
          <w:caps w:val="false"/>
          <w:smallCaps w:val="false"/>
          <w:sz w:val="20"/>
          <w:shd w:fill="FFFFFF" w:val="clear"/>
        </w:rPr>
        <w:t>there is no outstanding balance</w:t>
      </w:r>
      <w:r>
        <w:rPr>
          <w:rFonts w:ascii="Times New Roman;Times;Serif" w:hAnsi="Times New Roman;Times;Serif"/>
          <w:b w:val="false"/>
          <w:i w:val="false"/>
          <w:caps w:val="false"/>
          <w:smallCaps w:val="false"/>
          <w:sz w:val="20"/>
        </w:rPr>
        <w:t xml:space="preserve"> under the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w:t>
      </w:r>
      <w:r>
        <w:rPr>
          <w:rFonts w:ascii="Times New Roman;Times;Serif" w:hAnsi="Times New Roman;Times;Serif"/>
          <w:b/>
          <w:i w:val="false"/>
          <w:caps w:val="false"/>
          <w:smallCaps w:val="false"/>
          <w:sz w:val="20"/>
        </w:rPr>
        <w:t>Repayment Amount</w:t>
      </w:r>
      <w:r>
        <w:rPr>
          <w:rFonts w:ascii="Times New Roman;Times;Serif" w:hAnsi="Times New Roman;Times;Serif"/>
          <w:b w:val="false"/>
          <w:i w:val="false"/>
          <w:caps w:val="false"/>
          <w:smallCaps w:val="false"/>
          <w:sz w:val="20"/>
        </w:rPr>
        <w: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Termination of the SEPA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on which Yorkville shall have made payment of Advances pursuant to the SEPA for shares of Class A Common Stock equal to the commitment amount of $100.0 million.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Effect of Issuances of Class A Common Stock Under the SEPA on our Stockholders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of Charter or Bylaws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Effects of Delaware Law and the Charter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permit the Board to issue up to 75,000,000 shares of Preferred Stock, with any rights, preferences, and privileges as they may designate, including the right to approve an acquisition or other change of control;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that the authorized number of directors may be changed only by resolution of the Board;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that the Board is classified into three classes of directors;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that all vacancies, including newly created directorships, may, except as otherwise required by law, be filled by the affirmative vote of a majority of directors then in office, even if less than a quorum;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 that any action to be taken by the Company’s stockholders must be effected at a duly called annual or special meeting of stockholders and not be taken by written consent or electronic transmission;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 that special meetings of the Company’s stockholders may be called only by the chairperson of the Board, the Company’s Chief Executive Officer or by the Board pursuant to a resolution adopted by a majority of the total number of authorized directors;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 not provide for cumulative voting rights, therefore allowing the holders of a majority of the voting power of the stock of the Company entitled to vote in any election of directors to elect all of the directors standing for election, if they should so choose.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Anti-Takeover Provisions of Delaware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Special Meetings of Stockholders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Advance Notice Requirements for Stockholder Proposals and Director Nominations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Authorized but Unissued Shares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Section 203 of the Delaware General Corporation Law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stockholder who owns 15% or more of our outstanding voting stock (otherwise known as an “interested stockholder”);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affiliate of an interested stockholder; or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associate of an interested stockholder, for three years following the date that the stockholder became an interested stockholder.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approves the transaction that made the stockholder an “interested stockholder,” prior to the date of the transaction;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completion of the transaction that resulted in the stockholder becoming an interested stockholder, that stockholder owned at least 85% of our voting stock outstanding at the time the transaction commenced, other than statutorily excluded shares of common stock; or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Business Corporation Act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merger or consolidation with, disposition of assets to, or issuance or redemption of stock to or from, the acquiring person;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termination of 5% or more of the employees of the target corporation or its subsidiaries employed in Washington as a result of the acquiring person’s acquisition of 10% or more of the shares;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allowing the acquiring person to receive any disproportionate benefit as a stockholder.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transaction from which the director derives an improper personal benefit;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act or omission not in good faith or that involves intentional misconduct or a knowing violation of law;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unlawful payment of dividends or redemption of shares; or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breach of a director’s duty of loyalty to the corporation or its stockholders.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Stockholders’ Derivative Actions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Warrant Agent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of Common Stock and Public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Global Market under the symbol “BNZI,” and the Company’s Public Warrants are listed on The Nasdaq Global Market under the symbol “BNZIW.”</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nd_008"/>
      <w:bookmarkEnd w:id="18"/>
      <w:r>
        <w:rPr>
          <w:rFonts w:ascii="Times New Roman;Times;Serif" w:hAnsi="Times New Roman;Times;Serif"/>
          <w:b/>
          <w:i w:val="false"/>
          <w:caps w:val="false"/>
          <w:smallCaps w:val="false"/>
          <w:sz w:val="20"/>
        </w:rPr>
        <w:t xml:space="preserve">MATERIAL UNITED STATES FEDERAL INCOME TAX CONSEQUENCES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“Code”),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GEM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bank or other financial institution;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tax-exempt organization;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real estate investment trust;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S corporation or other pass-through entity (or an investor in an S corporation or other pass-through entity);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insurance company;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regulated investment company or a mutual fund;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pension plans;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“controlled foreign corporation” or a “passive foreign investment company;”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dealer or broker in stocks and securities, or currencies;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trader in securities that elects mark-to-market treatment;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that is liable for the alternative minimum tax;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that received shares, through the exercise of an employee stock option, through a tax qualified retirement plan or otherwise as compensation;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U.S. Holder that has a functional currency other than the U.S. dollar;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that holds shares as part of a hedge, straddle, constructive sale, conversion or other integrated transaction;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person required to accelerate the recognition of any item of gross income with respect to its shares as a result of such income being recognized on an applicable financial statement; or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U.S. expatriate.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Tax Consequences for U.S.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Taxation of Distributions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or Loss on Sale, Taxable Exchange or Other Taxable Disposition of Class A Common Stock or Pre-Funded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Exercise of a Common Warrant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Sale, Exchange, Redemption or Expiration of a Common Warrant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Possible Constructive Distributions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Tax Consequences for Non-U.S.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Taxation of Distributions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Exercise of a Common Warrant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Possible Constructive Distributions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Gain on Sale, Exchange, or Other Taxable Disposition of Class A Common Stock, Pre-Funded Warrants or Common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gain is effectively connected with the conduct of a trade or business by the Non-U.S. Holder within the United States (and, if an applicable tax treaty so requires, is attributable to a U.S. permanent establishment or fixed base maintained by the Non-U.S. Holder);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Non-U.S. Holder is an individual who is present in the United States for 183 days or more in the taxable year of disposition and certain other conditions are met; or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Foreign Account Tax Compliance Act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Information Reporting and Backup Withholding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nd_010"/>
      <w:bookmarkEnd w:id="19"/>
      <w:r>
        <w:rPr>
          <w:rFonts w:ascii="Times New Roman;Times;Serif" w:hAnsi="Times New Roman;Times;Serif"/>
          <w:b/>
          <w:i w:val="false"/>
          <w:caps w:val="false"/>
          <w:smallCaps w:val="false"/>
          <w:sz w:val="20"/>
        </w:rPr>
        <w:t xml:space="preserve">LEGAL MATTERS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nd_011"/>
      <w:bookmarkEnd w:id="20"/>
      <w:r>
        <w:rPr>
          <w:rFonts w:ascii="Times New Roman;Times;Serif" w:hAnsi="Times New Roman;Times;Serif"/>
          <w:b/>
          <w:i w:val="false"/>
          <w:caps w:val="false"/>
          <w:smallCaps w:val="false"/>
          <w:sz w:val="20"/>
        </w:rPr>
        <w:t xml:space="preserve">EXPERTS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statements of Banzai International, Inc. as of December 31, 2023 and for the years ended December 31, 2023 and 2022 included in this prospectus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nd_012"/>
      <w:bookmarkEnd w:id="21"/>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nd_013"/>
      <w:bookmarkEnd w:id="22"/>
      <w:r>
        <w:rPr>
          <w:rFonts w:ascii="Times New Roman;Times;Serif" w:hAnsi="Times New Roman;Times;Serif"/>
          <w:b/>
          <w:i w:val="false"/>
          <w:caps w:val="false"/>
          <w:smallCaps w:val="false"/>
          <w:sz w:val="20"/>
        </w:rPr>
        <w:t xml:space="preserve">INDEX TO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BANZAI INTERNATIONAL, INC.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3"/>
        <w:gridCol w:w="392"/>
      </w:tblGrid>
      <w:tr>
        <w:trPr/>
        <w:tc>
          <w:tcPr>
            <w:tcW w:w="9813" w:type="dxa"/>
            <w:tcBorders/>
            <w:shd w:fill="CCEEFF" w:val="clear"/>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Financial Statements as of and for the six months ended June 30, 2024</w:t>
            </w:r>
          </w:p>
        </w:tc>
        <w:tc>
          <w:tcPr>
            <w:tcW w:w="3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13" w:type="dxa"/>
            <w:tcBorders/>
            <w:shd w:fill="FFFFFF" w:val="clear"/>
            <w:vAlign w:val="center"/>
          </w:tcPr>
          <w:p>
            <w:pPr>
              <w:pStyle w:val="TableContents"/>
              <w:bidi w:val="0"/>
              <w:spacing w:before="0" w:after="283"/>
              <w:jc w:val="both"/>
              <w:rPr/>
            </w:pPr>
            <w:hyperlink w:anchor="fin_001">
              <w:r>
                <w:rPr>
                  <w:rStyle w:val="InternetLink"/>
                  <w:rFonts w:ascii="Times New Roman;Times;Serif" w:hAnsi="Times New Roman;Times;Serif"/>
                  <w:b w:val="false"/>
                  <w:i w:val="false"/>
                  <w:caps w:val="false"/>
                  <w:smallCaps w:val="false"/>
                  <w:sz w:val="20"/>
                </w:rPr>
                <w:t>Condensed Consolidated Balance Sheets as of June 30, 2024 (Unaudited) and December 31, 2023</w:t>
              </w:r>
            </w:hyperlink>
          </w:p>
        </w:tc>
        <w:tc>
          <w:tcPr>
            <w:tcW w:w="3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13" w:type="dxa"/>
            <w:tcBorders/>
            <w:shd w:fill="CCEEFF" w:val="clear"/>
            <w:vAlign w:val="center"/>
          </w:tcPr>
          <w:p>
            <w:pPr>
              <w:pStyle w:val="TableContents"/>
              <w:bidi w:val="0"/>
              <w:spacing w:before="0" w:after="283"/>
              <w:jc w:val="both"/>
              <w:rPr/>
            </w:pPr>
            <w:hyperlink w:anchor="fin_002">
              <w:r>
                <w:rPr>
                  <w:rStyle w:val="InternetLink"/>
                  <w:rFonts w:ascii="Times New Roman;Times;Serif" w:hAnsi="Times New Roman;Times;Serif"/>
                  <w:b w:val="false"/>
                  <w:i w:val="false"/>
                  <w:caps w:val="false"/>
                  <w:smallCaps w:val="false"/>
                  <w:sz w:val="20"/>
                </w:rPr>
                <w:t>Unaudited Condensed Consolidated Statements of Operations for the six months ended June 30, 2024 and 2023</w:t>
              </w:r>
            </w:hyperlink>
          </w:p>
        </w:tc>
        <w:tc>
          <w:tcPr>
            <w:tcW w:w="39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13" w:type="dxa"/>
            <w:tcBorders/>
            <w:shd w:fill="FFFFFF" w:val="clear"/>
            <w:vAlign w:val="center"/>
          </w:tcPr>
          <w:p>
            <w:pPr>
              <w:pStyle w:val="TableContents"/>
              <w:bidi w:val="0"/>
              <w:spacing w:before="0" w:after="283"/>
              <w:jc w:val="both"/>
              <w:rPr/>
            </w:pPr>
            <w:hyperlink w:anchor="fin_003">
              <w:r>
                <w:rPr>
                  <w:rStyle w:val="InternetLink"/>
                  <w:rFonts w:ascii="Times New Roman;Times;Serif" w:hAnsi="Times New Roman;Times;Serif"/>
                  <w:b w:val="false"/>
                  <w:i w:val="false"/>
                  <w:caps w:val="false"/>
                  <w:smallCaps w:val="false"/>
                  <w:sz w:val="20"/>
                </w:rPr>
                <w:t>Unaudited Condensed Consolidated Statements of Changes in Stockholders’ Deficit for the six months ended June 30, 2024 and 2023</w:t>
              </w:r>
            </w:hyperlink>
          </w:p>
        </w:tc>
        <w:tc>
          <w:tcPr>
            <w:tcW w:w="3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13" w:type="dxa"/>
            <w:tcBorders/>
            <w:shd w:fill="CCEEFF" w:val="clear"/>
            <w:vAlign w:val="center"/>
          </w:tcPr>
          <w:p>
            <w:pPr>
              <w:pStyle w:val="TableContents"/>
              <w:bidi w:val="0"/>
              <w:spacing w:before="0" w:after="283"/>
              <w:jc w:val="both"/>
              <w:rPr/>
            </w:pPr>
            <w:hyperlink w:anchor="fin_004">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2024 and 2023</w:t>
              </w:r>
            </w:hyperlink>
          </w:p>
        </w:tc>
        <w:tc>
          <w:tcPr>
            <w:tcW w:w="39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13" w:type="dxa"/>
            <w:tcBorders/>
            <w:shd w:fill="FFFFFF" w:val="clear"/>
            <w:vAlign w:val="center"/>
          </w:tcPr>
          <w:p>
            <w:pPr>
              <w:pStyle w:val="TableContents"/>
              <w:bidi w:val="0"/>
              <w:spacing w:before="0" w:after="283"/>
              <w:jc w:val="both"/>
              <w:rPr/>
            </w:pPr>
            <w:hyperlink w:anchor="fin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81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13" w:type="dxa"/>
            <w:tcBorders/>
            <w:shd w:fill="FFFFFF" w:val="clear"/>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Consolidated Financial Statements as of and for the years ended December 31, 2023 and 2022</w:t>
            </w:r>
          </w:p>
        </w:tc>
        <w:tc>
          <w:tcPr>
            <w:tcW w:w="39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13" w:type="dxa"/>
            <w:tcBorders/>
            <w:shd w:fill="CCEEFF" w:val="clear"/>
            <w:vAlign w:val="center"/>
          </w:tcPr>
          <w:p>
            <w:pPr>
              <w:pStyle w:val="TableContents"/>
              <w:bidi w:val="0"/>
              <w:spacing w:before="0" w:after="283"/>
              <w:jc w:val="both"/>
              <w:rPr/>
            </w:pPr>
            <w:hyperlink w:anchor="ku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39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F-32</w:t>
            </w:r>
          </w:p>
        </w:tc>
      </w:tr>
      <w:tr>
        <w:trPr/>
        <w:tc>
          <w:tcPr>
            <w:tcW w:w="9813" w:type="dxa"/>
            <w:tcBorders/>
            <w:shd w:fill="FFFFFF" w:val="clear"/>
            <w:vAlign w:val="center"/>
          </w:tcPr>
          <w:p>
            <w:pPr>
              <w:pStyle w:val="TableContents"/>
              <w:bidi w:val="0"/>
              <w:spacing w:before="0" w:after="283"/>
              <w:jc w:val="both"/>
              <w:rPr/>
            </w:pPr>
            <w:hyperlink w:anchor="ku_002">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3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813" w:type="dxa"/>
            <w:tcBorders/>
            <w:shd w:fill="CCEEFF" w:val="clear"/>
            <w:vAlign w:val="center"/>
          </w:tcPr>
          <w:p>
            <w:pPr>
              <w:pStyle w:val="TableContents"/>
              <w:bidi w:val="0"/>
              <w:spacing w:before="0" w:after="283"/>
              <w:jc w:val="both"/>
              <w:rPr/>
            </w:pPr>
            <w:hyperlink w:anchor="ku_003">
              <w:r>
                <w:rPr>
                  <w:rStyle w:val="InternetLink"/>
                  <w:rFonts w:ascii="Times New Roman;Times;Serif" w:hAnsi="Times New Roman;Times;Serif"/>
                  <w:b w:val="false"/>
                  <w:i w:val="false"/>
                  <w:caps w:val="false"/>
                  <w:smallCaps w:val="false"/>
                  <w:sz w:val="20"/>
                </w:rPr>
                <w:t>Consolidated Statements of Operations for the Years ended December 31, 2023 and 2022</w:t>
              </w:r>
            </w:hyperlink>
          </w:p>
        </w:tc>
        <w:tc>
          <w:tcPr>
            <w:tcW w:w="39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813" w:type="dxa"/>
            <w:tcBorders/>
            <w:shd w:fill="FFFFFF" w:val="clear"/>
            <w:vAlign w:val="center"/>
          </w:tcPr>
          <w:p>
            <w:pPr>
              <w:pStyle w:val="TableContents"/>
              <w:bidi w:val="0"/>
              <w:spacing w:before="0" w:after="283"/>
              <w:jc w:val="both"/>
              <w:rPr/>
            </w:pPr>
            <w:hyperlink w:anchor="ku_004">
              <w:r>
                <w:rPr>
                  <w:rStyle w:val="InternetLink"/>
                  <w:rFonts w:ascii="Times New Roman;Times;Serif" w:hAnsi="Times New Roman;Times;Serif"/>
                  <w:b w:val="false"/>
                  <w:i w:val="false"/>
                  <w:caps w:val="false"/>
                  <w:smallCaps w:val="false"/>
                  <w:sz w:val="20"/>
                </w:rPr>
                <w:t>Consolidated Statements of Stockholders’ Deficit for the Years ended December 31, 2023 and 2022</w:t>
              </w:r>
            </w:hyperlink>
          </w:p>
        </w:tc>
        <w:tc>
          <w:tcPr>
            <w:tcW w:w="3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813" w:type="dxa"/>
            <w:tcBorders/>
            <w:shd w:fill="CCEEFF" w:val="clear"/>
            <w:vAlign w:val="center"/>
          </w:tcPr>
          <w:p>
            <w:pPr>
              <w:pStyle w:val="TableContents"/>
              <w:bidi w:val="0"/>
              <w:spacing w:before="0" w:after="283"/>
              <w:jc w:val="both"/>
              <w:rPr/>
            </w:pPr>
            <w:hyperlink w:anchor="ku_005">
              <w:r>
                <w:rPr>
                  <w:rStyle w:val="InternetLink"/>
                  <w:rFonts w:ascii="Times New Roman;Times;Serif" w:hAnsi="Times New Roman;Times;Serif"/>
                  <w:b w:val="false"/>
                  <w:i w:val="false"/>
                  <w:caps w:val="false"/>
                  <w:smallCaps w:val="false"/>
                  <w:sz w:val="20"/>
                </w:rPr>
                <w:t>Consolidated Statements of Cash Flows for the Years ended December 31, 2023 and 2022</w:t>
              </w:r>
            </w:hyperlink>
          </w:p>
        </w:tc>
        <w:tc>
          <w:tcPr>
            <w:tcW w:w="39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813" w:type="dxa"/>
            <w:tcBorders/>
            <w:shd w:fill="FFFFFF" w:val="clear"/>
            <w:vAlign w:val="center"/>
          </w:tcPr>
          <w:p>
            <w:pPr>
              <w:pStyle w:val="TableContents"/>
              <w:bidi w:val="0"/>
              <w:spacing w:before="0" w:after="283"/>
              <w:jc w:val="both"/>
              <w:rPr/>
            </w:pPr>
            <w:hyperlink w:anchor="ku_006">
              <w:r>
                <w:rPr>
                  <w:rStyle w:val="InternetLink"/>
                  <w:rFonts w:ascii="Times New Roman;Times;Serif" w:hAnsi="Times New Roman;Times;Serif"/>
                  <w:b w:val="false"/>
                  <w:i w:val="false"/>
                  <w:caps w:val="false"/>
                  <w:smallCaps w:val="false"/>
                  <w:sz w:val="20"/>
                </w:rPr>
                <w:t>Notes to the Consolidated Financial Statements</w:t>
              </w:r>
            </w:hyperlink>
          </w:p>
        </w:tc>
        <w:tc>
          <w:tcPr>
            <w:tcW w:w="3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in_001"/>
      <w:bookmarkEnd w:id="23"/>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1"/>
        <w:gridCol w:w="60"/>
        <w:gridCol w:w="143"/>
        <w:gridCol w:w="1204"/>
        <w:gridCol w:w="95"/>
        <w:gridCol w:w="60"/>
        <w:gridCol w:w="162"/>
        <w:gridCol w:w="1367"/>
        <w:gridCol w:w="113"/>
      </w:tblGrid>
      <w:tr>
        <w:trPr/>
        <w:tc>
          <w:tcPr>
            <w:tcW w:w="70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3" w:type="dxa"/>
            <w:tcBorders/>
            <w:vAlign w:val="center"/>
          </w:tcPr>
          <w:p>
            <w:pPr>
              <w:pStyle w:val="TableContents"/>
              <w:bidi w:val="0"/>
              <w:spacing w:before="0" w:after="283"/>
              <w:jc w:val="left"/>
              <w:rPr/>
            </w:pPr>
            <w:r>
              <w:rPr/>
              <w:t> </w:t>
            </w:r>
          </w:p>
        </w:tc>
      </w:tr>
      <w:tr>
        <w:trPr/>
        <w:tc>
          <w:tcPr>
            <w:tcW w:w="70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471,747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367" w:type="dxa"/>
            <w:tcBorders/>
            <w:shd w:fill="CCEEFF" w:val="clear"/>
            <w:vAlign w:val="center"/>
          </w:tcPr>
          <w:p>
            <w:pPr>
              <w:pStyle w:val="TableContents"/>
              <w:bidi w:val="0"/>
              <w:spacing w:before="0" w:after="283"/>
              <w:jc w:val="right"/>
              <w:rPr/>
            </w:pPr>
            <w:r>
              <w:rPr/>
              <w:t>2,093,718</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110,797</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(5,748)</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Accounts receivable, net of allowance for credit losses of $6,713 and $5,748,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26,161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105,049</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1,080,936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pPr>
            <w:r>
              <w:rPr/>
              <w:t>741,155</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1,578,844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2,939,922</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4,644</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2,171,526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2,171,526</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46,434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134,013</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38,381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pPr>
            <w:r>
              <w:rPr/>
              <w:t>38,381</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3,837,004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67" w:type="dxa"/>
            <w:tcBorders>
              <w:bottom w:val="double" w:sz="6" w:space="0" w:color="000000"/>
            </w:tcBorders>
            <w:shd w:fill="FFFFFF" w:val="clear"/>
            <w:tcMar>
              <w:bottom w:w="28" w:type="dxa"/>
            </w:tcMar>
            <w:vAlign w:val="center"/>
          </w:tcPr>
          <w:p>
            <w:pPr>
              <w:pStyle w:val="TableContents"/>
              <w:bidi w:val="0"/>
              <w:spacing w:before="0" w:after="283"/>
              <w:jc w:val="right"/>
              <w:rPr/>
            </w:pPr>
            <w:r>
              <w:rPr/>
              <w:t>5,288,486</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9,429,803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6,439,863</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4,264,028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5,194,240</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FFFFFF" w:val="clear"/>
            <w:vAlign w:val="center"/>
          </w:tcPr>
          <w:p>
            <w:pPr>
              <w:pStyle w:val="TableContents"/>
              <w:bidi w:val="0"/>
              <w:spacing w:before="0" w:after="283"/>
              <w:jc w:val="left"/>
              <w:rPr/>
            </w:pPr>
            <w:r>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2,013,000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1,766,000</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2,540,091</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3,530,571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2,693,841</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7,088,209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6,659,787</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Notes payable - related party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3,468,124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2,505,137</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3,468,124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2,505,137</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Deferred underwriting fees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4,000,000</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Deferred fee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500,000</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79,000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641,000</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Warrant liability - related party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575,000</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575,000</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37,125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59,399</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Due to related party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67,118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67,118</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GEM commitment fee liability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2,000,000</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1,322,238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1,214,096</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81,708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234,043</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35,610,924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37,089,615</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4"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7"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FFFFFF" w:val="clear"/>
            <w:tcMar>
              <w:bottom w:w="28" w:type="dxa"/>
            </w:tcMar>
            <w:vAlign w:val="center"/>
          </w:tcPr>
          <w:p>
            <w:pPr>
              <w:pStyle w:val="TableContents"/>
              <w:bidi w:val="0"/>
              <w:spacing w:before="0" w:after="283"/>
              <w:jc w:val="right"/>
              <w:rPr/>
            </w:pPr>
            <w:r>
              <w:rPr/>
              <w:t>75,000</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35,685,924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pPr>
            <w:r>
              <w:rPr/>
              <w:t>37,164,615</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Stockholders’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Common stock, $0.0001 par value, 275,000,000 shares authorized and 3,003,810 and 2,585,296 issued and outstanding at June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259</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Preferred stock, $0.0001 par value, 75,000,000 shares authorized, 0 shares issued and outstanding at June 30, 2024 and December 31, 2023</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23,582,484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right"/>
              <w:rPr/>
            </w:pPr>
            <w:r>
              <w:rPr/>
              <w:t>14,889,936</w:t>
            </w:r>
          </w:p>
        </w:tc>
        <w:tc>
          <w:tcPr>
            <w:tcW w:w="113" w:type="dxa"/>
            <w:tcBorders/>
            <w:shd w:fill="FFFFFF" w:val="clear"/>
            <w:vAlign w:val="center"/>
          </w:tcPr>
          <w:p>
            <w:pPr>
              <w:pStyle w:val="TableContents"/>
              <w:bidi w:val="0"/>
              <w:spacing w:before="0" w:after="283"/>
              <w:jc w:val="left"/>
              <w:rPr/>
            </w:pPr>
            <w:r>
              <w:rPr/>
              <w:t> </w:t>
            </w:r>
          </w:p>
        </w:tc>
      </w:tr>
      <w:tr>
        <w:trPr/>
        <w:tc>
          <w:tcPr>
            <w:tcW w:w="700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(55,431,704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CCEEFF" w:val="clear"/>
            <w:tcMar>
              <w:bottom w:w="28" w:type="dxa"/>
            </w:tcMar>
            <w:vAlign w:val="center"/>
          </w:tcPr>
          <w:p>
            <w:pPr>
              <w:pStyle w:val="TableContents"/>
              <w:bidi w:val="0"/>
              <w:spacing w:before="0" w:after="283"/>
              <w:jc w:val="right"/>
              <w:rPr/>
            </w:pPr>
            <w:r>
              <w:rPr/>
              <w:t>(46,766,324</w:t>
            </w:r>
          </w:p>
        </w:tc>
        <w:tc>
          <w:tcPr>
            <w:tcW w:w="113" w:type="dxa"/>
            <w:tcBorders/>
            <w:shd w:fill="CCEEFF" w:val="clear"/>
            <w:vAlign w:val="center"/>
          </w:tcPr>
          <w:p>
            <w:pPr>
              <w:pStyle w:val="TableContents"/>
              <w:bidi w:val="0"/>
              <w:spacing w:before="0" w:after="283"/>
              <w:jc w:val="left"/>
              <w:rPr/>
            </w:pPr>
            <w:r>
              <w:rPr/>
              <w:t>)</w:t>
            </w:r>
          </w:p>
        </w:tc>
      </w:tr>
      <w:tr>
        <w:trPr/>
        <w:tc>
          <w:tcPr>
            <w:tcW w:w="7001"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(31,848,920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shd w:fill="FFFFFF" w:val="clear"/>
            <w:tcMar>
              <w:bottom w:w="28" w:type="dxa"/>
            </w:tcMar>
            <w:vAlign w:val="center"/>
          </w:tcPr>
          <w:p>
            <w:pPr>
              <w:pStyle w:val="TableContents"/>
              <w:bidi w:val="0"/>
              <w:spacing w:before="0" w:after="283"/>
              <w:jc w:val="right"/>
              <w:rPr/>
            </w:pPr>
            <w:r>
              <w:rPr/>
              <w:t>(31,876,129</w:t>
            </w:r>
          </w:p>
        </w:tc>
        <w:tc>
          <w:tcPr>
            <w:tcW w:w="113" w:type="dxa"/>
            <w:tcBorders/>
            <w:shd w:fill="FFFFFF" w:val="clear"/>
            <w:vAlign w:val="center"/>
          </w:tcPr>
          <w:p>
            <w:pPr>
              <w:pStyle w:val="TableContents"/>
              <w:bidi w:val="0"/>
              <w:spacing w:before="0" w:after="283"/>
              <w:jc w:val="left"/>
              <w:rPr/>
            </w:pPr>
            <w:r>
              <w:rPr/>
              <w:t>)</w:t>
            </w:r>
          </w:p>
        </w:tc>
      </w:tr>
      <w:tr>
        <w:trPr/>
        <w:tc>
          <w:tcPr>
            <w:tcW w:w="7001" w:type="dxa"/>
            <w:tcBorders/>
            <w:shd w:fill="CCEEFF" w:val="clear"/>
            <w:vAlign w:val="center"/>
          </w:tcPr>
          <w:p>
            <w:pPr>
              <w:pStyle w:val="TableContents"/>
              <w:bidi w:val="0"/>
              <w:spacing w:before="0" w:after="283"/>
              <w:jc w:val="left"/>
              <w:rPr/>
            </w:pPr>
            <w:r>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3,837,004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7" w:type="dxa"/>
            <w:tcBorders>
              <w:bottom w:val="double" w:sz="6" w:space="0" w:color="000000"/>
            </w:tcBorders>
            <w:shd w:fill="CCEEFF" w:val="clear"/>
            <w:tcMar>
              <w:bottom w:w="28" w:type="dxa"/>
            </w:tcMar>
            <w:vAlign w:val="center"/>
          </w:tcPr>
          <w:p>
            <w:pPr>
              <w:pStyle w:val="TableContents"/>
              <w:bidi w:val="0"/>
              <w:spacing w:before="0" w:after="283"/>
              <w:jc w:val="right"/>
              <w:rPr/>
            </w:pPr>
            <w:r>
              <w:rPr/>
              <w:t>5,288,486</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in_002"/>
      <w:bookmarkEnd w:id="24"/>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0"/>
        <w:gridCol w:w="60"/>
        <w:gridCol w:w="152"/>
        <w:gridCol w:w="1152"/>
        <w:gridCol w:w="103"/>
        <w:gridCol w:w="65"/>
        <w:gridCol w:w="152"/>
        <w:gridCol w:w="1152"/>
        <w:gridCol w:w="95"/>
        <w:gridCol w:w="60"/>
        <w:gridCol w:w="144"/>
        <w:gridCol w:w="1090"/>
        <w:gridCol w:w="97"/>
        <w:gridCol w:w="61"/>
        <w:gridCol w:w="144"/>
        <w:gridCol w:w="1090"/>
        <w:gridCol w:w="118"/>
      </w:tblGrid>
      <w:tr>
        <w:trPr/>
        <w:tc>
          <w:tcPr>
            <w:tcW w:w="4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8" w:type="dxa"/>
            <w:tcBorders/>
            <w:vAlign w:val="center"/>
          </w:tcPr>
          <w:p>
            <w:pPr>
              <w:pStyle w:val="TableContents"/>
              <w:bidi w:val="0"/>
              <w:spacing w:before="0" w:after="283"/>
              <w:jc w:val="left"/>
              <w:rPr/>
            </w:pPr>
            <w:r>
              <w:rPr/>
              <w:t> </w:t>
            </w:r>
          </w:p>
        </w:tc>
      </w:tr>
      <w:tr>
        <w:trPr/>
        <w:tc>
          <w:tcPr>
            <w:tcW w:w="4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118" w:type="dxa"/>
            <w:tcBorders/>
            <w:vAlign w:val="center"/>
          </w:tcPr>
          <w:p>
            <w:pPr>
              <w:pStyle w:val="TableContents"/>
              <w:bidi w:val="0"/>
              <w:spacing w:before="0" w:after="283"/>
              <w:jc w:val="left"/>
              <w:rPr/>
            </w:pPr>
            <w:r>
              <w:rPr/>
              <w:t> </w:t>
            </w:r>
          </w:p>
        </w:tc>
      </w:tr>
      <w:tr>
        <w:trPr/>
        <w:tc>
          <w:tcPr>
            <w:tcW w:w="4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8" w:type="dxa"/>
            <w:tcBorders/>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152" w:type="dxa"/>
            <w:tcBorders/>
            <w:shd w:fill="FFFFFF" w:val="clear"/>
            <w:vAlign w:val="center"/>
          </w:tcPr>
          <w:p>
            <w:pPr>
              <w:pStyle w:val="TableContents"/>
              <w:bidi w:val="0"/>
              <w:spacing w:before="0" w:after="283"/>
              <w:jc w:val="right"/>
              <w:rPr/>
            </w:pPr>
            <w:r>
              <w:rPr/>
              <w:t>1,068,197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152" w:type="dxa"/>
            <w:tcBorders/>
            <w:shd w:fill="FFFFFF" w:val="clear"/>
            <w:vAlign w:val="center"/>
          </w:tcPr>
          <w:p>
            <w:pPr>
              <w:pStyle w:val="TableContents"/>
              <w:bidi w:val="0"/>
              <w:spacing w:before="0" w:after="283"/>
              <w:jc w:val="right"/>
              <w:rPr/>
            </w:pPr>
            <w:r>
              <w:rPr/>
              <w:t>1,193,321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090" w:type="dxa"/>
            <w:tcBorders/>
            <w:shd w:fill="FFFFFF" w:val="clear"/>
            <w:vAlign w:val="center"/>
          </w:tcPr>
          <w:p>
            <w:pPr>
              <w:pStyle w:val="TableContents"/>
              <w:bidi w:val="0"/>
              <w:spacing w:before="0" w:after="283"/>
              <w:jc w:val="right"/>
              <w:rPr/>
            </w:pPr>
            <w:r>
              <w:rPr/>
              <w:t>2,147,669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090" w:type="dxa"/>
            <w:tcBorders/>
            <w:shd w:fill="FFFFFF" w:val="clear"/>
            <w:vAlign w:val="center"/>
          </w:tcPr>
          <w:p>
            <w:pPr>
              <w:pStyle w:val="TableContents"/>
              <w:bidi w:val="0"/>
              <w:spacing w:before="0" w:after="283"/>
              <w:jc w:val="right"/>
              <w:rPr/>
            </w:pPr>
            <w:r>
              <w:rPr/>
              <w:t>2,370,382</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330,008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379,294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711,388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791,520</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738,189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814,027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1,436,281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1,578,862</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4,319,014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2,929,150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8,627,943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6,099,213</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1,261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1,621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2,825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4,025</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Impairment loss on operating lease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4,320,275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2,930,771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8,630,768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6,103,238</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(3,582,086</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(2,116,744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(7,194,487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(4,524,376</w:t>
            </w:r>
          </w:p>
        </w:tc>
        <w:tc>
          <w:tcPr>
            <w:tcW w:w="118" w:type="dxa"/>
            <w:tcBorders/>
            <w:shd w:fill="CCEEFF" w:val="clear"/>
            <w:vAlign w:val="center"/>
          </w:tcPr>
          <w:p>
            <w:pPr>
              <w:pStyle w:val="TableContents"/>
              <w:bidi w:val="0"/>
              <w:spacing w:before="0" w:after="283"/>
              <w:jc w:val="left"/>
              <w:rPr/>
            </w:pPr>
            <w:r>
              <w:rPr/>
              <w:t>)</w:t>
            </w:r>
          </w:p>
        </w:tc>
      </w:tr>
      <w:tr>
        <w:trPr/>
        <w:tc>
          <w:tcPr>
            <w:tcW w:w="4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GEM settlement fee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200,000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64,145</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(22,145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60,027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(84,683</w:t>
            </w:r>
          </w:p>
        </w:tc>
        <w:tc>
          <w:tcPr>
            <w:tcW w:w="118" w:type="dxa"/>
            <w:tcBorders/>
            <w:shd w:fill="CCEEFF" w:val="clear"/>
            <w:vAlign w:val="center"/>
          </w:tcPr>
          <w:p>
            <w:pPr>
              <w:pStyle w:val="TableContents"/>
              <w:bidi w:val="0"/>
              <w:spacing w:before="0" w:after="283"/>
              <w:jc w:val="left"/>
              <w:rPr/>
            </w:pPr>
            <w:r>
              <w:rPr/>
              <w:t>)</w:t>
            </w:r>
          </w:p>
        </w:tc>
      </w:tr>
      <w:tr>
        <w:trPr/>
        <w:tc>
          <w:tcPr>
            <w:tcW w:w="4470" w:type="dxa"/>
            <w:tcBorders/>
            <w:shd w:fill="CCEEFF" w:val="clear"/>
            <w:vAlign w:val="center"/>
          </w:tcPr>
          <w:p>
            <w:pPr>
              <w:pStyle w:val="TableContents"/>
              <w:bidi w:val="0"/>
              <w:spacing w:before="0" w:after="283"/>
              <w:jc w:val="left"/>
              <w:rPr/>
            </w:pPr>
            <w:r>
              <w:rPr/>
              <w:t>SEPA commitment fee and deferred fee expense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GEM warrant expense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GEM commitment fee expense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(10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(111</w:t>
            </w:r>
          </w:p>
        </w:tc>
        <w:tc>
          <w:tcPr>
            <w:tcW w:w="118" w:type="dxa"/>
            <w:tcBorders/>
            <w:shd w:fill="FFFFFF" w:val="clear"/>
            <w:vAlign w:val="center"/>
          </w:tcPr>
          <w:p>
            <w:pPr>
              <w:pStyle w:val="TableContents"/>
              <w:bidi w:val="0"/>
              <w:spacing w:before="0" w:after="283"/>
              <w:jc w:val="left"/>
              <w:rPr/>
            </w:pPr>
            <w:r>
              <w:rPr/>
              <w:t>)</w:t>
            </w:r>
          </w:p>
        </w:tc>
      </w:tr>
      <w:tr>
        <w:trPr/>
        <w:tc>
          <w:tcPr>
            <w:tcW w:w="4470" w:type="dxa"/>
            <w:tcBorders/>
            <w:shd w:fill="CCEEFF" w:val="clear"/>
            <w:vAlign w:val="center"/>
          </w:tcPr>
          <w:p>
            <w:pPr>
              <w:pStyle w:val="TableContents"/>
              <w:bidi w:val="0"/>
              <w:spacing w:before="0" w:after="283"/>
              <w:jc w:val="left"/>
              <w:rPr/>
            </w:pPr>
            <w:r>
              <w:rPr/>
              <w:t>Loss on modification of simple agreement for future equity</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Loss on modification of simple agreement for future equity-related party</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Loss on modification of simple agreement for future equity</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396,019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521,420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847,418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1,059,298</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385,474</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552,403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962,987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935,687</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385,474</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552,403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962,987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935,687</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(527,980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171,000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(154,000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(562,000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(230,000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(345,000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(230,000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(345,000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Change in fair value of simple agreement for future equity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68,582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91,443</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Change in fair value of simple agreement for future equity - related party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909,418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1,212,557</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Change in fair value of simple agreement for future equity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909,418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1,212,557</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Change in fair value of bifurcated embedded derivative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(194,643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(162,228</w:t>
            </w:r>
          </w:p>
        </w:tc>
        <w:tc>
          <w:tcPr>
            <w:tcW w:w="118" w:type="dxa"/>
            <w:tcBorders/>
            <w:shd w:fill="CCEEFF" w:val="clear"/>
            <w:vAlign w:val="center"/>
          </w:tcPr>
          <w:p>
            <w:pPr>
              <w:pStyle w:val="TableContents"/>
              <w:bidi w:val="0"/>
              <w:spacing w:before="0" w:after="283"/>
              <w:jc w:val="left"/>
              <w:rPr/>
            </w:pPr>
            <w:r>
              <w:rPr/>
              <w:t>)</w:t>
            </w:r>
          </w:p>
        </w:tc>
      </w:tr>
      <w:tr>
        <w:trPr/>
        <w:tc>
          <w:tcPr>
            <w:tcW w:w="4470" w:type="dxa"/>
            <w:tcBorders/>
            <w:shd w:fill="FFFFFF" w:val="clear"/>
            <w:vAlign w:val="center"/>
          </w:tcPr>
          <w:p>
            <w:pPr>
              <w:pStyle w:val="TableContents"/>
              <w:bidi w:val="0"/>
              <w:spacing w:before="0" w:after="283"/>
              <w:jc w:val="left"/>
              <w:rPr/>
            </w:pPr>
            <w:r>
              <w:rPr/>
              <w:t>Change in fair value of bifurcated embedded derivative liabilities - related party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(478,198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(340,913</w:t>
            </w:r>
          </w:p>
        </w:tc>
        <w:tc>
          <w:tcPr>
            <w:tcW w:w="118" w:type="dxa"/>
            <w:tcBorders/>
            <w:shd w:fill="FFFFFF" w:val="clear"/>
            <w:vAlign w:val="center"/>
          </w:tcPr>
          <w:p>
            <w:pPr>
              <w:pStyle w:val="TableContents"/>
              <w:bidi w:val="0"/>
              <w:spacing w:before="0" w:after="283"/>
              <w:jc w:val="left"/>
              <w:rPr/>
            </w:pPr>
            <w:r>
              <w:rPr/>
              <w:t>)</w:t>
            </w:r>
          </w:p>
        </w:tc>
      </w:tr>
      <w:tr>
        <w:trPr/>
        <w:tc>
          <w:tcPr>
            <w:tcW w:w="4470" w:type="dxa"/>
            <w:tcBorders/>
            <w:shd w:fill="FFFFFF" w:val="clear"/>
            <w:vAlign w:val="center"/>
          </w:tcPr>
          <w:p>
            <w:pPr>
              <w:pStyle w:val="TableContents"/>
              <w:bidi w:val="0"/>
              <w:spacing w:before="0" w:after="283"/>
              <w:jc w:val="left"/>
              <w:rPr/>
            </w:pPr>
            <w:r>
              <w:rPr/>
              <w:t>Change in fair value of bifurcated embedded derivative liabilities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(478,198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(340,913</w:t>
            </w:r>
          </w:p>
        </w:tc>
        <w:tc>
          <w:tcPr>
            <w:tcW w:w="118" w:type="dxa"/>
            <w:tcBorders/>
            <w:shd w:fill="FFFFFF" w:val="clear"/>
            <w:vAlign w:val="center"/>
          </w:tcPr>
          <w:p>
            <w:pPr>
              <w:pStyle w:val="TableContents"/>
              <w:bidi w:val="0"/>
              <w:spacing w:before="0" w:after="283"/>
              <w:jc w:val="left"/>
              <w:rPr/>
            </w:pPr>
            <w:r>
              <w:rPr/>
              <w:t>)</w:t>
            </w:r>
          </w:p>
        </w:tc>
      </w:tr>
      <w:tr>
        <w:trPr/>
        <w:tc>
          <w:tcPr>
            <w:tcW w:w="44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34,000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578,000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80,760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80,760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576,398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1,356,837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1,465,202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2,711,050</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(4,158,484</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FFFFFF" w:val="clear"/>
            <w:tcMar>
              <w:bottom w:w="28" w:type="dxa"/>
            </w:tcMar>
            <w:vAlign w:val="center"/>
          </w:tcPr>
          <w:p>
            <w:pPr>
              <w:pStyle w:val="TableContents"/>
              <w:bidi w:val="0"/>
              <w:spacing w:before="0" w:after="283"/>
              <w:jc w:val="right"/>
              <w:rPr/>
            </w:pPr>
            <w:r>
              <w:rPr/>
              <w:t>(3,473,581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(8,659,689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(7,235,426</w:t>
            </w:r>
          </w:p>
        </w:tc>
        <w:tc>
          <w:tcPr>
            <w:tcW w:w="118" w:type="dxa"/>
            <w:tcBorders/>
            <w:shd w:fill="FFFFFF" w:val="clear"/>
            <w:vAlign w:val="center"/>
          </w:tcPr>
          <w:p>
            <w:pPr>
              <w:pStyle w:val="TableContents"/>
              <w:bidi w:val="0"/>
              <w:spacing w:before="0" w:after="283"/>
              <w:jc w:val="left"/>
              <w:rPr/>
            </w:pPr>
            <w:r>
              <w:rPr/>
              <w:t>)</w:t>
            </w:r>
          </w:p>
        </w:tc>
      </w:tr>
      <w:tr>
        <w:trPr/>
        <w:tc>
          <w:tcPr>
            <w:tcW w:w="44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6,624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12,472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5,691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pPr>
            <w:r>
              <w:rPr/>
              <w:t>15,749</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pPr>
            <w:r>
              <w:rPr/>
              <w:t>(4,165,108</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pPr>
            <w:r>
              <w:rPr/>
              <w:t>(3,486,053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(8,665,380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(7,251,175</w:t>
            </w:r>
          </w:p>
        </w:tc>
        <w:tc>
          <w:tcPr>
            <w:tcW w:w="118" w:type="dxa"/>
            <w:tcBorders/>
            <w:shd w:fill="FFFFFF" w:val="clear"/>
            <w:vAlign w:val="center"/>
          </w:tcPr>
          <w:p>
            <w:pPr>
              <w:pStyle w:val="TableContents"/>
              <w:bidi w:val="0"/>
              <w:spacing w:before="0" w:after="283"/>
              <w:jc w:val="left"/>
              <w:rPr/>
            </w:pPr>
            <w:r>
              <w:rPr/>
              <w:t>)</w:t>
            </w:r>
          </w:p>
        </w:tc>
      </w:tr>
      <w:tr>
        <w:trPr/>
        <w:tc>
          <w:tcPr>
            <w:tcW w:w="4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pPr>
            <w:r>
              <w:rPr/>
              <w:t>(7.69</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pPr>
            <w:r>
              <w:rPr/>
              <w:t>(26.98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(19.50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(56.16</w:t>
            </w:r>
          </w:p>
        </w:tc>
        <w:tc>
          <w:tcPr>
            <w:tcW w:w="118" w:type="dxa"/>
            <w:tcBorders/>
            <w:shd w:fill="CCEEFF" w:val="clear"/>
            <w:vAlign w:val="center"/>
          </w:tcPr>
          <w:p>
            <w:pPr>
              <w:pStyle w:val="TableContents"/>
              <w:bidi w:val="0"/>
              <w:spacing w:before="0" w:after="283"/>
              <w:jc w:val="left"/>
              <w:rPr/>
            </w:pPr>
            <w:r>
              <w:rPr/>
              <w:t>)</w:t>
            </w:r>
          </w:p>
        </w:tc>
      </w:tr>
      <w:tr>
        <w:trPr/>
        <w:tc>
          <w:tcPr>
            <w:tcW w:w="4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47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47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pPr>
            <w:r>
              <w:rPr/>
              <w:t>541,836</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pPr>
            <w:r>
              <w:rPr/>
              <w:t>129,193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444,474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129,127</w:t>
            </w:r>
          </w:p>
        </w:tc>
        <w:tc>
          <w:tcPr>
            <w:tcW w:w="11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in_003"/>
      <w:bookmarkEnd w:id="2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2024 and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9"/>
        <w:gridCol w:w="60"/>
        <w:gridCol w:w="138"/>
        <w:gridCol w:w="602"/>
        <w:gridCol w:w="62"/>
        <w:gridCol w:w="62"/>
        <w:gridCol w:w="314"/>
        <w:gridCol w:w="583"/>
        <w:gridCol w:w="60"/>
        <w:gridCol w:w="60"/>
        <w:gridCol w:w="60"/>
        <w:gridCol w:w="980"/>
        <w:gridCol w:w="95"/>
        <w:gridCol w:w="60"/>
        <w:gridCol w:w="231"/>
        <w:gridCol w:w="629"/>
        <w:gridCol w:w="95"/>
        <w:gridCol w:w="60"/>
        <w:gridCol w:w="140"/>
        <w:gridCol w:w="1100"/>
        <w:gridCol w:w="60"/>
        <w:gridCol w:w="60"/>
        <w:gridCol w:w="145"/>
        <w:gridCol w:w="1225"/>
        <w:gridCol w:w="95"/>
        <w:gridCol w:w="60"/>
        <w:gridCol w:w="140"/>
        <w:gridCol w:w="1175"/>
        <w:gridCol w:w="115"/>
      </w:tblGrid>
      <w:tr>
        <w:trPr/>
        <w:tc>
          <w:tcPr>
            <w:tcW w:w="17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5"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5"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5"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2,585,296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14,889,936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(46,766,324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(31,876,129</w:t>
            </w:r>
          </w:p>
        </w:tc>
        <w:tc>
          <w:tcPr>
            <w:tcW w:w="115" w:type="dxa"/>
            <w:tcBorders/>
            <w:shd w:fill="CCEEFF" w:val="clear"/>
            <w:vAlign w:val="center"/>
          </w:tcPr>
          <w:p>
            <w:pPr>
              <w:pStyle w:val="TableContents"/>
              <w:bidi w:val="0"/>
              <w:spacing w:before="0" w:after="283"/>
              <w:jc w:val="left"/>
              <w:rPr/>
            </w:pPr>
            <w:r>
              <w:rPr/>
              <w:t>)</w:t>
            </w:r>
          </w:p>
        </w:tc>
      </w:tr>
      <w:tr>
        <w:trPr/>
        <w:tc>
          <w:tcPr>
            <w:tcW w:w="1739" w:type="dxa"/>
            <w:tcBorders/>
            <w:shd w:fill="FFFFFF" w:val="clear"/>
            <w:vAlign w:val="center"/>
          </w:tcPr>
          <w:p>
            <w:pPr>
              <w:pStyle w:val="TableContents"/>
              <w:bidi w:val="0"/>
              <w:spacing w:before="0" w:after="283"/>
              <w:jc w:val="left"/>
              <w:rPr/>
            </w:pPr>
            <w:r>
              <w:rPr/>
              <w:t>Conversion of convertible notes - related party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2,540,089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2,540,091</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Shares issued to Yorkville for convertible notes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1,666,996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1,667,000</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Shares issued to Yorkville for commitment fee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499,999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278,833</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Shares issued to GEM</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194,935</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252,967</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(4,500,272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(4,500,272</w:t>
            </w:r>
          </w:p>
        </w:tc>
        <w:tc>
          <w:tcPr>
            <w:tcW w:w="115" w:type="dxa"/>
            <w:tcBorders/>
            <w:shd w:fill="FFFFFF" w:val="clear"/>
            <w:vAlign w:val="center"/>
          </w:tcPr>
          <w:p>
            <w:pPr>
              <w:pStyle w:val="TableContents"/>
              <w:bidi w:val="0"/>
              <w:spacing w:before="0" w:after="283"/>
              <w:jc w:val="left"/>
              <w:rPr/>
            </w:pPr>
            <w:r>
              <w:rPr/>
              <w:t>)</w:t>
            </w:r>
          </w:p>
        </w:tc>
      </w:tr>
      <w:tr>
        <w:trPr/>
        <w:tc>
          <w:tcPr>
            <w:tcW w:w="1739" w:type="dxa"/>
            <w:tcBorders/>
            <w:shd w:fill="CCEEFF" w:val="clear"/>
            <w:vAlign w:val="center"/>
          </w:tcPr>
          <w:p>
            <w:pPr>
              <w:pStyle w:val="TableContents"/>
              <w:bidi w:val="0"/>
              <w:spacing w:before="0" w:after="283"/>
              <w:jc w:val="left"/>
              <w:rPr>
                <w:b/>
              </w:rPr>
            </w:pPr>
            <w:r>
              <w:rPr>
                <w:b/>
              </w:rPr>
              <w:t>Balance March 31, 2024</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2,669,343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20,423,754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(51,266,596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(30,842,575</w:t>
            </w:r>
          </w:p>
        </w:tc>
        <w:tc>
          <w:tcPr>
            <w:tcW w:w="115" w:type="dxa"/>
            <w:tcBorders/>
            <w:shd w:fill="CCEEFF" w:val="clear"/>
            <w:vAlign w:val="center"/>
          </w:tcPr>
          <w:p>
            <w:pPr>
              <w:pStyle w:val="TableContents"/>
              <w:bidi w:val="0"/>
              <w:spacing w:before="0" w:after="283"/>
              <w:jc w:val="left"/>
              <w:rPr/>
            </w:pPr>
            <w:r>
              <w:rPr/>
              <w:t>)</w:t>
            </w:r>
          </w:p>
        </w:tc>
      </w:tr>
      <w:tr>
        <w:trPr/>
        <w:tc>
          <w:tcPr>
            <w:tcW w:w="1739" w:type="dxa"/>
            <w:tcBorders/>
            <w:shd w:fill="FFFFFF" w:val="clear"/>
            <w:vAlign w:val="center"/>
          </w:tcPr>
          <w:p>
            <w:pPr>
              <w:pStyle w:val="TableContents"/>
              <w:bidi w:val="0"/>
              <w:spacing w:before="0" w:after="283"/>
              <w:jc w:val="left"/>
              <w:rPr/>
            </w:pPr>
            <w:r>
              <w:rPr/>
              <w:t>Issuance of common stock and warrants, net of issuance costs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104,556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1,854,808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1,854,818</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Shares issued for exercise of Pre-Funded warrants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866</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334,998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335,000</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Shares issued to Yorkville for redemption premium</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115,800</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Shares issued to GEM</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299,998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300,000</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139,837</w:t>
            </w:r>
          </w:p>
        </w:tc>
        <w:tc>
          <w:tcPr>
            <w:tcW w:w="115"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412,442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412,442</w:t>
            </w:r>
          </w:p>
        </w:tc>
        <w:tc>
          <w:tcPr>
            <w:tcW w:w="115"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(4,165,108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(4,165,108</w:t>
            </w:r>
          </w:p>
        </w:tc>
        <w:tc>
          <w:tcPr>
            <w:tcW w:w="115" w:type="dxa"/>
            <w:tcBorders/>
            <w:shd w:fill="CCEEFF" w:val="clear"/>
            <w:vAlign w:val="center"/>
          </w:tcPr>
          <w:p>
            <w:pPr>
              <w:pStyle w:val="TableContents"/>
              <w:bidi w:val="0"/>
              <w:spacing w:before="0" w:after="283"/>
              <w:jc w:val="left"/>
              <w:rPr/>
            </w:pPr>
            <w:r>
              <w:rPr/>
              <w:t>)</w:t>
            </w:r>
          </w:p>
        </w:tc>
      </w:tr>
      <w:tr>
        <w:trPr/>
        <w:tc>
          <w:tcPr>
            <w:tcW w:w="1739" w:type="dxa"/>
            <w:tcBorders/>
            <w:shd w:fill="FFFFFF" w:val="clear"/>
            <w:vAlign w:val="center"/>
          </w:tcPr>
          <w:p>
            <w:pPr>
              <w:pStyle w:val="TableContents"/>
              <w:bidi w:val="0"/>
              <w:spacing w:before="0" w:after="283"/>
              <w:jc w:val="left"/>
              <w:rPr>
                <w:b/>
              </w:rPr>
            </w:pPr>
            <w:r>
              <w:rPr>
                <w:b/>
              </w:rPr>
              <w:t>Balance June 30, 2024</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3,003,810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23,582,484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(55,431,704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(31,848,920</w:t>
            </w:r>
          </w:p>
        </w:tc>
        <w:tc>
          <w:tcPr>
            <w:tcW w:w="11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3"/>
        <w:gridCol w:w="60"/>
        <w:gridCol w:w="181"/>
        <w:gridCol w:w="599"/>
        <w:gridCol w:w="102"/>
        <w:gridCol w:w="102"/>
        <w:gridCol w:w="422"/>
        <w:gridCol w:w="534"/>
        <w:gridCol w:w="60"/>
        <w:gridCol w:w="60"/>
        <w:gridCol w:w="60"/>
        <w:gridCol w:w="980"/>
        <w:gridCol w:w="60"/>
        <w:gridCol w:w="60"/>
        <w:gridCol w:w="231"/>
        <w:gridCol w:w="629"/>
        <w:gridCol w:w="60"/>
        <w:gridCol w:w="60"/>
        <w:gridCol w:w="140"/>
        <w:gridCol w:w="980"/>
        <w:gridCol w:w="60"/>
        <w:gridCol w:w="60"/>
        <w:gridCol w:w="145"/>
        <w:gridCol w:w="1225"/>
        <w:gridCol w:w="95"/>
        <w:gridCol w:w="60"/>
        <w:gridCol w:w="140"/>
        <w:gridCol w:w="1175"/>
        <w:gridCol w:w="112"/>
      </w:tblGrid>
      <w:tr>
        <w:trPr/>
        <w:tc>
          <w:tcPr>
            <w:tcW w:w="17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2" w:type="dxa"/>
            <w:tcBorders/>
            <w:vAlign w:val="center"/>
          </w:tcPr>
          <w:p>
            <w:pPr>
              <w:pStyle w:val="TableContents"/>
              <w:bidi w:val="0"/>
              <w:spacing w:before="0" w:after="283"/>
              <w:jc w:val="left"/>
              <w:rPr/>
            </w:pPr>
            <w:r>
              <w:rPr/>
              <w:t> </w:t>
            </w:r>
          </w:p>
        </w:tc>
      </w:tr>
      <w:tr>
        <w:trPr/>
        <w:tc>
          <w:tcPr>
            <w:tcW w:w="17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2" w:type="dxa"/>
            <w:tcBorders/>
            <w:vAlign w:val="center"/>
          </w:tcPr>
          <w:p>
            <w:pPr>
              <w:pStyle w:val="TableContents"/>
              <w:bidi w:val="0"/>
              <w:spacing w:before="0" w:after="283"/>
              <w:jc w:val="left"/>
              <w:rPr/>
            </w:pPr>
            <w:r>
              <w:rPr/>
              <w:t> </w:t>
            </w:r>
          </w:p>
        </w:tc>
      </w:tr>
      <w:tr>
        <w:trPr/>
        <w:tc>
          <w:tcPr>
            <w:tcW w:w="1753" w:type="dxa"/>
            <w:tcBorders/>
            <w:shd w:fill="CCEEFF" w:val="clear"/>
            <w:vAlign w:val="center"/>
          </w:tcPr>
          <w:p>
            <w:pPr>
              <w:pStyle w:val="TableContents"/>
              <w:bidi w:val="0"/>
              <w:spacing w:before="0" w:after="283"/>
              <w:jc w:val="left"/>
              <w:rPr>
                <w:b/>
              </w:rPr>
            </w:pPr>
            <w:r>
              <w:rPr>
                <w:b/>
              </w:rPr>
              <w:t>Balance December 31, 2022</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3,935,892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8,245,610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(32,360,062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(24,114,058</w:t>
            </w:r>
          </w:p>
        </w:tc>
        <w:tc>
          <w:tcPr>
            <w:tcW w:w="112" w:type="dxa"/>
            <w:tcBorders/>
            <w:shd w:fill="CCEEFF" w:val="clear"/>
            <w:vAlign w:val="center"/>
          </w:tcPr>
          <w:p>
            <w:pPr>
              <w:pStyle w:val="TableContents"/>
              <w:bidi w:val="0"/>
              <w:spacing w:before="0" w:after="283"/>
              <w:jc w:val="left"/>
              <w:rPr/>
            </w:pPr>
            <w:r>
              <w:rPr/>
              <w:t>)</w:t>
            </w:r>
          </w:p>
        </w:tc>
      </w:tr>
      <w:tr>
        <w:trPr/>
        <w:tc>
          <w:tcPr>
            <w:tcW w:w="1753"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5,543</w:t>
            </w:r>
          </w:p>
        </w:tc>
        <w:tc>
          <w:tcPr>
            <w:tcW w:w="112" w:type="dxa"/>
            <w:tcBorders/>
            <w:shd w:fill="FFFFFF" w:val="clear"/>
            <w:vAlign w:val="center"/>
          </w:tcPr>
          <w:p>
            <w:pPr>
              <w:pStyle w:val="TableContents"/>
              <w:bidi w:val="0"/>
              <w:spacing w:before="0" w:after="283"/>
              <w:jc w:val="left"/>
              <w:rPr/>
            </w:pPr>
            <w:r>
              <w:rPr/>
              <w:t> </w:t>
            </w:r>
          </w:p>
        </w:tc>
      </w:tr>
      <w:tr>
        <w:trPr/>
        <w:tc>
          <w:tcPr>
            <w:tcW w:w="175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402,448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402,448</w:t>
            </w:r>
          </w:p>
        </w:tc>
        <w:tc>
          <w:tcPr>
            <w:tcW w:w="112" w:type="dxa"/>
            <w:tcBorders/>
            <w:shd w:fill="CCEEFF"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(3,765,122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(3,765,122</w:t>
            </w:r>
          </w:p>
        </w:tc>
        <w:tc>
          <w:tcPr>
            <w:tcW w:w="112" w:type="dxa"/>
            <w:tcBorders/>
            <w:shd w:fill="FFFFFF" w:val="clear"/>
            <w:vAlign w:val="center"/>
          </w:tcPr>
          <w:p>
            <w:pPr>
              <w:pStyle w:val="TableContents"/>
              <w:bidi w:val="0"/>
              <w:spacing w:before="0" w:after="283"/>
              <w:jc w:val="left"/>
              <w:rPr/>
            </w:pPr>
            <w:r>
              <w:rPr/>
              <w:t>)</w:t>
            </w:r>
          </w:p>
        </w:tc>
      </w:tr>
      <w:tr>
        <w:trPr/>
        <w:tc>
          <w:tcPr>
            <w:tcW w:w="1753" w:type="dxa"/>
            <w:tcBorders/>
            <w:shd w:fill="CCEEFF" w:val="clear"/>
            <w:vAlign w:val="center"/>
          </w:tcPr>
          <w:p>
            <w:pPr>
              <w:pStyle w:val="TableContents"/>
              <w:bidi w:val="0"/>
              <w:spacing w:before="0" w:after="283"/>
              <w:jc w:val="left"/>
              <w:rPr>
                <w:b/>
              </w:rPr>
            </w:pPr>
            <w:r>
              <w:rPr>
                <w:b/>
              </w:rPr>
              <w:t>Balance March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3,936,063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8,653,601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(36,125,184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(27,471,189</w:t>
            </w:r>
          </w:p>
        </w:tc>
        <w:tc>
          <w:tcPr>
            <w:tcW w:w="112" w:type="dxa"/>
            <w:tcBorders/>
            <w:shd w:fill="CCEEFF" w:val="clear"/>
            <w:vAlign w:val="center"/>
          </w:tcPr>
          <w:p>
            <w:pPr>
              <w:pStyle w:val="TableContents"/>
              <w:bidi w:val="0"/>
              <w:spacing w:before="0" w:after="283"/>
              <w:jc w:val="left"/>
              <w:rPr/>
            </w:pPr>
            <w:r>
              <w:rPr/>
              <w:t>)</w:t>
            </w:r>
          </w:p>
        </w:tc>
      </w:tr>
      <w:tr>
        <w:trPr/>
        <w:tc>
          <w:tcPr>
            <w:tcW w:w="175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3,936,063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8,653,601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(36,125,184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(27,471,189</w:t>
            </w:r>
          </w:p>
        </w:tc>
        <w:tc>
          <w:tcPr>
            <w:tcW w:w="112" w:type="dxa"/>
            <w:tcBorders/>
            <w:shd w:fill="CCEEFF" w:val="clear"/>
            <w:vAlign w:val="center"/>
          </w:tcPr>
          <w:p>
            <w:pPr>
              <w:pStyle w:val="TableContents"/>
              <w:bidi w:val="0"/>
              <w:spacing w:before="0" w:after="283"/>
              <w:jc w:val="left"/>
              <w:rPr/>
            </w:pPr>
            <w:r>
              <w:rPr/>
              <w:t>)</w:t>
            </w:r>
          </w:p>
        </w:tc>
      </w:tr>
      <w:tr>
        <w:trPr/>
        <w:tc>
          <w:tcPr>
            <w:tcW w:w="1753" w:type="dxa"/>
            <w:tcBorders/>
            <w:shd w:fill="FFFFFF" w:val="clear"/>
            <w:vAlign w:val="center"/>
          </w:tcPr>
          <w:p>
            <w:pPr>
              <w:pStyle w:val="TableContents"/>
              <w:bidi w:val="0"/>
              <w:spacing w:before="0" w:after="283"/>
              <w:jc w:val="left"/>
              <w:rPr/>
            </w:pPr>
            <w:r>
              <w:rPr/>
              <w:t>Exercise of stock options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7,820</w:t>
            </w:r>
          </w:p>
        </w:tc>
        <w:tc>
          <w:tcPr>
            <w:tcW w:w="112" w:type="dxa"/>
            <w:tcBorders/>
            <w:shd w:fill="FFFFFF" w:val="clear"/>
            <w:vAlign w:val="center"/>
          </w:tcPr>
          <w:p>
            <w:pPr>
              <w:pStyle w:val="TableContents"/>
              <w:bidi w:val="0"/>
              <w:spacing w:before="0" w:after="283"/>
              <w:jc w:val="left"/>
              <w:rPr/>
            </w:pPr>
            <w:r>
              <w:rPr/>
              <w:t> </w:t>
            </w:r>
          </w:p>
        </w:tc>
      </w:tr>
      <w:tr>
        <w:trPr/>
        <w:tc>
          <w:tcPr>
            <w:tcW w:w="175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218,539</w:t>
            </w:r>
          </w:p>
        </w:tc>
        <w:tc>
          <w:tcPr>
            <w:tcW w:w="112" w:type="dxa"/>
            <w:tcBorders/>
            <w:shd w:fill="CCEEFF"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(3,486,053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(3,486,053</w:t>
            </w:r>
          </w:p>
        </w:tc>
        <w:tc>
          <w:tcPr>
            <w:tcW w:w="112" w:type="dxa"/>
            <w:tcBorders/>
            <w:shd w:fill="FFFFFF" w:val="clear"/>
            <w:vAlign w:val="center"/>
          </w:tcPr>
          <w:p>
            <w:pPr>
              <w:pStyle w:val="TableContents"/>
              <w:bidi w:val="0"/>
              <w:spacing w:before="0" w:after="283"/>
              <w:jc w:val="left"/>
              <w:rPr/>
            </w:pPr>
            <w:r>
              <w:rPr/>
              <w:t>)</w:t>
            </w:r>
          </w:p>
        </w:tc>
      </w:tr>
      <w:tr>
        <w:trPr/>
        <w:tc>
          <w:tcPr>
            <w:tcW w:w="1753" w:type="dxa"/>
            <w:tcBorders/>
            <w:shd w:fill="CCEEFF" w:val="clear"/>
            <w:vAlign w:val="center"/>
          </w:tcPr>
          <w:p>
            <w:pPr>
              <w:pStyle w:val="TableContents"/>
              <w:bidi w:val="0"/>
              <w:spacing w:before="0" w:after="283"/>
              <w:jc w:val="left"/>
              <w:rPr>
                <w:b/>
              </w:rPr>
            </w:pPr>
            <w:r>
              <w:rPr>
                <w:b/>
              </w:rPr>
              <w:t>Balance June 30, 2023</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3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3,936,189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8,879,960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(39,611,237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(30,730,883</w:t>
            </w:r>
          </w:p>
        </w:tc>
        <w:tc>
          <w:tcPr>
            <w:tcW w:w="112" w:type="dxa"/>
            <w:tcBorders/>
            <w:shd w:fill="CCEEFF" w:val="clear"/>
            <w:vAlign w:val="center"/>
          </w:tcPr>
          <w:p>
            <w:pPr>
              <w:pStyle w:val="TableContents"/>
              <w:bidi w:val="0"/>
              <w:spacing w:before="0" w:after="283"/>
              <w:jc w:val="left"/>
              <w:rPr>
                <w:b/>
              </w:rPr>
            </w:pPr>
            <w:r>
              <w:rPr>
                <w:b/>
              </w:rPr>
              <w:t>)</w:t>
            </w:r>
          </w:p>
        </w:tc>
      </w:tr>
      <w:tr>
        <w:trPr/>
        <w:tc>
          <w:tcPr>
            <w:tcW w:w="175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3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3,936,189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8,879,960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(39,611,237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(30,730,883</w:t>
            </w:r>
          </w:p>
        </w:tc>
        <w:tc>
          <w:tcPr>
            <w:tcW w:w="112"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in_004"/>
      <w:bookmarkEnd w:id="2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2"/>
        <w:gridCol w:w="60"/>
        <w:gridCol w:w="189"/>
        <w:gridCol w:w="1432"/>
        <w:gridCol w:w="128"/>
        <w:gridCol w:w="80"/>
        <w:gridCol w:w="189"/>
        <w:gridCol w:w="1432"/>
        <w:gridCol w:w="113"/>
      </w:tblGrid>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3" w:type="dxa"/>
            <w:tcBorders/>
            <w:vAlign w:val="center"/>
          </w:tcPr>
          <w:p>
            <w:pPr>
              <w:pStyle w:val="TableContents"/>
              <w:bidi w:val="0"/>
              <w:spacing w:before="0" w:after="283"/>
              <w:jc w:val="left"/>
              <w:rPr/>
            </w:pPr>
            <w:r>
              <w:rPr/>
              <w:t> </w:t>
            </w:r>
          </w:p>
        </w:tc>
      </w:tr>
      <w:tr>
        <w:trPr/>
        <w:tc>
          <w:tcPr>
            <w:tcW w:w="65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432" w:type="dxa"/>
            <w:tcBorders/>
            <w:shd w:fill="FFFFFF" w:val="clear"/>
            <w:vAlign w:val="center"/>
          </w:tcPr>
          <w:p>
            <w:pPr>
              <w:pStyle w:val="TableContents"/>
              <w:bidi w:val="0"/>
              <w:spacing w:before="0" w:after="283"/>
              <w:jc w:val="right"/>
              <w:rPr/>
            </w:pPr>
            <w:r>
              <w:rPr/>
              <w:t>(8,665,380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432" w:type="dxa"/>
            <w:tcBorders/>
            <w:shd w:fill="FFFFFF" w:val="clear"/>
            <w:vAlign w:val="center"/>
          </w:tcPr>
          <w:p>
            <w:pPr>
              <w:pStyle w:val="TableContents"/>
              <w:bidi w:val="0"/>
              <w:spacing w:before="0" w:after="283"/>
              <w:jc w:val="right"/>
              <w:rPr/>
            </w:pPr>
            <w:r>
              <w:rPr/>
              <w:t>(7,251,175</w:t>
            </w:r>
          </w:p>
        </w:tc>
        <w:tc>
          <w:tcPr>
            <w:tcW w:w="113" w:type="dxa"/>
            <w:tcBorders/>
            <w:shd w:fill="FFFFFF" w:val="clear"/>
            <w:vAlign w:val="center"/>
          </w:tcPr>
          <w:p>
            <w:pPr>
              <w:pStyle w:val="TableContents"/>
              <w:bidi w:val="0"/>
              <w:spacing w:before="0" w:after="283"/>
              <w:jc w:val="left"/>
              <w:rPr/>
            </w:pPr>
            <w:r>
              <w:rPr/>
              <w:t>)</w:t>
            </w:r>
          </w:p>
        </w:tc>
      </w:tr>
      <w:tr>
        <w:trPr/>
        <w:tc>
          <w:tcPr>
            <w:tcW w:w="6582"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2,825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4,025</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(2,191</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(68,285</w:t>
            </w:r>
          </w:p>
        </w:tc>
        <w:tc>
          <w:tcPr>
            <w:tcW w:w="113" w:type="dxa"/>
            <w:tcBorders/>
            <w:shd w:fill="CCEEFF" w:val="clear"/>
            <w:vAlign w:val="center"/>
          </w:tcPr>
          <w:p>
            <w:pPr>
              <w:pStyle w:val="TableContents"/>
              <w:bidi w:val="0"/>
              <w:spacing w:before="0" w:after="283"/>
              <w:jc w:val="left"/>
              <w:rPr/>
            </w:pPr>
            <w:r>
              <w:rPr/>
              <w:t>)</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shares issued to Yorkville for aggregate commitment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issuance of warrants accounted for as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pPr>
            <w:r>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175,334</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Non-cash settlement of GEM commitment fee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200,000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80,760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596,693</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471,076</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175,517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214,830</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175,517</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214,830</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68,459</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272,670</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Amortization of debt discount and issuance costs - related party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787,470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719,913</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87,579</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86,320</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665,409</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620,987</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(527,980</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Excise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171,000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(562,000</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(345,000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(345,000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pPr>
            <w:r>
              <w:rPr/>
              <w:t>Change in fair value of simple agreement for future equity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91,443</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Change in fair value of simple agreement for future equity - related party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1,212,557</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Change in fair value of simple agreement for future equity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1,212,557</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Change in fair value of bifurcated embedded derivative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(162,228</w:t>
            </w:r>
          </w:p>
        </w:tc>
        <w:tc>
          <w:tcPr>
            <w:tcW w:w="113" w:type="dxa"/>
            <w:tcBorders/>
            <w:shd w:fill="CCEEFF" w:val="clear"/>
            <w:vAlign w:val="center"/>
          </w:tcPr>
          <w:p>
            <w:pPr>
              <w:pStyle w:val="TableContents"/>
              <w:bidi w:val="0"/>
              <w:spacing w:before="0" w:after="283"/>
              <w:jc w:val="left"/>
              <w:rPr/>
            </w:pPr>
            <w:r>
              <w:rPr/>
              <w:t>)</w:t>
            </w:r>
          </w:p>
        </w:tc>
      </w:tr>
      <w:tr>
        <w:trPr/>
        <w:tc>
          <w:tcPr>
            <w:tcW w:w="6582" w:type="dxa"/>
            <w:tcBorders/>
            <w:shd w:fill="FFFFFF" w:val="clear"/>
            <w:vAlign w:val="center"/>
          </w:tcPr>
          <w:p>
            <w:pPr>
              <w:pStyle w:val="TableContents"/>
              <w:bidi w:val="0"/>
              <w:spacing w:before="0" w:after="283"/>
              <w:jc w:val="left"/>
              <w:rPr/>
            </w:pPr>
            <w:r>
              <w:rPr/>
              <w:t>Change in fair value of bifurcated embedded derivative liabilities - related party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(340,913</w:t>
            </w:r>
          </w:p>
        </w:tc>
        <w:tc>
          <w:tcPr>
            <w:tcW w:w="113" w:type="dxa"/>
            <w:tcBorders/>
            <w:shd w:fill="FFFFFF" w:val="clear"/>
            <w:vAlign w:val="center"/>
          </w:tcPr>
          <w:p>
            <w:pPr>
              <w:pStyle w:val="TableContents"/>
              <w:bidi w:val="0"/>
              <w:spacing w:before="0" w:after="283"/>
              <w:jc w:val="left"/>
              <w:rPr/>
            </w:pPr>
            <w:r>
              <w:rPr/>
              <w:t>)</w:t>
            </w:r>
          </w:p>
        </w:tc>
      </w:tr>
      <w:tr>
        <w:trPr/>
        <w:tc>
          <w:tcPr>
            <w:tcW w:w="6582" w:type="dxa"/>
            <w:tcBorders/>
            <w:shd w:fill="FFFFFF" w:val="clear"/>
            <w:vAlign w:val="center"/>
          </w:tcPr>
          <w:p>
            <w:pPr>
              <w:pStyle w:val="TableContents"/>
              <w:bidi w:val="0"/>
              <w:spacing w:before="0" w:after="283"/>
              <w:jc w:val="left"/>
              <w:rPr/>
            </w:pPr>
            <w:r>
              <w:rPr/>
              <w:t>Change in fair value of bifurcated embedded derivative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(340,913</w:t>
            </w:r>
          </w:p>
        </w:tc>
        <w:tc>
          <w:tcPr>
            <w:tcW w:w="113" w:type="dxa"/>
            <w:tcBorders/>
            <w:shd w:fill="FFFFFF" w:val="clear"/>
            <w:vAlign w:val="center"/>
          </w:tcPr>
          <w:p>
            <w:pPr>
              <w:pStyle w:val="TableContents"/>
              <w:bidi w:val="0"/>
              <w:spacing w:before="0" w:after="283"/>
              <w:jc w:val="left"/>
              <w:rPr/>
            </w:pPr>
            <w:r>
              <w:rPr/>
              <w:t>)</w:t>
            </w:r>
          </w:p>
        </w:tc>
      </w:tr>
      <w:tr>
        <w:trPr/>
        <w:tc>
          <w:tcPr>
            <w:tcW w:w="6582"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578,000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81,079</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27,168</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(180,343</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(93,137</w:t>
            </w:r>
          </w:p>
        </w:tc>
        <w:tc>
          <w:tcPr>
            <w:tcW w:w="113" w:type="dxa"/>
            <w:tcBorders/>
            <w:shd w:fill="FFFFFF" w:val="clear"/>
            <w:vAlign w:val="center"/>
          </w:tcPr>
          <w:p>
            <w:pPr>
              <w:pStyle w:val="TableContents"/>
              <w:bidi w:val="0"/>
              <w:spacing w:before="0" w:after="283"/>
              <w:jc w:val="left"/>
              <w:rPr/>
            </w:pPr>
            <w:r>
              <w:rPr/>
              <w:t>)</w:t>
            </w:r>
          </w:p>
        </w:tc>
      </w:tr>
      <w:tr>
        <w:trPr/>
        <w:tc>
          <w:tcPr>
            <w:tcW w:w="6582"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(427,664</w:t>
            </w:r>
          </w:p>
        </w:tc>
        <w:tc>
          <w:tcPr>
            <w:tcW w:w="113" w:type="dxa"/>
            <w:tcBorders/>
            <w:shd w:fill="CCEEFF" w:val="clear"/>
            <w:vAlign w:val="center"/>
          </w:tcPr>
          <w:p>
            <w:pPr>
              <w:pStyle w:val="TableContents"/>
              <w:bidi w:val="0"/>
              <w:spacing w:before="0" w:after="283"/>
              <w:jc w:val="left"/>
              <w:rPr/>
            </w:pPr>
            <w:r>
              <w:rPr/>
              <w:t>)</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2,989,940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1,218,775</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108,142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32,124</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(123,399</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(336,332</w:t>
            </w:r>
          </w:p>
        </w:tc>
        <w:tc>
          <w:tcPr>
            <w:tcW w:w="113" w:type="dxa"/>
            <w:tcBorders/>
            <w:shd w:fill="FFFFFF" w:val="clear"/>
            <w:vAlign w:val="center"/>
          </w:tcPr>
          <w:p>
            <w:pPr>
              <w:pStyle w:val="TableContents"/>
              <w:bidi w:val="0"/>
              <w:spacing w:before="0" w:after="283"/>
              <w:jc w:val="left"/>
              <w:rPr/>
            </w:pPr>
            <w:r>
              <w:rPr/>
              <w:t>)</w:t>
            </w:r>
          </w:p>
        </w:tc>
      </w:tr>
      <w:tr>
        <w:trPr/>
        <w:tc>
          <w:tcPr>
            <w:tcW w:w="658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(152,335</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(138,804</w:t>
            </w:r>
          </w:p>
        </w:tc>
        <w:tc>
          <w:tcPr>
            <w:tcW w:w="113" w:type="dxa"/>
            <w:tcBorders/>
            <w:shd w:fill="CCEEFF" w:val="clear"/>
            <w:vAlign w:val="center"/>
          </w:tcPr>
          <w:p>
            <w:pPr>
              <w:pStyle w:val="TableContents"/>
              <w:bidi w:val="0"/>
              <w:spacing w:before="0" w:after="283"/>
              <w:jc w:val="left"/>
              <w:rPr/>
            </w:pPr>
            <w:r>
              <w:rPr/>
              <w:t>)</w:t>
            </w:r>
          </w:p>
        </w:tc>
      </w:tr>
      <w:tr>
        <w:trPr/>
        <w:tc>
          <w:tcPr>
            <w:tcW w:w="6582"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(22,274</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(200,000</w:t>
            </w:r>
          </w:p>
        </w:tc>
        <w:tc>
          <w:tcPr>
            <w:tcW w:w="113" w:type="dxa"/>
            <w:tcBorders/>
            <w:shd w:fill="FFFFFF" w:val="clear"/>
            <w:vAlign w:val="center"/>
          </w:tcPr>
          <w:p>
            <w:pPr>
              <w:pStyle w:val="TableContents"/>
              <w:bidi w:val="0"/>
              <w:spacing w:before="0" w:after="283"/>
              <w:jc w:val="left"/>
              <w:rPr/>
            </w:pPr>
            <w:r>
              <w:rPr/>
              <w:t>)</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sz w:val="4"/>
                <w:szCs w:val="4"/>
              </w:rPr>
            </w:pPr>
            <w:r>
              <w:rPr>
                <w:sz w:val="4"/>
                <w:szCs w:val="4"/>
              </w:rPr>
            </w:r>
          </w:p>
        </w:tc>
      </w:tr>
      <w:tr>
        <w:trPr/>
        <w:tc>
          <w:tcPr>
            <w:tcW w:w="6582"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(3,812,695</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(4,046,650</w:t>
            </w:r>
          </w:p>
        </w:tc>
        <w:tc>
          <w:tcPr>
            <w:tcW w:w="113" w:type="dxa"/>
            <w:tcBorders/>
            <w:shd w:fill="CCEEFF" w:val="clear"/>
            <w:vAlign w:val="center"/>
          </w:tcPr>
          <w:p>
            <w:pPr>
              <w:pStyle w:val="TableContents"/>
              <w:bidi w:val="0"/>
              <w:spacing w:before="0" w:after="283"/>
              <w:jc w:val="left"/>
              <w:rPr/>
            </w:pPr>
            <w:r>
              <w:rPr/>
              <w:t>)</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sz w:val="4"/>
                <w:szCs w:val="4"/>
              </w:rPr>
            </w:pPr>
            <w:r>
              <w:rPr>
                <w:sz w:val="4"/>
                <w:szCs w:val="4"/>
              </w:rPr>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sz w:val="4"/>
                <w:szCs w:val="4"/>
              </w:rPr>
            </w:pPr>
            <w:r>
              <w:rPr>
                <w:sz w:val="4"/>
                <w:szCs w:val="4"/>
              </w:rPr>
            </w:r>
          </w:p>
        </w:tc>
      </w:tr>
      <w:tr>
        <w:trPr/>
        <w:tc>
          <w:tcPr>
            <w:tcW w:w="6582"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Merger, net of transaction costs (Note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sz w:val="4"/>
                <w:szCs w:val="4"/>
              </w:rPr>
            </w:pPr>
            <w:r>
              <w:rPr>
                <w:sz w:val="4"/>
                <w:szCs w:val="4"/>
              </w:rPr>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notes payable, net of issuance costs-related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pPr>
            <w:r>
              <w:rPr/>
              <w:t>Payment of GEM commitment fee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(1,200,000</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Repayment of convertible notes (Yorkville)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(750,000</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Proceeds from Yorkville redemption premium</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35,040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Proceeds from issuance of convertible notes, net of issuance costs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2,250,000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850,000</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Proceeds from issuance of convertible notes, net of issuance costs - related party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2,583,000</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2,583,000</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866</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1,854,818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13,362</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2,190,724</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3,446,362</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(1,621,971</w:t>
            </w:r>
          </w:p>
        </w:tc>
        <w:tc>
          <w:tcPr>
            <w:tcW w:w="128"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(600,288</w:t>
            </w:r>
          </w:p>
        </w:tc>
        <w:tc>
          <w:tcPr>
            <w:tcW w:w="113" w:type="dxa"/>
            <w:tcBorders/>
            <w:shd w:fill="CCEEFF" w:val="clear"/>
            <w:vAlign w:val="center"/>
          </w:tcPr>
          <w:p>
            <w:pPr>
              <w:pStyle w:val="TableContents"/>
              <w:bidi w:val="0"/>
              <w:spacing w:before="0" w:after="283"/>
              <w:jc w:val="left"/>
              <w:rPr/>
            </w:pPr>
            <w:r>
              <w:rPr/>
              <w:t>)</w:t>
            </w:r>
          </w:p>
        </w:tc>
      </w:tr>
      <w:tr>
        <w:trPr/>
        <w:tc>
          <w:tcPr>
            <w:tcW w:w="6582"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2,093,718</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1,023,499</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471,747</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423,211</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158,518</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313,813</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5,075</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8,825</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i/>
              </w:rPr>
            </w:pPr>
            <w:r>
              <w:rPr>
                <w:i/>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Cantor Fee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of convertible notes payable-related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pPr>
            <w:r>
              <w:rPr/>
              <w:t>Shares issued to Roth for advisory fee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278,833</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Shares issued to GEM</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400,000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Shares issued for marketing expenses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334,772</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Settlement of GEM commitment fee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200,000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Shares issued to Yorkville for commitment fee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500,000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under share transfer agreement-related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warrants accounted for as a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commitment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 at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 at issuance-related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FFFFFF" w:val="cle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82" w:type="dxa"/>
            <w:tcBorders/>
            <w:shd w:fill="CCEEFF" w:val="clear"/>
            <w:vAlign w:val="center"/>
          </w:tcPr>
          <w:p>
            <w:pPr>
              <w:pStyle w:val="TableContents"/>
              <w:bidi w:val="0"/>
              <w:spacing w:before="0" w:after="283"/>
              <w:jc w:val="left"/>
              <w:rPr/>
            </w:pPr>
            <w:r>
              <w:rPr/>
              <w:t>Shares issued to Yorkville for redemption premium</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115,800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866</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Issuance of convertible promissory note - GEM</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1,000,000</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2,002,000</w:t>
            </w:r>
          </w:p>
        </w:tc>
        <w:tc>
          <w:tcPr>
            <w:tcW w:w="1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2,540,091</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283"/>
              <w:jc w:val="left"/>
              <w:rPr/>
            </w:pPr>
            <w:r>
              <w:rPr/>
              <w:t>Conversion of convertible notes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2,540,091</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in_005"/>
      <w:bookmarkEnd w:id="2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Close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“Closing Date”), 7GC &amp; Co. Holdings Inc. (“7GC”), our predecessor company, consummated the business combination pursuant to the Agreement and Plan of Merger and Reorganization, dated as of December 8, 2022 (the “Original Merger Agreement”), by and among 7GC, Banzai International, Inc. (“Legacy Banzai”), 7GC Merger Sub I, Inc., an indirect wholly owned subsidiary of 7GC (“First Merger Sub”), and 7GC Merger Sub II, LLC, a direct wholly owned subsidiary of 7GC (“Second Merger Sub”), as amended by the Amendment to Agreement and Plan of Merger, dated as of August 4, 2023 (the “Merger Agreement Amendment” and, together with the Original Merger Agreement, the “Merger Agreement”), by and between 7GC and Legacy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 business combination between 7GC and Legacy Banzai was effected through (a) the merger of First Merger Sub with and into Legacy Banzai, with Legacy Banzai surviving as a wholly-owned subsidiary of 7GC (Legacy Banzai, in its capacity as the surviving corporation of the merger, the “Surviving Corporation”) (the “First Merger”) and (b) the subsequent merger of the Surviving Corporation with and into Second Merger Sub, with Second Merger Sub being the surviving entity of the Second Merger, which ultimately resulted in Legacy Banzai becoming a wholly-owned direct subsidiary of 7GC (the “Second Merger” and, together with the First Merger, the “Mergers” and, collectively with the other transactions described in the Merger Agreement, the “Merger”). On the Closing Date, and in connection with the closing of the Merger (the “Closing”), 7GC changed its name to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7GC was the legal acquirer of Legacy Banzai in the merger, Legacy Banzai is deemed to be the accounting acquirer, and the historical financial statements of Legacy Banzai became the basis for the historical financial statements of the Company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financial statements included here reflect (i) the historical operating results of Legacy Banzai prior to the merger; (ii) the combined results of 7GC and Legacy Banzai following the close of the merger; (iii) the assets and liabilities of Legacy Banzai at their historical cost and (iv) the Legacy Banzai’s equity structure for all periods presented, as affected by the recapitalization presentation after completion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consideration payable to securityholders of Legacy Banzai at the Closing consisted of a number of shares of Class A Common Stock or shares of Class B Common Stock, and cash in lieu of any fractional shares of Class A Common Stock or shares of Class B Common Stock that would otherwise have been payable to any Legacy Banzai securityholders, equal to $100,000,000. See </w:t>
      </w:r>
      <w:r>
        <w:rPr>
          <w:rFonts w:ascii="Times New Roman;Times;Serif" w:hAnsi="Times New Roman;Times;Serif"/>
          <w:b w:val="false"/>
          <w:i/>
          <w:caps w:val="false"/>
          <w:smallCaps w:val="false"/>
          <w:sz w:val="20"/>
        </w:rPr>
        <w:t xml:space="preserve">Note 4 - Reverse Merger Capitalization with 7GC &amp; Co. Holdings Inc. </w:t>
      </w:r>
      <w:r>
        <w:rPr>
          <w:rFonts w:ascii="Times New Roman;Times;Serif" w:hAnsi="Times New Roman;Times;Serif"/>
          <w:b w:val="false"/>
          <w:i w:val="false"/>
          <w:caps w:val="false"/>
          <w:smallCaps w:val="false"/>
          <w:sz w:val="20"/>
        </w:rPr>
        <w:t>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had cash of approximately $0.5 million. For the six months ended June 30, 2024, the Company used approximately $3.8 million in cash for operating activities. The Company has incurred recurring net losses from operations and negative cash flows from operating activities since inception. As of June 30, 2024, the Company had an accumulated deficit of approximately $55.4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and equity financings associated with the close of the Merger described in </w:t>
      </w:r>
      <w:r>
        <w:rPr>
          <w:rFonts w:ascii="Times New Roman;Times;Serif" w:hAnsi="Times New Roman;Times;Serif"/>
          <w:b w:val="false"/>
          <w:i/>
          <w:caps w:val="false"/>
          <w:smallCaps w:val="false"/>
          <w:sz w:val="20"/>
        </w:rPr>
        <w:t>Note 4 - Reverse Merger Capitalization with 7GC &amp; Co. Holdings Inc..</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unaudited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U.S. GAAP have been omitted pursuant to such rules and regulations of the SEC relating to interim financial statements. The December 31, 2023 balance sheet information was derived from the audited financial statements as of that date. Except as disclosed herein, there has been no material change in the information disclosed in the notes to the consolidated financial statements for the year ended December 31, 2023 included in the Company’s Annual Report on Form 10-K, as filed with the Securities and Exchange Commission on April 1, 2024.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periods ended June 30, 2024 are not necessarily indicative of the results that may be expected for the year ending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Effective September 19, 2024, the Company completed a one-for-fifty (1-for-50) reverse stock split of our issued and outstanding shares of Class A Common Stock without a corresponding reduction in the total number of authorized shares of our Class A Common Stock (the “Reverse Stock Split”). All references to shares of the Company’s Class A Common Stock in these financial statements refer to the number of shares of Class A Common Stock after giving effect to the Reverse Stock Split and are presented as if the Reverse Stock Split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originally issued in 7GC’s initial public offering (the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4398"/>
        <w:gridCol w:w="60"/>
        <w:gridCol w:w="155"/>
        <w:gridCol w:w="1174"/>
        <w:gridCol w:w="105"/>
        <w:gridCol w:w="66"/>
        <w:gridCol w:w="155"/>
        <w:gridCol w:w="1174"/>
        <w:gridCol w:w="95"/>
        <w:gridCol w:w="60"/>
        <w:gridCol w:w="145"/>
        <w:gridCol w:w="1098"/>
        <w:gridCol w:w="98"/>
        <w:gridCol w:w="62"/>
        <w:gridCol w:w="145"/>
        <w:gridCol w:w="1098"/>
        <w:gridCol w:w="117"/>
      </w:tblGrid>
      <w:tr>
        <w:trPr/>
        <w:tc>
          <w:tcPr>
            <w:tcW w:w="43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p>
        </w:tc>
      </w:tr>
      <w:tr>
        <w:trPr/>
        <w:tc>
          <w:tcPr>
            <w:tcW w:w="43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9"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6" w:type="dxa"/>
            <w:gridSpan w:val="6"/>
            <w:tcBorders>
              <w:bottom w:val="single" w:sz="8"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117" w:type="dxa"/>
            <w:tcBorders/>
            <w:vAlign w:val="center"/>
          </w:tcPr>
          <w:p>
            <w:pPr>
              <w:pStyle w:val="TableContents"/>
              <w:bidi w:val="0"/>
              <w:spacing w:before="0" w:after="283"/>
              <w:jc w:val="left"/>
              <w:rPr/>
            </w:pPr>
            <w:r>
              <w:rPr/>
              <w:t> </w:t>
            </w:r>
          </w:p>
        </w:tc>
      </w:tr>
      <w:tr>
        <w:trPr/>
        <w:tc>
          <w:tcPr>
            <w:tcW w:w="43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p>
        </w:tc>
      </w:tr>
      <w:tr>
        <w:trPr/>
        <w:tc>
          <w:tcPr>
            <w:tcW w:w="4398"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398" w:type="dxa"/>
            <w:tcBorders/>
            <w:shd w:fill="FFFFFF" w:val="clear"/>
            <w:vAlign w:val="center"/>
          </w:tcPr>
          <w:p>
            <w:pPr>
              <w:pStyle w:val="TableContents"/>
              <w:bidi w:val="0"/>
              <w:spacing w:before="0" w:after="283"/>
              <w:jc w:val="left"/>
              <w:rPr/>
            </w:pPr>
            <w:r>
              <w:rPr/>
              <w:t>Net loss attributable to common stock—basic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(4,165,108</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(3,486,053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8" w:type="dxa"/>
            <w:tcBorders/>
            <w:shd w:fill="FFFFFF" w:val="clear"/>
            <w:vAlign w:val="center"/>
          </w:tcPr>
          <w:p>
            <w:pPr>
              <w:pStyle w:val="TableContents"/>
              <w:bidi w:val="0"/>
              <w:spacing w:before="0" w:after="283"/>
              <w:jc w:val="right"/>
              <w:rPr/>
            </w:pPr>
            <w:r>
              <w:rPr/>
              <w:t>(8,665,380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8" w:type="dxa"/>
            <w:tcBorders/>
            <w:shd w:fill="FFFFFF" w:val="clear"/>
            <w:vAlign w:val="center"/>
          </w:tcPr>
          <w:p>
            <w:pPr>
              <w:pStyle w:val="TableContents"/>
              <w:bidi w:val="0"/>
              <w:spacing w:before="0" w:after="283"/>
              <w:jc w:val="right"/>
              <w:rPr/>
            </w:pPr>
            <w:r>
              <w:rPr/>
              <w:t>(7,251,175</w:t>
            </w:r>
          </w:p>
        </w:tc>
        <w:tc>
          <w:tcPr>
            <w:tcW w:w="117" w:type="dxa"/>
            <w:tcBorders/>
            <w:shd w:fill="FFFFFF" w:val="clear"/>
            <w:vAlign w:val="center"/>
          </w:tcPr>
          <w:p>
            <w:pPr>
              <w:pStyle w:val="TableContents"/>
              <w:bidi w:val="0"/>
              <w:spacing w:before="0" w:after="283"/>
              <w:jc w:val="left"/>
              <w:rPr/>
            </w:pPr>
            <w:r>
              <w:rPr/>
              <w:t>)</w:t>
            </w:r>
          </w:p>
        </w:tc>
      </w:tr>
      <w:tr>
        <w:trPr/>
        <w:tc>
          <w:tcPr>
            <w:tcW w:w="4398"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398" w:type="dxa"/>
            <w:tcBorders/>
            <w:shd w:fill="FFFFFF" w:val="clear"/>
            <w:vAlign w:val="center"/>
          </w:tcPr>
          <w:p>
            <w:pPr>
              <w:pStyle w:val="TableContents"/>
              <w:bidi w:val="0"/>
              <w:spacing w:before="0" w:after="283"/>
              <w:jc w:val="left"/>
              <w:rPr/>
            </w:pPr>
            <w:r>
              <w:rPr/>
              <w:t>Weighted average shares—basic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541,836</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129,193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444,474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129,127</w:t>
            </w:r>
          </w:p>
        </w:tc>
        <w:tc>
          <w:tcPr>
            <w:tcW w:w="117" w:type="dxa"/>
            <w:tcBorders/>
            <w:shd w:fill="FFFFFF" w:val="clear"/>
            <w:vAlign w:val="center"/>
          </w:tcPr>
          <w:p>
            <w:pPr>
              <w:pStyle w:val="TableContents"/>
              <w:bidi w:val="0"/>
              <w:spacing w:before="0" w:after="283"/>
              <w:jc w:val="left"/>
              <w:rPr/>
            </w:pPr>
            <w:r>
              <w:rPr/>
              <w:t> </w:t>
            </w:r>
          </w:p>
        </w:tc>
      </w:tr>
      <w:tr>
        <w:trPr/>
        <w:tc>
          <w:tcPr>
            <w:tcW w:w="4398" w:type="dxa"/>
            <w:tcBorders/>
            <w:shd w:fill="CCEEFF" w:val="clear"/>
            <w:vAlign w:val="center"/>
          </w:tcPr>
          <w:p>
            <w:pPr>
              <w:pStyle w:val="TableContents"/>
              <w:bidi w:val="0"/>
              <w:spacing w:before="0" w:after="283"/>
              <w:jc w:val="left"/>
              <w:rPr/>
            </w:pPr>
            <w:r>
              <w:rPr/>
              <w:t>Net loss per share attributable to common stock—basic and diluted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(7.69</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(19.50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(56.16</w:t>
            </w:r>
          </w:p>
        </w:tc>
        <w:tc>
          <w:tcPr>
            <w:tcW w:w="11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position that could potentially be dilutive in future periods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Antidilutive Securities Excluded from Computation of Earnings Per Share </w:t>
      </w:r>
    </w:p>
    <w:tbl>
      <w:tblPr>
        <w:tblW w:w="4305" w:type="dxa"/>
        <w:jc w:val="left"/>
        <w:tblInd w:w="0" w:type="dxa"/>
        <w:tblLayout w:type="fixed"/>
        <w:tblCellMar>
          <w:top w:w="0" w:type="dxa"/>
          <w:left w:w="0" w:type="dxa"/>
          <w:bottom w:w="0" w:type="dxa"/>
          <w:right w:w="0" w:type="dxa"/>
        </w:tblCellMar>
      </w:tblPr>
      <w:tblGrid>
        <w:gridCol w:w="2450"/>
        <w:gridCol w:w="60"/>
        <w:gridCol w:w="60"/>
        <w:gridCol w:w="800"/>
        <w:gridCol w:w="60"/>
        <w:gridCol w:w="60"/>
        <w:gridCol w:w="60"/>
        <w:gridCol w:w="68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13,405</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GEM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Placement agent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592,222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13,405</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b/>
              </w:rPr>
            </w:pPr>
            <w:r>
              <w:rPr>
                <w:b/>
              </w:rPr>
              <w:t>Antidilutive Securities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592,222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13,405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three and six months ended June 30, 2024 and 2023. The carrying amount of cash, accounts receivable, prepaid expenses and other current assets, accounts payable, accrued expenses, deferred revenue, and other current liabilities approximated their fair values as of June 30,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(Topic 740), Improvements to income tax disclosures,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The amendments in this update intend to improve reportable segment disclosure requirements primarily through enhanced disclosures about significant segment expenses. This ASU requires disclosure of significant segment expenses that are regularly provided to the chief operating decision maker, the addition of a category for other segment items by reportable segment, that all annual segment disclosures be disclosed in interim periods, and other related segment disclosures. The ASU is effective for fiscal years beginning after December 15, 2023, and interim periods within fiscal years beginning after December 15, 2024. The Company is currently evaluating the effect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Reverse Merger Capitalization with 7GC &amp; Co.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“Closing Date”), Banzai consummated the previously announced Merger with 7GC, as a result of which Banzai became a wholly-owned subsidiary of 7GC. While 7GC was the legal acquirer of Banzai in the merger, for accounting purposes, Legacy Banzai was deemed to be the accounting acquirer in the merger. The determination was primarily based on Legacy Banzai’s stockholders having a majority of the voting power in the combined Company, Legacy Banzai having the ability to appoint a majority of the Board of Directors of the Company, Legacy Banzai’s existing management team comprising the senior management of the combined Company, Legacy Banzai comprising the ongoing operations of the combined Company and the combined Company assumed the name “Banzai International, Inc.”. Accordingly, for accounting purposes, the merger was treated as the equivalent of Legacy Banzai issuing stock for the net assets of 7GC, accompanied by a recapitalization. The net assets of 7GC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Retroactive Restatement for Conversion of Common Stock and Series A Preferred Stock by Applying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holders of Legacy Banzai common stock and Series A preferred stock received shares of common stock in an amount determined by application of the Exchange Ratio. In accordance with guidance applicable to these circumstances, the equity structure has been restated in all comparable periods, prior to the merger, up to December 14, 2023, to reflect the number of shares of the Company’s common stock, $0.0001 par value per share, issued to Legacy Banzai’s stockholders in connection with the merger. As such, the shares and corresponding capital amounts and earnings per share related to Legacy Banzai’s outstanding Series A preferred stock and Legacy Banzai’s common stock prior to the merger have been retroactively restated as shares reflecting the exchange ratio of approximately 0.6147 established in the merger. Legacy Banzai’s Series A preferred stock previously classified as temporary equity was retroactively adjusted, converted into common stock and reclassified to permanent equity as a result of the reverse recapitalization. The consolidated assets, liabilities, and results of operations prior to the merger are those of Legacy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to securityholders of Banzai at the Closing Date was equal to $100,000,000. Holders of 3,207,428 shares of 7GC’s Class A common stock, par value $0.0001 per share (“7GC Class A Common Stock”), exercised their right to redeem their shares for cash at a redemption price of approximately $10.76 per share, for an aggregate redemption amount of $34,524,065. Immediately prior to the Closing Date, each share of Banzai’s Preferred Stock that was issued and outstanding was automatically converted into one share of Banzai’s Class A Common Stock, par value $0.0001 per share. Each share of Banzai’s Class B Common Stock that was not held by the Chief Executive Officer of the Company converted to one share of Banzai’s Class A Common Stock, while the Chief Executive Officer received Class B Common Stock.</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Merger Agreement, at the Second Effective Time, each share of common stock of the Surviving Corporation issued and outstanding immediately prior to the Second Effective Time was cancelled and no consideration was delivered therefore.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Company’s certificate of incorporation was amended and restated to, among other things, increase the total number of authorized shares of all classes of capital stock to 350,000,000 shares, consisting of 5,000,000 shares of Class A Common Stock, 25,000,000 shares of Class B Common Stock, and 75,000,000 shares of Preferred Stock, all having a par value of $0.0001 per share. As of June 30, 2024, there were 3,003,810 shares of Common Stock and no shares of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Merger on Class A and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Close of the Merger, holders of Legacy Banzai common stock and Series A preferred stock were converted into shares of common stock in an amount determined by application of the Exchange Ratio. As noted above, the equity structure has been restated in all comparable periods, prior to the Merger, up to December 14, 2023, to reflect the number of shares of the Company’s common stock, $0.0001 par value per share, issued to Legacy Banzai’s stockholders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Reconciliation of the Merger to the Company's Consolidated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7GC Related Party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2022, 7GC issued an unsecured promissory note (the “December 2022 7GC Note”) to the Sponsor, 7GC &amp; Co. Holdings LLC, which provides for borrowings from time to time of up to an aggregate of $2,300,000. The December 2022 7GC Note does not bear interest. Upon the consummation of a Business Combination, the Sponsor shall have the option, but not the obligation, to convert the principal balance of the December 2022 7GC Note, in whole or in part, into that number of shares of Class A common stock, $0.0001 par value per share, of 7GC (the “Converted Shares”) equal to the principal amount of the December 2022 7GC Note so converted divided by $10.00.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2023, 7GC issued an additional unsecured promissory note (the “October 2023 7GC Note”, together with the December 2022 7GC Note, the “ 7GC Promissory Notes”) to the Sponsor, which provides for borrowings from time to time of up to an aggregate of $500,000 for working capital purposes. The October 2023 7GC Note does not bear interest. Upon the consummation of a Business Combination, the Sponsor shall have the option, but not the obligation, to convert the principal balance of the October 2023 7GC Note, in whole or in part, into that number of the Converted Shares, equal to the principal amount of the October 2023 7GC Note so converted divided by $10.00.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Merger, Banzai assumed the 7GC Promissory Notes which subsequently converted on February 2, 2024. At the date of conversion, the total balance of the Notes converted was $2,540,092.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Sponsor paid certain expenses on behalf of 7GC. Upon Closing of the Merger, Banzai assumed the $67,118 liability. As of June 30, 2024, the entire balance remained outstanding and is included within due to related party under current liabilities on the accompanying unaudited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11 -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is recognized throughout the life of the executed agreement. The Company measures revenue based on considerations specified in terms and conditions agreed to by a customer. Furthermore, the Company recognizes revenue when a performance obligation is satisfied by transferring control of the service to the customer, which occurs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within the SOW’s and invoices, agreements range from monthly to annual and Banzai generally provides for net 30-day payment terms with the payment made directly through check or electronic means.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three months ended June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126"/>
        <w:gridCol w:w="60"/>
        <w:gridCol w:w="140"/>
        <w:gridCol w:w="980"/>
        <w:gridCol w:w="60"/>
        <w:gridCol w:w="60"/>
        <w:gridCol w:w="274"/>
        <w:gridCol w:w="1742"/>
        <w:gridCol w:w="215"/>
        <w:gridCol w:w="60"/>
        <w:gridCol w:w="140"/>
        <w:gridCol w:w="980"/>
        <w:gridCol w:w="60"/>
        <w:gridCol w:w="60"/>
        <w:gridCol w:w="274"/>
        <w:gridCol w:w="1742"/>
        <w:gridCol w:w="232"/>
      </w:tblGrid>
      <w:tr>
        <w:trPr/>
        <w:tc>
          <w:tcPr>
            <w:tcW w:w="3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8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32" w:type="dxa"/>
            <w:tcBorders/>
            <w:vAlign w:val="center"/>
          </w:tcPr>
          <w:p>
            <w:pPr>
              <w:pStyle w:val="TableContents"/>
              <w:bidi w:val="0"/>
              <w:spacing w:before="0" w:after="283"/>
              <w:jc w:val="left"/>
              <w:rPr/>
            </w:pPr>
            <w:r>
              <w:rPr/>
              <w:t> </w:t>
            </w:r>
          </w:p>
        </w:tc>
      </w:tr>
      <w:tr>
        <w:trPr/>
        <w:tc>
          <w:tcPr>
            <w:tcW w:w="3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2" w:type="dxa"/>
            <w:tcBorders/>
            <w:vAlign w:val="center"/>
          </w:tcPr>
          <w:p>
            <w:pPr>
              <w:pStyle w:val="TableContents"/>
              <w:bidi w:val="0"/>
              <w:spacing w:before="0" w:after="283"/>
              <w:jc w:val="left"/>
              <w:rPr/>
            </w:pPr>
            <w:r>
              <w:rPr/>
              <w:t> </w:t>
            </w:r>
          </w:p>
        </w:tc>
      </w:tr>
      <w:tr>
        <w:trPr/>
        <w:tc>
          <w:tcPr>
            <w:tcW w:w="3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12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587,712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704,626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59</w:t>
            </w:r>
          </w:p>
        </w:tc>
        <w:tc>
          <w:tcPr>
            <w:tcW w:w="232" w:type="dxa"/>
            <w:tcBorders/>
            <w:shd w:fill="CCEEFF" w:val="clear"/>
            <w:vAlign w:val="center"/>
          </w:tcPr>
          <w:p>
            <w:pPr>
              <w:pStyle w:val="TableContents"/>
              <w:bidi w:val="0"/>
              <w:spacing w:before="0" w:after="283"/>
              <w:jc w:val="left"/>
              <w:rPr/>
            </w:pPr>
            <w:r>
              <w:rPr/>
              <w:t>%</w:t>
            </w:r>
          </w:p>
        </w:tc>
      </w:tr>
      <w:tr>
        <w:trPr/>
        <w:tc>
          <w:tcPr>
            <w:tcW w:w="312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360,666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389,318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33</w:t>
            </w:r>
          </w:p>
        </w:tc>
        <w:tc>
          <w:tcPr>
            <w:tcW w:w="232" w:type="dxa"/>
            <w:tcBorders/>
            <w:shd w:fill="FFFFFF" w:val="clear"/>
            <w:vAlign w:val="center"/>
          </w:tcPr>
          <w:p>
            <w:pPr>
              <w:pStyle w:val="TableContents"/>
              <w:bidi w:val="0"/>
              <w:spacing w:before="0" w:after="283"/>
              <w:jc w:val="left"/>
              <w:rPr/>
            </w:pPr>
            <w:r>
              <w:rPr/>
              <w:t>%</w:t>
            </w:r>
          </w:p>
        </w:tc>
      </w:tr>
      <w:tr>
        <w:trPr/>
        <w:tc>
          <w:tcPr>
            <w:tcW w:w="312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119,819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99,377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232" w:type="dxa"/>
            <w:tcBorders/>
            <w:shd w:fill="CCEEFF" w:val="clear"/>
            <w:vAlign w:val="center"/>
          </w:tcPr>
          <w:p>
            <w:pPr>
              <w:pStyle w:val="TableContents"/>
              <w:bidi w:val="0"/>
              <w:spacing w:before="0" w:after="283"/>
              <w:jc w:val="left"/>
              <w:rPr/>
            </w:pPr>
            <w:r>
              <w:rPr/>
              <w:t>%</w:t>
            </w:r>
          </w:p>
        </w:tc>
      </w:tr>
      <w:tr>
        <w:trPr/>
        <w:tc>
          <w:tcPr>
            <w:tcW w:w="312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1,068,197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1,193,321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six months ended June 30, 2024 and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6"/>
        <w:gridCol w:w="60"/>
        <w:gridCol w:w="140"/>
        <w:gridCol w:w="980"/>
        <w:gridCol w:w="60"/>
        <w:gridCol w:w="60"/>
        <w:gridCol w:w="274"/>
        <w:gridCol w:w="1742"/>
        <w:gridCol w:w="215"/>
        <w:gridCol w:w="60"/>
        <w:gridCol w:w="140"/>
        <w:gridCol w:w="980"/>
        <w:gridCol w:w="60"/>
        <w:gridCol w:w="60"/>
        <w:gridCol w:w="274"/>
        <w:gridCol w:w="1742"/>
        <w:gridCol w:w="232"/>
      </w:tblGrid>
      <w:tr>
        <w:trPr/>
        <w:tc>
          <w:tcPr>
            <w:tcW w:w="3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8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2" w:type="dxa"/>
            <w:tcBorders/>
            <w:vAlign w:val="center"/>
          </w:tcPr>
          <w:p>
            <w:pPr>
              <w:pStyle w:val="TableContents"/>
              <w:bidi w:val="0"/>
              <w:spacing w:before="0" w:after="283"/>
              <w:jc w:val="left"/>
              <w:rPr/>
            </w:pPr>
            <w:r>
              <w:rPr/>
              <w:t> </w:t>
            </w:r>
          </w:p>
        </w:tc>
      </w:tr>
      <w:tr>
        <w:trPr/>
        <w:tc>
          <w:tcPr>
            <w:tcW w:w="3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2" w:type="dxa"/>
            <w:tcBorders/>
            <w:vAlign w:val="center"/>
          </w:tcPr>
          <w:p>
            <w:pPr>
              <w:pStyle w:val="TableContents"/>
              <w:bidi w:val="0"/>
              <w:spacing w:before="0" w:after="283"/>
              <w:jc w:val="left"/>
              <w:rPr/>
            </w:pPr>
            <w:r>
              <w:rPr/>
              <w:t> </w:t>
            </w:r>
          </w:p>
        </w:tc>
      </w:tr>
      <w:tr>
        <w:trPr/>
        <w:tc>
          <w:tcPr>
            <w:tcW w:w="3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12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1,170,539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1,374,401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62</w:t>
            </w:r>
          </w:p>
        </w:tc>
        <w:tc>
          <w:tcPr>
            <w:tcW w:w="232" w:type="dxa"/>
            <w:tcBorders/>
            <w:shd w:fill="CCEEFF" w:val="clear"/>
            <w:vAlign w:val="center"/>
          </w:tcPr>
          <w:p>
            <w:pPr>
              <w:pStyle w:val="TableContents"/>
              <w:bidi w:val="0"/>
              <w:spacing w:before="0" w:after="283"/>
              <w:jc w:val="left"/>
              <w:rPr/>
            </w:pPr>
            <w:r>
              <w:rPr/>
              <w:t>%</w:t>
            </w:r>
          </w:p>
        </w:tc>
      </w:tr>
      <w:tr>
        <w:trPr/>
        <w:tc>
          <w:tcPr>
            <w:tcW w:w="312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746,916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797,228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30</w:t>
            </w:r>
          </w:p>
        </w:tc>
        <w:tc>
          <w:tcPr>
            <w:tcW w:w="232" w:type="dxa"/>
            <w:tcBorders/>
            <w:shd w:fill="FFFFFF" w:val="clear"/>
            <w:vAlign w:val="center"/>
          </w:tcPr>
          <w:p>
            <w:pPr>
              <w:pStyle w:val="TableContents"/>
              <w:bidi w:val="0"/>
              <w:spacing w:before="0" w:after="283"/>
              <w:jc w:val="left"/>
              <w:rPr/>
            </w:pPr>
            <w:r>
              <w:rPr/>
              <w:t>%</w:t>
            </w:r>
          </w:p>
        </w:tc>
      </w:tr>
      <w:tr>
        <w:trPr/>
        <w:tc>
          <w:tcPr>
            <w:tcW w:w="312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230,214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198,753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232" w:type="dxa"/>
            <w:tcBorders/>
            <w:shd w:fill="CCEEFF" w:val="clear"/>
            <w:vAlign w:val="center"/>
          </w:tcPr>
          <w:p>
            <w:pPr>
              <w:pStyle w:val="TableContents"/>
              <w:bidi w:val="0"/>
              <w:spacing w:before="0" w:after="283"/>
              <w:jc w:val="left"/>
              <w:rPr/>
            </w:pPr>
            <w:r>
              <w:rPr/>
              <w:t>%</w:t>
            </w:r>
          </w:p>
        </w:tc>
      </w:tr>
      <w:tr>
        <w:trPr/>
        <w:tc>
          <w:tcPr>
            <w:tcW w:w="312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2,147,669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2,370,382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Accounts Receivable, Net </w:t>
      </w:r>
    </w:p>
    <w:tbl>
      <w:tblPr>
        <w:tblW w:w="9681" w:type="dxa"/>
        <w:jc w:val="left"/>
        <w:tblInd w:w="0" w:type="dxa"/>
        <w:tblLayout w:type="fixed"/>
        <w:tblCellMar>
          <w:top w:w="0" w:type="dxa"/>
          <w:left w:w="0" w:type="dxa"/>
          <w:bottom w:w="0" w:type="dxa"/>
          <w:right w:w="0" w:type="dxa"/>
        </w:tblCellMar>
      </w:tblPr>
      <w:tblGrid>
        <w:gridCol w:w="2360"/>
        <w:gridCol w:w="60"/>
        <w:gridCol w:w="262"/>
        <w:gridCol w:w="1497"/>
        <w:gridCol w:w="60"/>
        <w:gridCol w:w="60"/>
        <w:gridCol w:w="281"/>
        <w:gridCol w:w="1373"/>
        <w:gridCol w:w="60"/>
        <w:gridCol w:w="60"/>
        <w:gridCol w:w="298"/>
        <w:gridCol w:w="1461"/>
        <w:gridCol w:w="60"/>
        <w:gridCol w:w="60"/>
        <w:gridCol w:w="246"/>
        <w:gridCol w:w="1408"/>
        <w:gridCol w:w="75"/>
      </w:tblGrid>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center"/>
              <w:rPr>
                <w:b/>
              </w:rPr>
            </w:pPr>
            <w:r>
              <w:rPr>
                <w:b/>
              </w:rPr>
              <w:t>Opening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b/>
              </w:rPr>
            </w:pPr>
            <w:r>
              <w:rPr>
                <w:b/>
              </w:rPr>
              <w:t>Closing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center"/>
              <w:rPr>
                <w:b/>
              </w:rPr>
            </w:pPr>
            <w:r>
              <w:rPr>
                <w:b/>
              </w:rPr>
              <w:t>Opening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vAlign w:val="center"/>
          </w:tcPr>
          <w:p>
            <w:pPr>
              <w:pStyle w:val="TableContents"/>
              <w:bidi w:val="0"/>
              <w:spacing w:before="0" w:after="283"/>
              <w:jc w:val="center"/>
              <w:rPr>
                <w:b/>
              </w:rPr>
            </w:pPr>
            <w:r>
              <w:rPr>
                <w:b/>
              </w:rPr>
              <w:t>Closing Balance</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6/30/2023</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105,049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73" w:type="dxa"/>
            <w:tcBorders/>
            <w:shd w:fill="CCEEFF" w:val="clear"/>
            <w:vAlign w:val="center"/>
          </w:tcPr>
          <w:p>
            <w:pPr>
              <w:pStyle w:val="TableContents"/>
              <w:bidi w:val="0"/>
              <w:spacing w:before="0" w:after="283"/>
              <w:jc w:val="right"/>
              <w:rPr/>
            </w:pPr>
            <w:r>
              <w:rPr/>
              <w:t>26,161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68,416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109,533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the principal costs incurred to obtain a contract, are earned when the contract is executed. Management has capitalized these costs and amortized the commission expense over time in accordance with the related contract’s term. For the three and six months ended June 30, 2024, commission expenses were $61,146 and $143,288, respectively. For the three and six months ended June 30, 2023, commission expenses were $91,243 and $190,619,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commissions at June 30, 2024 and December 31, 2023 were $39,144 and $51,472, respectively, and are included within prepaid expenses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Costs to obtain a contract activity during the three and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Summary of Costs to Obtain Contract Activity</w:t>
      </w:r>
    </w:p>
    <w:tbl>
      <w:tblPr>
        <w:tblW w:w="4460" w:type="dxa"/>
        <w:jc w:val="left"/>
        <w:tblInd w:w="0" w:type="dxa"/>
        <w:tblLayout w:type="fixed"/>
        <w:tblCellMar>
          <w:top w:w="0" w:type="dxa"/>
          <w:left w:w="0" w:type="dxa"/>
          <w:bottom w:w="0" w:type="dxa"/>
          <w:right w:w="0" w:type="dxa"/>
        </w:tblCellMar>
      </w:tblPr>
      <w:tblGrid>
        <w:gridCol w:w="3395"/>
        <w:gridCol w:w="60"/>
        <w:gridCol w:w="140"/>
        <w:gridCol w:w="755"/>
        <w:gridCol w:w="11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51,472</w:t>
            </w:r>
          </w:p>
        </w:tc>
        <w:tc>
          <w:tcPr>
            <w:tcW w:w="11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31,610</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(44,620</w:t>
            </w:r>
          </w:p>
        </w:tc>
        <w:tc>
          <w:tcPr>
            <w:tcW w:w="11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Balance - March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38,462</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48,316</w:t>
            </w:r>
          </w:p>
        </w:tc>
        <w:tc>
          <w:tcPr>
            <w:tcW w:w="11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(47,634</w:t>
            </w:r>
          </w:p>
        </w:tc>
        <w:tc>
          <w:tcPr>
            <w:tcW w:w="110"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Balance - June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39,144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Costs to obtain a contract activity during the three and six months ended June 30, 2023:</w:t>
      </w:r>
    </w:p>
    <w:p>
      <w:pPr>
        <w:pStyle w:val="TextBody"/>
        <w:bidi w:val="0"/>
        <w:spacing w:before="0" w:after="0"/>
        <w:ind w:left="0" w:right="0" w:hanging="0"/>
        <w:jc w:val="both"/>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3395"/>
        <w:gridCol w:w="60"/>
        <w:gridCol w:w="140"/>
        <w:gridCol w:w="875"/>
        <w:gridCol w:w="110"/>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Balance -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69,737</w:t>
            </w:r>
          </w:p>
        </w:tc>
        <w:tc>
          <w:tcPr>
            <w:tcW w:w="11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88,928</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(104,289</w:t>
            </w:r>
          </w:p>
        </w:tc>
        <w:tc>
          <w:tcPr>
            <w:tcW w:w="110" w:type="dxa"/>
            <w:tcBorders/>
            <w:shd w:fill="CCEEFF" w:val="clear"/>
            <w:vAlign w:val="center"/>
          </w:tcPr>
          <w:p>
            <w:pPr>
              <w:pStyle w:val="TableContents"/>
              <w:bidi w:val="0"/>
              <w:spacing w:before="0" w:after="283"/>
              <w:jc w:val="left"/>
              <w:rPr/>
            </w:pPr>
            <w:r>
              <w:rPr/>
              <w:t>)</w:t>
            </w:r>
          </w:p>
        </w:tc>
      </w:tr>
      <w:tr>
        <w:trPr/>
        <w:tc>
          <w:tcPr>
            <w:tcW w:w="3395" w:type="dxa"/>
            <w:tcBorders/>
            <w:shd w:fill="FFFFFF" w:val="clear"/>
            <w:vAlign w:val="center"/>
          </w:tcPr>
          <w:p>
            <w:pPr>
              <w:pStyle w:val="TableContents"/>
              <w:bidi w:val="0"/>
              <w:spacing w:before="0" w:after="283"/>
              <w:jc w:val="left"/>
              <w:rPr/>
            </w:pPr>
            <w:r>
              <w:rPr/>
              <w:t>Balance - March 31, 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54,376</w:t>
            </w:r>
          </w:p>
        </w:tc>
        <w:tc>
          <w:tcPr>
            <w:tcW w:w="11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60,777</w:t>
            </w:r>
          </w:p>
        </w:tc>
        <w:tc>
          <w:tcPr>
            <w:tcW w:w="11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(75,001</w:t>
            </w:r>
          </w:p>
        </w:tc>
        <w:tc>
          <w:tcPr>
            <w:tcW w:w="110" w:type="dxa"/>
            <w:tcBorders/>
            <w:shd w:fill="FFFFFF" w:val="clear"/>
            <w:vAlign w:val="center"/>
          </w:tcPr>
          <w:p>
            <w:pPr>
              <w:pStyle w:val="TableContents"/>
              <w:bidi w:val="0"/>
              <w:spacing w:before="0" w:after="283"/>
              <w:jc w:val="left"/>
              <w:rPr/>
            </w:pPr>
            <w:r>
              <w:rPr/>
              <w:t>)</w:t>
            </w:r>
          </w:p>
        </w:tc>
      </w:tr>
      <w:tr>
        <w:trPr/>
        <w:tc>
          <w:tcPr>
            <w:tcW w:w="3395" w:type="dxa"/>
            <w:tcBorders/>
            <w:shd w:fill="CCEEFF" w:val="clear"/>
            <w:vAlign w:val="center"/>
          </w:tcPr>
          <w:p>
            <w:pPr>
              <w:pStyle w:val="TableContents"/>
              <w:bidi w:val="0"/>
              <w:spacing w:before="0" w:after="283"/>
              <w:jc w:val="left"/>
              <w:rPr/>
            </w:pPr>
            <w:r>
              <w:rPr/>
              <w:t>Balance - June 30, 2023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40,152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June 30, 2024 and the year ended December 31, 2023.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non-financial assets measured at fair value on a non-recurring basis, classified as Level 3 in the fair value hierarchy, is determined based on using market-based approaches, or estimates of discounted expected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liabilities, GEM warrant liabilities, Yorkville convertible note, and SAFE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June 30, 2024 and December 31, 2023,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on Recurring Basis</w:t>
      </w:r>
    </w:p>
    <w:tbl>
      <w:tblPr>
        <w:tblW w:w="6828" w:type="dxa"/>
        <w:jc w:val="left"/>
        <w:tblInd w:w="0" w:type="dxa"/>
        <w:tblLayout w:type="fixed"/>
        <w:tblCellMar>
          <w:top w:w="0" w:type="dxa"/>
          <w:left w:w="0" w:type="dxa"/>
          <w:bottom w:w="0" w:type="dxa"/>
          <w:right w:w="0" w:type="dxa"/>
        </w:tblCellMar>
      </w:tblPr>
      <w:tblGrid>
        <w:gridCol w:w="2510"/>
        <w:gridCol w:w="60"/>
        <w:gridCol w:w="172"/>
        <w:gridCol w:w="403"/>
        <w:gridCol w:w="60"/>
        <w:gridCol w:w="60"/>
        <w:gridCol w:w="176"/>
        <w:gridCol w:w="1238"/>
        <w:gridCol w:w="60"/>
        <w:gridCol w:w="60"/>
        <w:gridCol w:w="244"/>
        <w:gridCol w:w="1710"/>
        <w:gridCol w:w="75"/>
      </w:tblGrid>
      <w:tr>
        <w:trPr/>
        <w:tc>
          <w:tcPr>
            <w:tcW w:w="2510"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Warrant liabilities - public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575,000</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GEM warrant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641,000</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Yorkville convertible note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2,013,000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1,766,000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230,000 Public Warrants in the Merger which were outstanding as of June 30, 2024 and December 31, 2023. The fair values of the Public Warrants are measured based on the listed market price of such warrants through June 30, 2024. See </w:t>
      </w:r>
      <w:r>
        <w:rPr>
          <w:rFonts w:ascii="Times New Roman;Times;Serif" w:hAnsi="Times New Roman;Times;Serif"/>
          <w:b w:val="false"/>
          <w:i/>
          <w:caps w:val="false"/>
          <w:smallCaps w:val="false"/>
          <w:sz w:val="20"/>
        </w:rPr>
        <w:t xml:space="preserve">Note 12 - Warrant Liabilities </w:t>
      </w:r>
      <w:r>
        <w:rPr>
          <w:rFonts w:ascii="Times New Roman;Times;Serif" w:hAnsi="Times New Roman;Times;Serif"/>
          <w:b w:val="false"/>
          <w:i w:val="false"/>
          <w:caps w:val="false"/>
          <w:smallCaps w:val="false"/>
          <w:sz w:val="20"/>
        </w:rPr>
        <w:t>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 Company recognized a benefit of approximately $345,000 resulting from changes in the fair value of the derivative warrant liabilities, presented as change in fair value of warrant liabilities - related party in the accompanying condensed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Public Warrants liability which are Level 1 financial liabilities that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244" w:type="dxa"/>
        <w:jc w:val="left"/>
        <w:tblInd w:w="0" w:type="dxa"/>
        <w:tblLayout w:type="fixed"/>
        <w:tblCellMar>
          <w:top w:w="0" w:type="dxa"/>
          <w:left w:w="0" w:type="dxa"/>
          <w:bottom w:w="0" w:type="dxa"/>
          <w:right w:w="0" w:type="dxa"/>
        </w:tblCellMar>
      </w:tblPr>
      <w:tblGrid>
        <w:gridCol w:w="2960"/>
        <w:gridCol w:w="60"/>
        <w:gridCol w:w="153"/>
        <w:gridCol w:w="961"/>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575,000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(115,000</w:t>
            </w:r>
          </w:p>
        </w:tc>
        <w:tc>
          <w:tcPr>
            <w:tcW w:w="110"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Balance at March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460,000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(230,000</w:t>
            </w:r>
          </w:p>
        </w:tc>
        <w:tc>
          <w:tcPr>
            <w:tcW w:w="110"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jc w:val="right"/>
              <w:rPr/>
            </w:pPr>
            <w:r>
              <w:rPr/>
              <w:t>230,000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recognized a benefit of approximately $562,000, resulting from changes in the fair value of the derivative warrant liabilities, presented as change in fair value of warrant liabilities in the accompanying condensed consolidated statements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GEM Warrants liability which are Level 3 financial liabilities that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244" w:type="dxa"/>
        <w:jc w:val="left"/>
        <w:tblInd w:w="0" w:type="dxa"/>
        <w:tblLayout w:type="fixed"/>
        <w:tblCellMar>
          <w:top w:w="0" w:type="dxa"/>
          <w:left w:w="0" w:type="dxa"/>
          <w:bottom w:w="0" w:type="dxa"/>
          <w:right w:w="0" w:type="dxa"/>
        </w:tblCellMar>
      </w:tblPr>
      <w:tblGrid>
        <w:gridCol w:w="2960"/>
        <w:gridCol w:w="60"/>
        <w:gridCol w:w="153"/>
        <w:gridCol w:w="961"/>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641,000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(408,000</w:t>
            </w:r>
          </w:p>
        </w:tc>
        <w:tc>
          <w:tcPr>
            <w:tcW w:w="110"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Balance at March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233,000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(154,000</w:t>
            </w:r>
          </w:p>
        </w:tc>
        <w:tc>
          <w:tcPr>
            <w:tcW w:w="110" w:type="dxa"/>
            <w:tcBorders/>
            <w:shd w:fill="FFFFFF" w:val="clear"/>
            <w:vAlign w:val="center"/>
          </w:tcPr>
          <w:p>
            <w:pPr>
              <w:pStyle w:val="TableContents"/>
              <w:bidi w:val="0"/>
              <w:spacing w:before="0" w:after="283"/>
              <w:jc w:val="left"/>
              <w:rPr/>
            </w:pPr>
            <w:r>
              <w:rPr/>
              <w:t>)</w:t>
            </w:r>
          </w:p>
        </w:tc>
      </w:tr>
      <w:tr>
        <w:trPr/>
        <w:tc>
          <w:tcPr>
            <w:tcW w:w="296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jc w:val="right"/>
              <w:rPr/>
            </w:pPr>
            <w:r>
              <w:rPr/>
              <w:t>79,000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recognized a loss of approximately $578,000 resulting from changes in the fair value of the Yorkville convertible notes, presented as change in fair value of convertible promissory notes in the accompanying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Yorkville convertible notes which is a Level 3 financial liability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Summary of Changes in Fair Value of Yorkville Convertible Note</w:t>
      </w:r>
    </w:p>
    <w:tbl>
      <w:tblPr>
        <w:tblW w:w="6515" w:type="dxa"/>
        <w:jc w:val="left"/>
        <w:tblInd w:w="0" w:type="dxa"/>
        <w:tblLayout w:type="fixed"/>
        <w:tblCellMar>
          <w:top w:w="0" w:type="dxa"/>
          <w:left w:w="0" w:type="dxa"/>
          <w:bottom w:w="0" w:type="dxa"/>
          <w:right w:w="0" w:type="dxa"/>
        </w:tblCellMar>
      </w:tblPr>
      <w:tblGrid>
        <w:gridCol w:w="5150"/>
        <w:gridCol w:w="60"/>
        <w:gridCol w:w="140"/>
        <w:gridCol w:w="1055"/>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1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1,766,000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2,250,000</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(1,667,000</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544,000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Balance at March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3,064,000</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Payment in shares to settle Yorkville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(335,000</w:t>
            </w:r>
          </w:p>
        </w:tc>
        <w:tc>
          <w:tcPr>
            <w:tcW w:w="110" w:type="dxa"/>
            <w:tcBorders/>
            <w:shd w:fill="CCEEFF" w:val="clear"/>
            <w:vAlign w:val="center"/>
          </w:tcPr>
          <w:p>
            <w:pPr>
              <w:pStyle w:val="TableContents"/>
              <w:bidi w:val="0"/>
              <w:spacing w:before="0" w:after="283"/>
              <w:jc w:val="left"/>
              <w:rPr/>
            </w:pPr>
            <w:r>
              <w:rPr/>
              <w:t>)</w:t>
            </w:r>
          </w:p>
        </w:tc>
      </w:tr>
      <w:tr>
        <w:trPr/>
        <w:tc>
          <w:tcPr>
            <w:tcW w:w="5150" w:type="dxa"/>
            <w:tcBorders/>
            <w:shd w:fill="FFFFFF" w:val="clear"/>
            <w:vAlign w:val="center"/>
          </w:tcPr>
          <w:p>
            <w:pPr>
              <w:pStyle w:val="TableContents"/>
              <w:bidi w:val="0"/>
              <w:spacing w:before="0" w:after="283"/>
              <w:jc w:val="left"/>
              <w:rPr/>
            </w:pPr>
            <w:r>
              <w:rPr/>
              <w:t>Repayment in cash of Yorkville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(750,000</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34,000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Balance at June 30,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2,013,000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embedded put options, relating to the Convertible Notes - Related Party, Convertible Notes, and Term and Convertible Notes (CP BF)</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On December 14, 2023, all outstanding principal and accrued interest, including the carrying value of any related embedded derivative, related to the Related Party Convertible Notes and Third Party Convertible Notes converted into the Company’s Class A Common Stock pursuant to the close of the Merger Agreement. Upon the conversion described above, the bifurcated embedded derivative liabilities were $0 as of June 30, 2024 and December 31, 2023, respectively. 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changes in the fair value of the bifurcated embedded derivative liabilities for the six months ended June 30, 2023, related to the Related Party and Third Party Convertible Debt, respectively, which are Level 3 financial liabilities that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Derivative Liabilities</w:t>
      </w:r>
    </w:p>
    <w:tbl>
      <w:tblPr>
        <w:tblW w:w="9053" w:type="dxa"/>
        <w:jc w:val="left"/>
        <w:tblInd w:w="0" w:type="dxa"/>
        <w:tblLayout w:type="fixed"/>
        <w:tblCellMar>
          <w:top w:w="0" w:type="dxa"/>
          <w:left w:w="0" w:type="dxa"/>
          <w:bottom w:w="0" w:type="dxa"/>
          <w:right w:w="0" w:type="dxa"/>
        </w:tblCellMar>
      </w:tblPr>
      <w:tblGrid>
        <w:gridCol w:w="6275"/>
        <w:gridCol w:w="60"/>
        <w:gridCol w:w="165"/>
        <w:gridCol w:w="1159"/>
        <w:gridCol w:w="95"/>
        <w:gridCol w:w="60"/>
        <w:gridCol w:w="141"/>
        <w:gridCol w:w="988"/>
        <w:gridCol w:w="110"/>
      </w:tblGrid>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Related Party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Third Party</w:t>
            </w:r>
          </w:p>
        </w:tc>
        <w:tc>
          <w:tcPr>
            <w:tcW w:w="11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11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Related Party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Third Party</w:t>
            </w:r>
          </w:p>
        </w:tc>
        <w:tc>
          <w:tcPr>
            <w:tcW w:w="11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1,936,827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845,473</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Issuance of convertible notes with bifurcated embedded derivative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707,000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137,285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32,415</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Balance at March 31, 2023</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2,781,112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877,888</w:t>
            </w:r>
          </w:p>
        </w:tc>
        <w:tc>
          <w:tcPr>
            <w:tcW w:w="11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Issuance of convertible notes with bifurcated embedded derivative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419,451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330,390</w:t>
            </w:r>
          </w:p>
        </w:tc>
        <w:tc>
          <w:tcPr>
            <w:tcW w:w="11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(478,198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(194,643</w:t>
            </w:r>
          </w:p>
        </w:tc>
        <w:tc>
          <w:tcPr>
            <w:tcW w:w="110" w:type="dxa"/>
            <w:tcBorders/>
            <w:shd w:fill="FFFFFF" w:val="clear"/>
            <w:vAlign w:val="center"/>
          </w:tcPr>
          <w:p>
            <w:pPr>
              <w:pStyle w:val="TableContents"/>
              <w:bidi w:val="0"/>
              <w:spacing w:before="0" w:after="283"/>
              <w:jc w:val="left"/>
              <w:rPr/>
            </w:pPr>
            <w:r>
              <w:rPr/>
              <w:t>)</w:t>
            </w:r>
          </w:p>
        </w:tc>
      </w:tr>
      <w:tr>
        <w:trPr/>
        <w:tc>
          <w:tcPr>
            <w:tcW w:w="6275" w:type="dxa"/>
            <w:tcBorders/>
            <w:shd w:fill="CCEEFF" w:val="clear"/>
            <w:vAlign w:val="center"/>
          </w:tcPr>
          <w:p>
            <w:pPr>
              <w:pStyle w:val="TableContents"/>
              <w:bidi w:val="0"/>
              <w:spacing w:before="0" w:after="283"/>
              <w:jc w:val="left"/>
              <w:rPr/>
            </w:pPr>
            <w:r>
              <w:rPr/>
              <w:t>Balance at June 30, 2023</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2,722,365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pPr>
            <w:r>
              <w:rPr/>
              <w:t>1,013,635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Simple Agreements for Future Equity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Simple Agreements for Future Equity (SAFE) arrangements (the “SAFEs”). In the event of an Equity Financing (as defined in the SAFEs agreements), the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SAFEs will be entitled to receive cash or shares of the Company’s common or preferred stock. The number of shares required to be issued to settle the SAFEs at the equity financing is variable, because that number will be determined by the discounted fair value of the Company’s equity shares on the date of settlement (i.e., Discount Price). Regardless of the fair value of the shares on the date of settlement, the holder will receive a fixed monetary value based on the Purchase Amount of the SAFE. If there is a Liquidity Event or SPAC Transaction before the settlement or termination of the SAFEs, the SAFEs will automatically be entitled to receive a portion of Proceeds, due and payable immediately prior to, or concurrent with, the consummation of such Liquidity Event or SPAC Transaction, equal to the greater of (i) two times (2x) the Purchase Amount (the “Cash-Out Amount”) or (ii) the amount payable on the number of shares of Common Stock equal to the Purchase Amount divided by the Liquidity Price (as defined in the SAFEs agreements). Refer to </w:t>
      </w:r>
      <w:r>
        <w:rPr>
          <w:rFonts w:ascii="Times New Roman;Times;Serif" w:hAnsi="Times New Roman;Times;Serif"/>
          <w:b w:val="false"/>
          <w:i/>
          <w:caps w:val="false"/>
          <w:smallCaps w:val="false"/>
          <w:sz w:val="20"/>
        </w:rPr>
        <w:t>Note 13 - Simple Agreements for Future Equity</w:t>
      </w:r>
      <w:r>
        <w:rPr>
          <w:rFonts w:ascii="Times New Roman;Times;Serif" w:hAnsi="Times New Roman;Times;Serif"/>
          <w:b w:val="false"/>
          <w:i w:val="false"/>
          <w:caps w:val="false"/>
          <w:smallCaps w:val="false"/>
          <w:sz w:val="20"/>
        </w:rPr>
        <w:t xml:space="preserve"> for additional information related to the Company’s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SAFEs was determined using a scenario-based method for the pre-modification SAFE’s and a Monte Carlo simulation method for the post-modification SAFEs. The value of the SAFE liability as of December 31, 2023 is based on significant inputs not observable in the market, which represents a Level 3 measurement within the fair value hierarchy. The fair value of the SAFEs on the date of issuance was determined to be $3,836,000. On December 14, 2023, all outstanding principal related to the Third Party SAFEs and Related Party SAFEs converted into the Company’s Class A Common Stock pursuant to the close of the Merger Agreement. Upon the conversion described above, the SAFEs were $0 as of June 30, 2024 and December 31, 2023, respectively. Refer to </w:t>
      </w:r>
      <w:r>
        <w:rPr>
          <w:rFonts w:ascii="Times New Roman;Times;Serif" w:hAnsi="Times New Roman;Times;Serif"/>
          <w:b w:val="false"/>
          <w:i/>
          <w:caps w:val="false"/>
          <w:smallCaps w:val="false"/>
          <w:sz w:val="20"/>
        </w:rPr>
        <w:t>Note 13 - Simple Agreements for Future Equity</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a summary of the activity of the Related Party and Third Party SAFE liabilities, respectively (See </w:t>
      </w:r>
      <w:r>
        <w:rPr>
          <w:rFonts w:ascii="Times New Roman;Times;Serif" w:hAnsi="Times New Roman;Times;Serif"/>
          <w:b w:val="false"/>
          <w:i/>
          <w:caps w:val="false"/>
          <w:smallCaps w:val="false"/>
          <w:sz w:val="20"/>
        </w:rPr>
        <w:t>Note 13 - Simple Agreements for Future Equity</w:t>
      </w:r>
      <w:r>
        <w:rPr>
          <w:rFonts w:ascii="Times New Roman;Times;Serif" w:hAnsi="Times New Roman;Times;Serif"/>
          <w:b w:val="false"/>
          <w:i w:val="false"/>
          <w:caps w:val="false"/>
          <w:smallCaps w:val="false"/>
          <w:sz w:val="20"/>
        </w:rPr>
        <w:t xml:space="preserve"> for further detail), which represents a recurring fair value measurement at the end of the relevant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Measurements</w:t>
      </w:r>
    </w:p>
    <w:tbl>
      <w:tblPr>
        <w:tblW w:w="5668" w:type="dxa"/>
        <w:jc w:val="left"/>
        <w:tblInd w:w="0" w:type="dxa"/>
        <w:tblLayout w:type="fixed"/>
        <w:tblCellMar>
          <w:top w:w="0" w:type="dxa"/>
          <w:left w:w="0" w:type="dxa"/>
          <w:bottom w:w="0" w:type="dxa"/>
          <w:right w:w="0" w:type="dxa"/>
        </w:tblCellMar>
      </w:tblPr>
      <w:tblGrid>
        <w:gridCol w:w="2960"/>
        <w:gridCol w:w="60"/>
        <w:gridCol w:w="149"/>
        <w:gridCol w:w="1175"/>
        <w:gridCol w:w="60"/>
        <w:gridCol w:w="60"/>
        <w:gridCol w:w="168"/>
        <w:gridCol w:w="961"/>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Related Party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Third Party</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Related Party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Third Party</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8,802,196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663,804</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303,139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22,861</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2023</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9,105,335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686,665</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909,418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68,582</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June 30, 2023</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10,014,753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jc w:val="right"/>
              <w:rPr/>
            </w:pPr>
            <w:r>
              <w:rPr/>
              <w:t>755,247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Prepaid Expenses and Other Current Assets </w:t>
      </w:r>
    </w:p>
    <w:tbl>
      <w:tblPr>
        <w:tblW w:w="8098" w:type="dxa"/>
        <w:jc w:val="left"/>
        <w:tblInd w:w="0" w:type="dxa"/>
        <w:tblLayout w:type="fixed"/>
        <w:tblCellMar>
          <w:top w:w="0" w:type="dxa"/>
          <w:left w:w="0" w:type="dxa"/>
          <w:bottom w:w="0" w:type="dxa"/>
          <w:right w:w="0" w:type="dxa"/>
        </w:tblCellMar>
      </w:tblPr>
      <w:tblGrid>
        <w:gridCol w:w="4475"/>
        <w:gridCol w:w="60"/>
        <w:gridCol w:w="176"/>
        <w:gridCol w:w="1238"/>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Service Trade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302,055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664" w:type="dxa"/>
            <w:tcBorders/>
            <w:shd w:fill="FFFFFF" w:val="clear"/>
            <w:vAlign w:val="center"/>
          </w:tcPr>
          <w:p>
            <w:pPr>
              <w:pStyle w:val="TableContents"/>
              <w:bidi w:val="0"/>
              <w:spacing w:before="0" w:after="283"/>
              <w:jc w:val="right"/>
              <w:rPr/>
            </w:pPr>
            <w:r>
              <w:rPr/>
              <w:t>364,384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insurance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282,265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17,661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259,438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11,074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software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97,912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29,887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39,144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51,472</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data license and subscription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53,124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merchant fees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28,488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26,224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consulting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26,539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120,332</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10,720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66,997</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1,080,936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pPr>
            <w:r>
              <w:rPr/>
              <w:t>741,155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Accrued Expenses and Other Current Liabilities</w:t>
      </w:r>
    </w:p>
    <w:tbl>
      <w:tblPr>
        <w:tblW w:w="8503" w:type="dxa"/>
        <w:jc w:val="left"/>
        <w:tblInd w:w="0" w:type="dxa"/>
        <w:tblLayout w:type="fixed"/>
        <w:tblCellMar>
          <w:top w:w="0" w:type="dxa"/>
          <w:left w:w="0" w:type="dxa"/>
          <w:bottom w:w="0" w:type="dxa"/>
          <w:right w:w="0" w:type="dxa"/>
        </w:tblCellMar>
      </w:tblPr>
      <w:tblGrid>
        <w:gridCol w:w="4880"/>
        <w:gridCol w:w="60"/>
        <w:gridCol w:w="176"/>
        <w:gridCol w:w="1238"/>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2,458,192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w:t>
            </w:r>
          </w:p>
        </w:tc>
        <w:tc>
          <w:tcPr>
            <w:tcW w:w="1710" w:type="dxa"/>
            <w:tcBorders/>
            <w:shd w:fill="FFFFFF" w:val="clear"/>
            <w:vAlign w:val="center"/>
          </w:tcPr>
          <w:p>
            <w:pPr>
              <w:pStyle w:val="TableContents"/>
              <w:bidi w:val="0"/>
              <w:spacing w:before="0" w:after="283"/>
              <w:jc w:val="right"/>
              <w:rPr/>
            </w:pPr>
            <w:r>
              <w:rPr/>
              <w:t>1,511,889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subscription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510,549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22,110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Sales tax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363,883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314,873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Excise tax payable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223,717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223,717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legal costs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159,417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2,694,439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payroll and benefit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123,335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185,504</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54,102</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48,218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37,765</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offering costs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324,717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pPr>
            <w:r>
              <w:rPr/>
              <w:t>149,841</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4,264,028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pPr>
            <w:r>
              <w:rPr/>
              <w:t>5,194,240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six months ended June 30, 2024 and 2023, the Company recognized $861,496 and $887,219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deferred revenue was as follows for the periods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Deferred Revenue</w:t>
      </w:r>
    </w:p>
    <w:tbl>
      <w:tblPr>
        <w:tblW w:w="9143" w:type="dxa"/>
        <w:jc w:val="left"/>
        <w:tblInd w:w="0" w:type="dxa"/>
        <w:tblLayout w:type="fixed"/>
        <w:tblCellMar>
          <w:top w:w="0" w:type="dxa"/>
          <w:left w:w="0" w:type="dxa"/>
          <w:bottom w:w="0" w:type="dxa"/>
          <w:right w:w="0" w:type="dxa"/>
        </w:tblCellMar>
      </w:tblPr>
      <w:tblGrid>
        <w:gridCol w:w="4955"/>
        <w:gridCol w:w="60"/>
        <w:gridCol w:w="223"/>
        <w:gridCol w:w="1686"/>
        <w:gridCol w:w="95"/>
        <w:gridCol w:w="60"/>
        <w:gridCol w:w="228"/>
        <w:gridCol w:w="1726"/>
        <w:gridCol w:w="110"/>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Deferred revenue, beginning of period</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1,214,096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930,436</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Billings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2,255,811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4,781,924</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(861,496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(930,436</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8" w:space="0" w:color="000000"/>
            </w:tcBorders>
            <w:shd w:fill="FFFFFF" w:val="clear"/>
            <w:tcMar>
              <w:bottom w:w="28" w:type="dxa"/>
            </w:tcMar>
            <w:vAlign w:val="center"/>
          </w:tcPr>
          <w:p>
            <w:pPr>
              <w:pStyle w:val="TableContents"/>
              <w:bidi w:val="0"/>
              <w:spacing w:before="0" w:after="283"/>
              <w:jc w:val="right"/>
              <w:rPr/>
            </w:pPr>
            <w:r>
              <w:rPr/>
              <w:t>(1,286,173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pPr>
            <w:r>
              <w:rPr/>
              <w:t>(3,567,828</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Deferred revenue, end of period</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6" w:space="0" w:color="000000"/>
            </w:tcBorders>
            <w:shd w:fill="CCEEFF" w:val="clear"/>
            <w:tcMar>
              <w:bottom w:w="28" w:type="dxa"/>
            </w:tcMar>
            <w:vAlign w:val="center"/>
          </w:tcPr>
          <w:p>
            <w:pPr>
              <w:pStyle w:val="TableContents"/>
              <w:bidi w:val="0"/>
              <w:spacing w:before="0" w:after="283"/>
              <w:jc w:val="right"/>
              <w:rPr/>
            </w:pPr>
            <w:r>
              <w:rPr/>
              <w:t>1,322,238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6" w:type="dxa"/>
            <w:tcBorders>
              <w:bottom w:val="double" w:sz="6" w:space="0" w:color="000000"/>
            </w:tcBorders>
            <w:shd w:fill="CCEEFF" w:val="clear"/>
            <w:tcMar>
              <w:bottom w:w="28" w:type="dxa"/>
            </w:tcMar>
            <w:vAlign w:val="center"/>
          </w:tcPr>
          <w:p>
            <w:pPr>
              <w:pStyle w:val="TableContents"/>
              <w:bidi w:val="0"/>
              <w:spacing w:before="0" w:after="283"/>
              <w:jc w:val="right"/>
              <w:rPr/>
            </w:pPr>
            <w:r>
              <w:rPr/>
              <w:t>1,214,096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revenue balance is short-term and included under current liabilities on the accompanying unaudited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and 2023, the Company issued subordinated convertible promissory notes to related parties Alco Investment Company (“Alco”), Mason Ward, DNX, and William Bryant. Alco held approximately 5% of the issued equity of the Company, through its ownership of Series A preferred stock. DNX held in excess of 5% of the issued equity of the Company, through its ownership of Series A preferred stock. William Bryant became a member of the Board of Directors upon completion of the Merger. The Related Party Convertible Notes bear interest at a rate of 8% per annum, and are convertible into the same series of capital stock of the Company to be issued to other investors upon a Qualified Financing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2023, the Company recorded a $707,000 and $1,126,451, respectively, debt discount upon issuance of additional Related Party Convertible Notes. For the three months ended June 30, 2023, interest expense on the Related Party Convertible Notes totaled $552,403, comprised of $125,352 of contractual interest and $427,051 for the amortization of the discount. For the six months ended June 30, 2023, interest expense on the Related Party Convertible Notes totaled $935,687, comprised of $215,774 of contractual interest and $719,913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2023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and 2023, the Company issued additional subordinated convertible notes (the “Third Party Convertible Notes”). The Third Party Convertible Notes bear interest at a rate of 8% per annum, and are convertible into the same series of capital stock of the Company to be issued to other investors upon a Qualified Financing (as defined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2023, the Company recorded a $0 and $330,390, respectively, debt discount upon issuance of additional Third Party Convertible Notes. For the three months ended June 30, 2023, interest expense on the Third Party Convertible Notes totaled $142,353, comprised of $37,845 of contractual interest and $104,508 for the amortization of the discount. For the six months ended June 30, 2023, interest expense on the Third Party Convertible Notes totaled $293,977, comprised of $72,562 of contractual interest and $221,415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2023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Third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Related Party and Third Party Convertible Notes, respectively, as of December 31, 2023:</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Related Party and Third Party Convertible Notes</w:t>
      </w:r>
    </w:p>
    <w:tbl>
      <w:tblPr>
        <w:tblW w:w="6974" w:type="dxa"/>
        <w:jc w:val="left"/>
        <w:tblInd w:w="0" w:type="dxa"/>
        <w:tblLayout w:type="fixed"/>
        <w:tblCellMar>
          <w:top w:w="0" w:type="dxa"/>
          <w:left w:w="0" w:type="dxa"/>
          <w:bottom w:w="0" w:type="dxa"/>
          <w:right w:w="0" w:type="dxa"/>
        </w:tblCellMar>
      </w:tblPr>
      <w:tblGrid>
        <w:gridCol w:w="4130"/>
        <w:gridCol w:w="60"/>
        <w:gridCol w:w="155"/>
        <w:gridCol w:w="1169"/>
        <w:gridCol w:w="95"/>
        <w:gridCol w:w="60"/>
        <w:gridCol w:w="140"/>
        <w:gridCol w:w="1055"/>
        <w:gridCol w:w="110"/>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i/>
              </w:rPr>
            </w:pPr>
            <w:r>
              <w:rPr>
                <w:i/>
              </w:rPr>
              <w:t>Related Party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i/>
              </w:rPr>
            </w:pPr>
            <w:r>
              <w:rPr>
                <w:i/>
              </w:rPr>
              <w:t>Third Party</w:t>
            </w:r>
          </w:p>
        </w:tc>
        <w:tc>
          <w:tcPr>
            <w:tcW w:w="11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Face value of the convertible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6,783,538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3,196,206</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Debt discount,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8" w:space="0" w:color="000000"/>
            </w:tcBorders>
            <w:shd w:fill="FFFFFF" w:val="clear"/>
            <w:tcMar>
              <w:bottom w:w="28" w:type="dxa"/>
            </w:tcMar>
            <w:vAlign w:val="center"/>
          </w:tcPr>
          <w:p>
            <w:pPr>
              <w:pStyle w:val="TableContents"/>
              <w:bidi w:val="0"/>
              <w:spacing w:before="0" w:after="283"/>
              <w:jc w:val="right"/>
              <w:rPr/>
            </w:pPr>
            <w:r>
              <w:rPr/>
              <w:t>(131,867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(83,688</w:t>
            </w:r>
          </w:p>
        </w:tc>
        <w:tc>
          <w:tcPr>
            <w:tcW w:w="110" w:type="dxa"/>
            <w:tcBorders/>
            <w:shd w:fill="FFFFFF" w:val="clear"/>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Carrying value of the convertible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6,651,671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3,112,518</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619,697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233,714</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Conversion of convertible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8" w:space="0" w:color="000000"/>
            </w:tcBorders>
            <w:shd w:fill="CCEEFF" w:val="clear"/>
            <w:tcMar>
              <w:bottom w:w="28" w:type="dxa"/>
            </w:tcMar>
            <w:vAlign w:val="center"/>
          </w:tcPr>
          <w:p>
            <w:pPr>
              <w:pStyle w:val="TableContents"/>
              <w:bidi w:val="0"/>
              <w:spacing w:before="0" w:after="283"/>
              <w:jc w:val="right"/>
              <w:rPr/>
            </w:pPr>
            <w:r>
              <w:rPr/>
              <w:t>(7,271,368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(3,346,232</w:t>
            </w:r>
          </w:p>
        </w:tc>
        <w:tc>
          <w:tcPr>
            <w:tcW w:w="110" w:type="dxa"/>
            <w:tcBorders/>
            <w:shd w:fill="CCEEFF" w:val="clear"/>
            <w:vAlign w:val="center"/>
          </w:tcPr>
          <w:p>
            <w:pPr>
              <w:pStyle w:val="TableContents"/>
              <w:bidi w:val="0"/>
              <w:spacing w:before="0" w:after="283"/>
              <w:jc w:val="left"/>
              <w:rPr/>
            </w:pPr>
            <w:r>
              <w:rPr/>
              <w:t>)</w:t>
            </w:r>
          </w:p>
        </w:tc>
      </w:tr>
      <w:tr>
        <w:trPr/>
        <w:tc>
          <w:tcPr>
            <w:tcW w:w="4130" w:type="dxa"/>
            <w:tcBorders/>
            <w:shd w:fill="FFFFFF" w:val="clear"/>
            <w:vAlign w:val="center"/>
          </w:tcPr>
          <w:p>
            <w:pPr>
              <w:pStyle w:val="TableContents"/>
              <w:bidi w:val="0"/>
              <w:spacing w:before="0" w:after="283"/>
              <w:jc w:val="left"/>
              <w:rPr/>
            </w:pPr>
            <w:r>
              <w:rPr/>
              <w:t>Total convertible notes and accrued interest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The Company recorded a $3,711 debt discount upon issuance of the Alco August Promissory Note. For the three months ended June 30, 2024, interest expense on the Alco August Promissory Note totaled $2,908, comprised of $2,992 of contractual accrued interest and ($84) for the amortization of the discount. For the six months ended June 30, 2024, interest expense on the Alco August Promissory Note totaled $8,357, comprised of $5,983 of contractual accrued interest and $2,374 for the amortization of the discount. As of June 30, 2024 and December 31, 2023, $150,000 of principal and $10,027 and $4,044, respectively, of accrued interest is outstanding under the Alco August Promissory Note recorded in note payable - related party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Investment Company, a related party. The Alco September Promissory Note bears interest at a rate of 8% per annum. The outstanding principal and accrued interest are due and payable on September 30, 2024. The Company recorded $8,588 of debt issuance costs and a $638,808 debt discount upon issuance of the Alco September Promissory Note, relating to the share transfer agreements, see below. For the three months ended June 30, 2024, interest expense on the Alco September Promissory Note totaled $95,935, comprised of $29,918 of contractual accrued interest and $66,017 for the amortization of the discount. For the six months ended June 30, 2024, interest expense on the Alco September Promissory Note totaled $187,498, comprised of $59,836 of contractual accrued interest and $127,662 for the amortization of the discount. As of June 30, 2024 and December 31, 2023, $1,500,000 of principal and $90,411 and $30,575, respectively, of accrued interest is outstanding under the Alco September Promissory Note recorded in note payable - related party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are due and payable on April 13, 2024. The Company recorded a $363,905 debt discount upon issuance of the Alco November Promissory Note relating to the share transfer agreements, see below. For the three months ended June 30, 2024, interest expense on the Alco November Promissory Note totaled ($31,036), comprised of $14,959 of contractual accrued interest and ($45,995) for the amortization of the discount. For the six months ended June 30, 2024, interest expense on the Alco November Promissory Note totaled $217,249, comprised of $29,918 of contractual accrued interest and $187,331 for the amortization of the discount. As of June 30, 2024 and December 31, 2023, $750,000 of principal and $37,315 and $7,397, respectively, of accrued interest is outstanding under the Alco November Promissory Note recorded in note payable - related party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three months ended June 30, 2024, interest expense on the Alco December Promissory Note totaled $317,667, comprised of $39,890 of contractual accrued interest and $277,777 for the amortization of the discount. For the six months ended June 30, 2024, interest expense on the Alco December Promissory Note totaled $549,883, comprised of $79,780 of contractual accrued interest and $470,103 for the amortization of the discount. As of June 30, 2024 and December 31, 2023, $2,000,000 of principal and $87,670 and $7,890, respectively, of accrued interest is outstanding under the Alco December Promissory Note recorded in note payable – related party on the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issuances of the Alco September, November, and December Promissory Notes, the Company, 7GC and the Sponsor entered into share transfer agreements (the “Alco Share Transfer Agreements”) with Alco Investment Company. Pursuant to which for each $500.00 in principal borrowed under the Alco September and November Promissory Notes, the Sponsor agreed to forfeit one share of 7GC Class B Common Stock held by the Sponsor, in exchange for the right of Alco to receive one New Banzai Class A Share. For each $500.00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3,000, 1,500, and 12,000,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Share Transfer Agreements, the Company considered the guidance under ASC 815, Derivatives and Hedging,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September Promissory Note, of which $1,000,000 was drawn on September 13, 2023, the DLOM was estimated using the put option models described above and the following assumptions: a holding period for the shares of 272 days (approximately 0.77 years) measured from the date of issuance of the $1,000,000 of proceeds under the September Note through the issuance of the shares under the Alco October Share Transfer Agreement on December 14, 2023 at which time the 180-day lock-up period commenced; a re-levered equity volatility estimated using guideline public companies of 54.0%; and a risk-free rate commensurate with the term of 5.3%. The put option models provided a DLOM range of 10.7% to 16.0% and the concluded DLOM was estimated to be 12.5%. The Company’s expected percentage of completing the Merger on this date was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remaining $500,000 drawn on the Alco September Promissory Note on October 3, 2023, the DLOM was estimated using the put option models described above and the following assumptions: a holding period for the shares of 252 days (approximately 0.72 years) measured from the date of issuance of the remaining $500,000 of proceeds under the September Note through the issuance of the shares under the Alco October Share Transfer Agreement on December 14, 2023 at which time the 180-day lock-up period commenced; a re-levered equity volatility estimated using guideline public companies of 52.0%; and a risk-free rate commensurate with the term of 5.4%. The put option models provided a DLOM range of 10.0% to 15.0% and the concluded DLOM was estimated to be 11.5%. The Company’s expected percentage of completing the Merger on this date was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November Promissory Note, the DLOM was estimated using the put option models described above and the following assumptions: a holding period for the shares of 208 days (approximately 0.60 years) measured from the issuance date of the November Note through the issuance of the shares under the November 2023 Share Transfer Agreement on December 14, 2023 at which time the 180-day lock-up period commenced; a re-levered equity volatility estimated using guideline public companies of 54.0%; and a risk-free rate commensurate with the term of 5.2%. The put option models provided a DLOM range of 9.5% to 15.0% and the concluded DLOM was estimated to be 11.5%. The Company’s expected percentage of completing the Merger on this date was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December Promissory Note, the DLOM was estimated using the put option models described above and the following assumptions: a holding period for the shares of 180 days (approximately 0.49 years) measured from the issuance date of the December Note through the issuance of the shares under the December 2023 Share Transfer Agreement on December 14, 2023 at which time the 180-day lock-up period commenced; a re-levered equity volatility estimated using guideline public companies of 47.0%; and a risk-free rate commensurate with the term of 5.2%. The put option models provided a DLOM range of 7.5% to 12.0% and the concluded DLOM was estimated to be 9.0%. The Company’s expected percentage of completing its Business Combination on this date was 100%.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Troubled Debt Restructurings, and ASC 470-50, Debt Modifications and Extinguishments. The Company determined that the Company was granted a concession by the lender based on the decrease of the effective borrowing rate on the Alco 2024 Amendments. Accordingly, the Company accounted for the Alco 2024 Amendments as troubled debt restructurings. As a result, the Company accounted for the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$2,540,091 balance was converted into 17,812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has issued an aggregate of 20,902 shares of Class A Common Stock to GEM in lieu of monthly payment obligations and the remaining balance of the GEM Promissory Note as of June 30, 2024 is $600,000 recorded in the convertible notes line on the unaudited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Promissory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 non-cash original issue discount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 non-cash original issue discount of $250,000 from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 after a period of 60 days following the closing of the offering. Under the Amended Debt Repayment Agreement, the Company and 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$750,000 on May 31, 2024 (the “Repayment Date”), and issued an Advance Notice for the purchase of 12,000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have a maturity date (as modified by the Amended Debt Repayment Agreement) of September 25, 2024, and accrue interest at 0% per annum, subject to an increase to 18% per annum upon events of default as defined in the agreement. As of June 30, 2024,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Note 15).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2024, the Company’s stock price per share fell below the then in effect Floor Price (as defined in the Standby Equity Purchase Agreement disclosure in Note 15) of $2.00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$14.70 per share of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$300,000 and $800,000 of principal under the December Yorkville Convertible Note, respectively, was converted into 20,176 and 35,940 shares of Class A Common stock of the Company, respectively. During the six months ended June 30, 2024, the full principal amount of $1,000,000 under the February Yorkville Promissory Note was converted into 28,910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and December 31, 2023, the principal amount outstanding under the Yorkville Promissory Notes was $1,950,000 and $2,000,000, respectively. During the three and six months ended June 30, 2024, the Company recorded interest expense of $80,760 in connection with the Yorkville Promissory Notes, all of which was related to the Premium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Yorkville Promissory Notes are required to be measured at fair value pursuant to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at the date of issuances and in subsequent reporting periods, due to the variable share-settled feature described above in which, if converted, the value to be received by Yorkville fluctuates based on something other than the fair value of the Company’s common stock. The fair value of the Yorkville Promissory Notes as of June 30, 2024 and December 31, 2023 was $2,013,000 and $1,766,000, respectively. The Company used a Monte Carlo simulation model in order to determine the Yorkville Promissory Note’s fair value at December 31, 2023, with the following inputs: the fair value of the Company’s common stock of $1.88 on December 31, 2023, estimated equity volatility of 71%, the time to maturity of 0.46 years, a discounted market interest rate of 14%, a risk free rate of 5.28%, and probability of optional redemption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the Company recorded a loss of $34,000 and $578,000, respectively, related to the change in fair value of the Yorkville Promissory Notes liability, respectively. The Company used Monte Carlo simulation models in order to determine the Yorkville Promissory Note’s fair value at June 30, 2024, with the following inputs: the fair value of the Company’s common stock of $0.17 on June 30, 2024, estimated equity volatility of 125%, the time to maturity of 0.24 years, a discounted market interest rate of 20.6%, a risk free rate of 5.48%, and probability of optional redemption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Term Note was 16% for three and six months ended June 30, 2024 and 2023. For the three and six months ended June 30, 2024, interest expense on the Term Note totaled $294,613 and $586,940, respectively, comprised of $267,359 and $533,707, respectively, of contractual interest and $27,254 and $53,233, respectively, for the amortization of the discount. For the three and six months ended June 30, 2023, interest expense on the Term Note totaled $284,097 and $562,261, respectively, comprised of $264,320 and $523,763, respectively, of contractual interest and $19,777 and $38,498 respectively, for the amortization of the discount.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CP BF Convertible Note and First Amendment Convertible Note was 16% for the three and six months ended June 30, 2024 and 2023. For the three and six months ended June 30, 2024, interest expense on the Convertible Notes totaled $121,448 and $237,859, respectively, comprised of $112,908 and $221,504, respectively, of contractual interest and $8,540 and $16,355, respectively, for the amortization of the discount. For the three and six months ended June 30, 2023, interest expense on the Convertible Notes totaled $101,719 and $200,151, respectively, comprised of $95,534 and $187,394, respectively, of contractual interest and $6,185 and $12,757, respectively,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convertible notes as of June 30,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Convertible Notes</w:t>
      </w:r>
    </w:p>
    <w:tbl>
      <w:tblPr>
        <w:tblW w:w="6170" w:type="dxa"/>
        <w:jc w:val="left"/>
        <w:tblInd w:w="0" w:type="dxa"/>
        <w:tblLayout w:type="fixed"/>
        <w:tblCellMar>
          <w:top w:w="0" w:type="dxa"/>
          <w:left w:w="0" w:type="dxa"/>
          <w:bottom w:w="0" w:type="dxa"/>
          <w:right w:w="0" w:type="dxa"/>
        </w:tblCellMar>
      </w:tblPr>
      <w:tblGrid>
        <w:gridCol w:w="4880"/>
        <w:gridCol w:w="60"/>
        <w:gridCol w:w="140"/>
        <w:gridCol w:w="980"/>
        <w:gridCol w:w="110"/>
      </w:tblGrid>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Face value of the CB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1,821,345</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Debt discount,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(26,757</w:t>
            </w:r>
          </w:p>
        </w:tc>
        <w:tc>
          <w:tcPr>
            <w:tcW w:w="110" w:type="dxa"/>
            <w:tcBorders/>
            <w:shd w:fill="FFFFFF" w:val="clear"/>
            <w:vAlign w:val="center"/>
          </w:tcPr>
          <w:p>
            <w:pPr>
              <w:pStyle w:val="TableContents"/>
              <w:bidi w:val="0"/>
              <w:spacing w:before="0" w:after="283"/>
              <w:jc w:val="left"/>
              <w:rPr/>
            </w:pPr>
            <w:r>
              <w:rPr/>
              <w:t>)</w:t>
            </w:r>
          </w:p>
        </w:tc>
      </w:tr>
      <w:tr>
        <w:trPr/>
        <w:tc>
          <w:tcPr>
            <w:tcW w:w="4880" w:type="dxa"/>
            <w:tcBorders/>
            <w:shd w:fill="CCEEFF" w:val="clear"/>
            <w:vAlign w:val="center"/>
          </w:tcPr>
          <w:p>
            <w:pPr>
              <w:pStyle w:val="TableContents"/>
              <w:bidi w:val="0"/>
              <w:spacing w:before="0" w:after="283"/>
              <w:jc w:val="left"/>
              <w:rPr/>
            </w:pPr>
            <w:r>
              <w:rPr/>
              <w:t>Carrying value of the CB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1,794,588</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1,135,983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Total CB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2,930,571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convertible notes as of December 31, 2023:</w:t>
      </w:r>
    </w:p>
    <w:p>
      <w:pPr>
        <w:pStyle w:val="TextBody"/>
        <w:bidi w:val="0"/>
        <w:spacing w:before="0" w:after="0"/>
        <w:ind w:left="0" w:right="0" w:hanging="0"/>
        <w:jc w:val="both"/>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4880"/>
        <w:gridCol w:w="60"/>
        <w:gridCol w:w="140"/>
        <w:gridCol w:w="980"/>
        <w:gridCol w:w="110"/>
      </w:tblGrid>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Face value of the CB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1,821,345</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Debt discount,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(41,983</w:t>
            </w:r>
          </w:p>
        </w:tc>
        <w:tc>
          <w:tcPr>
            <w:tcW w:w="110" w:type="dxa"/>
            <w:tcBorders/>
            <w:shd w:fill="FFFFFF" w:val="clear"/>
            <w:vAlign w:val="center"/>
          </w:tcPr>
          <w:p>
            <w:pPr>
              <w:pStyle w:val="TableContents"/>
              <w:bidi w:val="0"/>
              <w:spacing w:before="0" w:after="283"/>
              <w:jc w:val="left"/>
              <w:rPr/>
            </w:pPr>
            <w:r>
              <w:rPr/>
              <w:t>)</w:t>
            </w:r>
          </w:p>
        </w:tc>
      </w:tr>
      <w:tr>
        <w:trPr/>
        <w:tc>
          <w:tcPr>
            <w:tcW w:w="4880" w:type="dxa"/>
            <w:tcBorders/>
            <w:shd w:fill="CCEEFF" w:val="clear"/>
            <w:vAlign w:val="center"/>
          </w:tcPr>
          <w:p>
            <w:pPr>
              <w:pStyle w:val="TableContents"/>
              <w:bidi w:val="0"/>
              <w:spacing w:before="0" w:after="283"/>
              <w:jc w:val="left"/>
              <w:rPr/>
            </w:pPr>
            <w:r>
              <w:rPr/>
              <w:t>Carrying value of the CB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1,779,362</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914,479</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Total CB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2,693,841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term note as of June 30, 2024:</w:t>
      </w:r>
    </w:p>
    <w:p>
      <w:pPr>
        <w:pStyle w:val="TextBody"/>
        <w:bidi w:val="0"/>
        <w:spacing w:before="0" w:after="0"/>
        <w:ind w:left="0" w:right="0" w:hanging="0"/>
        <w:jc w:val="both"/>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4160"/>
        <w:gridCol w:w="60"/>
        <w:gridCol w:w="140"/>
        <w:gridCol w:w="980"/>
        <w:gridCol w:w="110"/>
      </w:tblGrid>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Face value of the CB BF term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6,500,000</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Debt discount,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(76,353</w:t>
            </w:r>
          </w:p>
        </w:tc>
        <w:tc>
          <w:tcPr>
            <w:tcW w:w="110" w:type="dxa"/>
            <w:tcBorders/>
            <w:shd w:fill="FFFFFF" w:val="clear"/>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left"/>
              <w:rPr/>
            </w:pPr>
            <w:r>
              <w:rPr/>
              <w:t>Carrying value of the CB BF term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6,423,647</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664,562</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Total CB BF term note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7,088,209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term note as of December 31, 2023:</w:t>
      </w:r>
    </w:p>
    <w:p>
      <w:pPr>
        <w:pStyle w:val="TextBody"/>
        <w:bidi w:val="0"/>
        <w:spacing w:before="0" w:after="0"/>
        <w:ind w:left="0" w:right="0" w:hanging="0"/>
        <w:jc w:val="both"/>
        <w:rPr>
          <w:caps w:val="false"/>
          <w:smallCaps w:val="false"/>
        </w:rPr>
      </w:pPr>
      <w:r>
        <w:rPr>
          <w:caps w:val="false"/>
          <w:smallCaps w:val="false"/>
        </w:rPr>
        <w:t> </w:t>
      </w:r>
    </w:p>
    <w:tbl>
      <w:tblPr>
        <w:tblW w:w="5450" w:type="dxa"/>
        <w:jc w:val="left"/>
        <w:tblInd w:w="0" w:type="dxa"/>
        <w:tblLayout w:type="fixed"/>
        <w:tblCellMar>
          <w:top w:w="0" w:type="dxa"/>
          <w:left w:w="0" w:type="dxa"/>
          <w:bottom w:w="0" w:type="dxa"/>
          <w:right w:w="0" w:type="dxa"/>
        </w:tblCellMar>
      </w:tblPr>
      <w:tblGrid>
        <w:gridCol w:w="4160"/>
        <w:gridCol w:w="60"/>
        <w:gridCol w:w="140"/>
        <w:gridCol w:w="980"/>
        <w:gridCol w:w="110"/>
      </w:tblGrid>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Face value of the CB BF term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6,500,000</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Debt discount,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(129,586</w:t>
            </w:r>
          </w:p>
        </w:tc>
        <w:tc>
          <w:tcPr>
            <w:tcW w:w="110" w:type="dxa"/>
            <w:tcBorders/>
            <w:shd w:fill="FFFFFF" w:val="clear"/>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left"/>
              <w:rPr/>
            </w:pPr>
            <w:r>
              <w:rPr/>
              <w:t>Carrying value of the CB BF term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6,370,414</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289,373</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Total CB BF term note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6,659,787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230,000 Public Warrants in the Merger which remained outstanding as of June 30, 2024. The Public Warrants have an exercise price of $575.00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p>
      <w:pPr>
        <w:pStyle w:val="TextBody"/>
        <w:bidi w:val="0"/>
        <w:spacing w:before="0" w:after="0"/>
        <w:ind w:left="979" w:right="0" w:hanging="490"/>
        <w:jc w:val="both"/>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17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bl>
    <w:p>
      <w:pPr>
        <w:pStyle w:val="TextBody"/>
        <w:bidi w:val="0"/>
        <w:spacing w:before="0" w:after="0"/>
        <w:ind w:left="979" w:right="0" w:hanging="49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$900.00 redemption trigger price (as adjusted for adjustments to the number of shares issuable upon exercise or the exercise price of a Public Warrant as described under the heading “-Warrants—Public Stockholder Warrants—Anti-dilution Adjustments”) as well as the $575.00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16,571 shares at an exercise price of $324.50 per share. The exercise price will be adjusted to 105% of the then-current exercise price if on the one-year anniversary date of the Effective Time, the GEM Warrant has not been exercised in full and the average closing price per share of Class A Common Stock for the 10 days preceding the anniversary date is less than 90% of the initial exercise price.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June 30, 2024 and December 31, 2023, the fair value of the Warrants, as determined by the Monte Carlo simulation option pricing model, were $79,000 and $641,000,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Simple Agreements for Future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Simple Agreements for Future Equity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Simple Agreements for Future Equity (SAFE) arrangements with related parties Alco, DNX and William Bryant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for a description of the related party relationship with these entities) (the “Related Party SAFEs”) pursuant to which the Company received gross proceeds in the amount of $3,567,000. In the event of an Equity Financing (as defined in the SAFEs agreements), the Related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Related Party SAFEs will be entitled to receive cash or shares of the Company’s common or preferred stock. The Related Party SAFEs were recorded as a liability in accordance with the applicable accounting guidance as they are redeemable for cash upon contingent events that are outside of the Company’s control. The initial fair value of the Related Party SAFE liability was $3,567,000. Subsequent changes in fair value at each reporting period are recognized in the consolidated statement of operations. For the three and six months ended June 30, 2023, the Company recognized a loss of $909,418 and $1,212,557 for the change in fair value of the Related Party SAFE liability,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combination of scenario-based methods and Monte Carlo simulation to determine the fair value of the Related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all outstanding principal related to the Related Party SAFEs at a carrying value of $6,049,766 converted into 11,039 shares the Company’s Class A Common Stock pursuant to the close of the Merger Agreement and application of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Simple Agreements for Future Equity -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Simple Agreements for Future Equity (SAFE) arrangements with third party investors (the “Third Party SAFEs”) pursuant to which the Company received gross proceeds in the amount of $269,000. In the event of an Equity Financing (as defined in the SAFEs agreements), the Third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Third Party SAFEs will be entitled to receive cash or shares of the Company’s common or preferred stock. The Third Party SAFEs were recorded as a liability in accordance with the applicable accounting guidance as they are redeemable for cash upon contingent events that are outside of the Company’s control. The initial fair value of the Third Party SAFE liability was $269,000. Subsequent changes in fair value at each reporting period are recognized in the Consolidated Statement of Operations. For the three and six months ended June 30, 2023, the Company recognized a loss of $68,582 and $91,443 for the change in fair value of the Third Party SAFE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combination of scenario-based methods and Monte Carlo simulation to determine the fair value of the Third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all outstanding principal related to the Third Party SAFEs at a carrying value of $456,234 converted into 833 shares the Company’s Class A Common Stock pursuant to the close of the Merger Agreement and application of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its real estate across multiple states. The operating leases have remaining lease terms of approximately 0.26 years as of June 30, 2024 and consist primarily of 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agreements generally do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leases contain escalation clauses and renewal options. The Company is not reasonably certain that renewal options will be exercised upon expiration of the initial terms of its existing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three months ended June 30, 2024 and 2023,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Lease Expense</w:t>
      </w:r>
    </w:p>
    <w:tbl>
      <w:tblPr>
        <w:tblW w:w="7153" w:type="dxa"/>
        <w:jc w:val="left"/>
        <w:tblInd w:w="0" w:type="dxa"/>
        <w:tblLayout w:type="fixed"/>
        <w:tblCellMar>
          <w:top w:w="0" w:type="dxa"/>
          <w:left w:w="0" w:type="dxa"/>
          <w:bottom w:w="0" w:type="dxa"/>
          <w:right w:w="0" w:type="dxa"/>
        </w:tblCellMar>
      </w:tblPr>
      <w:tblGrid>
        <w:gridCol w:w="3050"/>
        <w:gridCol w:w="60"/>
        <w:gridCol w:w="283"/>
        <w:gridCol w:w="1527"/>
        <w:gridCol w:w="192"/>
        <w:gridCol w:w="121"/>
        <w:gridCol w:w="283"/>
        <w:gridCol w:w="1527"/>
        <w:gridCol w:w="110"/>
      </w:tblGrid>
      <w:tr>
        <w:trPr/>
        <w:tc>
          <w:tcPr>
            <w:tcW w:w="3050" w:type="dxa"/>
            <w:tcBorders/>
            <w:vAlign w:val="center"/>
          </w:tcPr>
          <w:p>
            <w:pPr>
              <w:pStyle w:val="TableContents"/>
              <w:bidi w:val="0"/>
              <w:spacing w:before="0" w:after="283"/>
              <w:jc w:val="left"/>
              <w:rPr>
                <w:b/>
              </w:rPr>
            </w:pPr>
            <w:r>
              <w:rPr>
                <w:b/>
              </w:rPr>
              <w:t>Components of lease expense:</w:t>
            </w:r>
          </w:p>
        </w:tc>
        <w:tc>
          <w:tcPr>
            <w:tcW w:w="60" w:type="dxa"/>
            <w:tcBorders/>
            <w:vAlign w:val="center"/>
          </w:tcPr>
          <w:p>
            <w:pPr>
              <w:pStyle w:val="TableContents"/>
              <w:bidi w:val="0"/>
              <w:spacing w:before="0" w:after="283"/>
              <w:jc w:val="left"/>
              <w:rPr/>
            </w:pPr>
            <w:r>
              <w:rPr/>
              <w:t> </w:t>
            </w:r>
          </w:p>
        </w:tc>
        <w:tc>
          <w:tcPr>
            <w:tcW w:w="1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9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b/>
              </w:rPr>
            </w:pPr>
            <w:r>
              <w:rPr>
                <w:b/>
              </w:rPr>
              <w:t>Components of lease expense:</w:t>
            </w:r>
          </w:p>
        </w:tc>
        <w:tc>
          <w:tcPr>
            <w:tcW w:w="60" w:type="dxa"/>
            <w:tcBorders/>
            <w:vAlign w:val="center"/>
          </w:tcPr>
          <w:p>
            <w:pPr>
              <w:pStyle w:val="TableContents"/>
              <w:bidi w:val="0"/>
              <w:spacing w:before="0" w:after="283"/>
              <w:jc w:val="left"/>
              <w:rPr/>
            </w:pPr>
            <w:r>
              <w:rPr/>
              <w:t> </w:t>
            </w:r>
          </w:p>
        </w:tc>
        <w:tc>
          <w:tcPr>
            <w:tcW w:w="1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9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8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527" w:type="dxa"/>
            <w:tcBorders/>
            <w:shd w:fill="CCEEFF" w:val="clear"/>
            <w:vAlign w:val="center"/>
          </w:tcPr>
          <w:p>
            <w:pPr>
              <w:pStyle w:val="TableContents"/>
              <w:bidi w:val="0"/>
              <w:spacing w:before="0" w:after="283"/>
              <w:jc w:val="right"/>
              <w:rPr/>
            </w:pPr>
            <w:r>
              <w:rPr/>
              <w:t>46,140</w:t>
            </w:r>
          </w:p>
        </w:tc>
        <w:tc>
          <w:tcPr>
            <w:tcW w:w="19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527" w:type="dxa"/>
            <w:tcBorders/>
            <w:shd w:fill="CCEEFF" w:val="clear"/>
            <w:vAlign w:val="center"/>
          </w:tcPr>
          <w:p>
            <w:pPr>
              <w:pStyle w:val="TableContents"/>
              <w:bidi w:val="0"/>
              <w:spacing w:before="0" w:after="283"/>
              <w:jc w:val="right"/>
              <w:rPr/>
            </w:pPr>
            <w:r>
              <w:rPr/>
              <w:t>50,440</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Lease impairment cost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w:t>
            </w:r>
          </w:p>
        </w:tc>
        <w:tc>
          <w:tcPr>
            <w:tcW w:w="19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shd w:fill="FFFFFF" w:val="clear"/>
            <w:tcMar>
              <w:bottom w:w="28" w:type="dxa"/>
            </w:tcMar>
            <w:vAlign w:val="center"/>
          </w:tcPr>
          <w:p>
            <w:pPr>
              <w:pStyle w:val="TableContents"/>
              <w:bidi w:val="0"/>
              <w:spacing w:before="0" w:after="283"/>
              <w:jc w:val="right"/>
              <w:rPr/>
            </w:pPr>
            <w:r>
              <w:rPr/>
              <w:t>(52,542</w:t>
            </w:r>
          </w:p>
        </w:tc>
        <w:tc>
          <w:tcPr>
            <w:tcW w:w="192"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shd w:fill="FFFFFF" w:val="clear"/>
            <w:tcMar>
              <w:bottom w:w="28" w:type="dxa"/>
            </w:tcMar>
            <w:vAlign w:val="center"/>
          </w:tcPr>
          <w:p>
            <w:pPr>
              <w:pStyle w:val="TableContents"/>
              <w:bidi w:val="0"/>
              <w:spacing w:before="0" w:after="283"/>
              <w:jc w:val="right"/>
              <w:rPr/>
            </w:pPr>
            <w:r>
              <w:rPr/>
              <w:t>(51,082</w:t>
            </w:r>
          </w:p>
        </w:tc>
        <w:tc>
          <w:tcPr>
            <w:tcW w:w="11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Total lease (income) cost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pPr>
            <w:r>
              <w:rPr/>
              <w:t>(6,402</w:t>
            </w:r>
          </w:p>
        </w:tc>
        <w:tc>
          <w:tcPr>
            <w:tcW w:w="192"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six months ended June 30, 2024 and 2023, are as follows:</w:t>
      </w:r>
    </w:p>
    <w:p>
      <w:pPr>
        <w:pStyle w:val="TextBody"/>
        <w:bidi w:val="0"/>
        <w:spacing w:before="0" w:after="0"/>
        <w:ind w:left="0" w:right="0" w:hanging="0"/>
        <w:jc w:val="both"/>
        <w:rPr>
          <w:caps w:val="false"/>
          <w:smallCaps w:val="false"/>
        </w:rPr>
      </w:pPr>
      <w:r>
        <w:rPr>
          <w:caps w:val="false"/>
          <w:smallCaps w:val="false"/>
        </w:rPr>
        <w:t> </w:t>
      </w:r>
    </w:p>
    <w:tbl>
      <w:tblPr>
        <w:tblW w:w="6851" w:type="dxa"/>
        <w:jc w:val="left"/>
        <w:tblInd w:w="0" w:type="dxa"/>
        <w:tblLayout w:type="fixed"/>
        <w:tblCellMar>
          <w:top w:w="0" w:type="dxa"/>
          <w:left w:w="0" w:type="dxa"/>
          <w:bottom w:w="0" w:type="dxa"/>
          <w:right w:w="0" w:type="dxa"/>
        </w:tblCellMar>
      </w:tblPr>
      <w:tblGrid>
        <w:gridCol w:w="3050"/>
        <w:gridCol w:w="60"/>
        <w:gridCol w:w="232"/>
        <w:gridCol w:w="1455"/>
        <w:gridCol w:w="158"/>
        <w:gridCol w:w="99"/>
        <w:gridCol w:w="232"/>
        <w:gridCol w:w="1455"/>
        <w:gridCol w:w="110"/>
      </w:tblGrid>
      <w:tr>
        <w:trPr/>
        <w:tc>
          <w:tcPr>
            <w:tcW w:w="3050" w:type="dxa"/>
            <w:tcBorders/>
            <w:vAlign w:val="center"/>
          </w:tcPr>
          <w:p>
            <w:pPr>
              <w:pStyle w:val="TableContents"/>
              <w:bidi w:val="0"/>
              <w:spacing w:before="0" w:after="283"/>
              <w:jc w:val="left"/>
              <w:rPr>
                <w:b/>
              </w:rPr>
            </w:pPr>
            <w:r>
              <w:rPr>
                <w:b/>
              </w:rPr>
              <w:t>Components of lease expense:</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b/>
              </w:rPr>
            </w:pPr>
            <w:r>
              <w:rPr>
                <w:b/>
              </w:rPr>
              <w:t>Components of lease expense:</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93,384</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455" w:type="dxa"/>
            <w:tcBorders/>
            <w:shd w:fill="CCEEFF" w:val="clear"/>
            <w:vAlign w:val="center"/>
          </w:tcPr>
          <w:p>
            <w:pPr>
              <w:pStyle w:val="TableContents"/>
              <w:bidi w:val="0"/>
              <w:spacing w:before="0" w:after="283"/>
              <w:jc w:val="right"/>
              <w:rPr/>
            </w:pPr>
            <w:r>
              <w:rPr/>
              <w:t>101,888</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Lease impairment cost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pPr>
            <w:r>
              <w:rPr/>
              <w:t>(105,084</w:t>
            </w:r>
          </w:p>
        </w:tc>
        <w:tc>
          <w:tcPr>
            <w:tcW w:w="158"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pPr>
            <w:r>
              <w:rPr/>
              <w:t>(102,165</w:t>
            </w:r>
          </w:p>
        </w:tc>
        <w:tc>
          <w:tcPr>
            <w:tcW w:w="11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Total lease (income) cost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jc w:val="right"/>
              <w:rPr/>
            </w:pPr>
            <w:r>
              <w:rPr/>
              <w:t>(11,700</w:t>
            </w:r>
          </w:p>
        </w:tc>
        <w:tc>
          <w:tcPr>
            <w:tcW w:w="15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0" w:type="dxa"/>
          <w:right w:w="0" w:type="dxa"/>
        </w:tblCellMar>
      </w:tblPr>
      <w:tblGrid>
        <w:gridCol w:w="6460"/>
        <w:gridCol w:w="60"/>
        <w:gridCol w:w="228"/>
        <w:gridCol w:w="1432"/>
        <w:gridCol w:w="155"/>
        <w:gridCol w:w="97"/>
        <w:gridCol w:w="228"/>
        <w:gridCol w:w="1432"/>
        <w:gridCol w:w="113"/>
      </w:tblGrid>
      <w:tr>
        <w:trPr/>
        <w:tc>
          <w:tcPr>
            <w:tcW w:w="6460"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6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3" w:type="dxa"/>
            <w:tcBorders/>
            <w:vAlign w:val="center"/>
          </w:tcPr>
          <w:p>
            <w:pPr>
              <w:pStyle w:val="TableContents"/>
              <w:bidi w:val="0"/>
              <w:spacing w:before="0" w:after="283"/>
              <w:jc w:val="left"/>
              <w:rPr/>
            </w:pPr>
            <w:r>
              <w:rPr/>
              <w:t> </w:t>
            </w:r>
          </w:p>
        </w:tc>
      </w:tr>
      <w:tr>
        <w:trPr/>
        <w:tc>
          <w:tcPr>
            <w:tcW w:w="6460"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3" w:type="dxa"/>
            <w:tcBorders/>
            <w:vAlign w:val="center"/>
          </w:tcPr>
          <w:p>
            <w:pPr>
              <w:pStyle w:val="TableContents"/>
              <w:bidi w:val="0"/>
              <w:spacing w:before="0" w:after="283"/>
              <w:jc w:val="left"/>
              <w:rPr/>
            </w:pPr>
            <w:r>
              <w:rPr/>
              <w:t> </w:t>
            </w:r>
          </w:p>
        </w:tc>
      </w:tr>
      <w:tr>
        <w:trPr/>
        <w:tc>
          <w:tcPr>
            <w:tcW w:w="6460"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60" w:type="dxa"/>
            <w:tcBorders/>
            <w:shd w:fill="FFFFFF" w:val="clear"/>
            <w:vAlign w:val="center"/>
          </w:tcPr>
          <w:p>
            <w:pPr>
              <w:pStyle w:val="TableContents"/>
              <w:bidi w:val="0"/>
              <w:spacing w:before="0" w:after="283"/>
              <w:jc w:val="left"/>
              <w:rPr/>
            </w:pPr>
            <w:r>
              <w:rPr/>
              <w:t>Non-cash lease expense (operating cash flow)</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432" w:type="dxa"/>
            <w:tcBorders/>
            <w:shd w:fill="FFFFFF" w:val="clear"/>
            <w:vAlign w:val="center"/>
          </w:tcPr>
          <w:p>
            <w:pPr>
              <w:pStyle w:val="TableContents"/>
              <w:bidi w:val="0"/>
              <w:spacing w:before="0" w:after="283"/>
              <w:jc w:val="right"/>
              <w:rPr/>
            </w:pPr>
            <w:r>
              <w:rPr/>
              <w:t>87,579</w:t>
            </w:r>
          </w:p>
        </w:tc>
        <w:tc>
          <w:tcPr>
            <w:tcW w:w="1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432" w:type="dxa"/>
            <w:tcBorders/>
            <w:shd w:fill="FFFFFF" w:val="clear"/>
            <w:vAlign w:val="center"/>
          </w:tcPr>
          <w:p>
            <w:pPr>
              <w:pStyle w:val="TableContents"/>
              <w:bidi w:val="0"/>
              <w:spacing w:before="0" w:after="283"/>
              <w:jc w:val="right"/>
              <w:rPr/>
            </w:pPr>
            <w:r>
              <w:rPr/>
              <w:t>86,320</w:t>
            </w:r>
          </w:p>
        </w:tc>
        <w:tc>
          <w:tcPr>
            <w:tcW w:w="113" w:type="dxa"/>
            <w:tcBorders/>
            <w:shd w:fill="FFFFFF" w:val="clear"/>
            <w:vAlign w:val="center"/>
          </w:tcPr>
          <w:p>
            <w:pPr>
              <w:pStyle w:val="TableContents"/>
              <w:bidi w:val="0"/>
              <w:spacing w:before="0" w:after="283"/>
              <w:jc w:val="left"/>
              <w:rPr/>
            </w:pPr>
            <w:r>
              <w:rPr/>
              <w:t> </w:t>
            </w:r>
          </w:p>
        </w:tc>
      </w:tr>
      <w:tr>
        <w:trPr/>
        <w:tc>
          <w:tcPr>
            <w:tcW w:w="6460" w:type="dxa"/>
            <w:tcBorders/>
            <w:shd w:fill="CCEEFF" w:val="clear"/>
            <w:vAlign w:val="center"/>
          </w:tcPr>
          <w:p>
            <w:pPr>
              <w:pStyle w:val="TableContents"/>
              <w:bidi w:val="0"/>
              <w:spacing w:before="0" w:after="283"/>
              <w:jc w:val="left"/>
              <w:rPr/>
            </w:pPr>
            <w:r>
              <w:rPr/>
              <w:t>Change in lease liabilities (operating cash flow)</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(152,335</w:t>
            </w:r>
          </w:p>
        </w:tc>
        <w:tc>
          <w:tcPr>
            <w:tcW w:w="155"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(138,804</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Balance Sheet Information Related to Leases</w:t>
      </w:r>
    </w:p>
    <w:tbl>
      <w:tblPr>
        <w:tblW w:w="7108" w:type="dxa"/>
        <w:jc w:val="left"/>
        <w:tblInd w:w="0" w:type="dxa"/>
        <w:tblLayout w:type="fixed"/>
        <w:tblCellMar>
          <w:top w:w="0" w:type="dxa"/>
          <w:left w:w="0" w:type="dxa"/>
          <w:bottom w:w="0" w:type="dxa"/>
          <w:right w:w="0" w:type="dxa"/>
        </w:tblCellMar>
      </w:tblPr>
      <w:tblGrid>
        <w:gridCol w:w="3485"/>
        <w:gridCol w:w="60"/>
        <w:gridCol w:w="241"/>
        <w:gridCol w:w="1173"/>
        <w:gridCol w:w="60"/>
        <w:gridCol w:w="60"/>
        <w:gridCol w:w="290"/>
        <w:gridCol w:w="1664"/>
        <w:gridCol w:w="75"/>
      </w:tblGrid>
      <w:tr>
        <w:trPr/>
        <w:tc>
          <w:tcPr>
            <w:tcW w:w="3485" w:type="dxa"/>
            <w:tcBorders/>
            <w:vAlign w:val="center"/>
          </w:tcPr>
          <w:p>
            <w:pPr>
              <w:pStyle w:val="TableContents"/>
              <w:bidi w:val="0"/>
              <w:spacing w:before="0" w:after="283"/>
              <w:jc w:val="left"/>
              <w:rPr>
                <w:b/>
              </w:rPr>
            </w:pPr>
            <w:r>
              <w:rPr>
                <w:b/>
              </w:rPr>
              <w:t>Operating leases: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46,434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pPr>
            <w:r>
              <w:rPr/>
              <w:t>134,013</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Operating lease liability, current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81,708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234,043</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81,708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pPr>
            <w:r>
              <w:rPr/>
              <w:t>234,043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753" w:type="dxa"/>
        <w:jc w:val="left"/>
        <w:tblInd w:w="0" w:type="dxa"/>
        <w:tblLayout w:type="fixed"/>
        <w:tblCellMar>
          <w:top w:w="0" w:type="dxa"/>
          <w:left w:w="0" w:type="dxa"/>
          <w:bottom w:w="0" w:type="dxa"/>
          <w:right w:w="0" w:type="dxa"/>
        </w:tblCellMar>
      </w:tblPr>
      <w:tblGrid>
        <w:gridCol w:w="4130"/>
        <w:gridCol w:w="60"/>
        <w:gridCol w:w="167"/>
        <w:gridCol w:w="1247"/>
        <w:gridCol w:w="60"/>
        <w:gridCol w:w="60"/>
        <w:gridCol w:w="233"/>
        <w:gridCol w:w="1721"/>
        <w:gridCol w:w="75"/>
      </w:tblGrid>
      <w:tr>
        <w:trPr/>
        <w:tc>
          <w:tcPr>
            <w:tcW w:w="4130" w:type="dxa"/>
            <w:tcBorders/>
            <w:vAlign w:val="center"/>
          </w:tcPr>
          <w:p>
            <w:pPr>
              <w:pStyle w:val="TableContents"/>
              <w:bidi w:val="0"/>
              <w:spacing w:before="0" w:after="283"/>
              <w:jc w:val="left"/>
              <w:rPr>
                <w:b/>
              </w:rPr>
            </w:pPr>
            <w:r>
              <w:rPr>
                <w:b/>
              </w:rPr>
              <w:t>Weighted-average remaining lease term:</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Operating leases (in years)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0.76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3335"/>
        <w:gridCol w:w="60"/>
        <w:gridCol w:w="167"/>
        <w:gridCol w:w="1247"/>
        <w:gridCol w:w="215"/>
        <w:gridCol w:w="60"/>
        <w:gridCol w:w="233"/>
        <w:gridCol w:w="1721"/>
        <w:gridCol w:w="230"/>
      </w:tblGrid>
      <w:tr>
        <w:trPr/>
        <w:tc>
          <w:tcPr>
            <w:tcW w:w="3335" w:type="dxa"/>
            <w:tcBorders/>
            <w:vAlign w:val="center"/>
          </w:tcPr>
          <w:p>
            <w:pPr>
              <w:pStyle w:val="TableContents"/>
              <w:bidi w:val="0"/>
              <w:spacing w:before="0" w:after="283"/>
              <w:jc w:val="left"/>
              <w:rPr>
                <w:b/>
              </w:rPr>
            </w:pPr>
            <w:r>
              <w:rPr>
                <w:b/>
              </w:rPr>
              <w:t>Weighted-average discount rate:</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23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6.76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non-cancellable lease as of June 30, 2024,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Non-Cancellable Lease</w:t>
      </w:r>
    </w:p>
    <w:tbl>
      <w:tblPr>
        <w:tblW w:w="4175" w:type="dxa"/>
        <w:jc w:val="left"/>
        <w:tblInd w:w="0" w:type="dxa"/>
        <w:tblLayout w:type="fixed"/>
        <w:tblCellMar>
          <w:top w:w="0" w:type="dxa"/>
          <w:left w:w="0" w:type="dxa"/>
          <w:bottom w:w="0" w:type="dxa"/>
          <w:right w:w="0" w:type="dxa"/>
        </w:tblCellMar>
      </w:tblPr>
      <w:tblGrid>
        <w:gridCol w:w="3185"/>
        <w:gridCol w:w="60"/>
        <w:gridCol w:w="140"/>
        <w:gridCol w:w="680"/>
        <w:gridCol w:w="110"/>
      </w:tblGrid>
      <w:tr>
        <w:trPr/>
        <w:tc>
          <w:tcPr>
            <w:tcW w:w="3185" w:type="dxa"/>
            <w:tcBorders/>
            <w:vAlign w:val="center"/>
          </w:tcPr>
          <w:p>
            <w:pPr>
              <w:pStyle w:val="TableContents"/>
              <w:bidi w:val="0"/>
              <w:spacing w:before="0" w:after="283"/>
              <w:jc w:val="left"/>
              <w:rPr>
                <w:b/>
              </w:rPr>
            </w:pPr>
            <w:r>
              <w:rPr>
                <w:b/>
              </w:rPr>
              <w:t>Maturities of lease liabilities: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Year Ending December 31,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Remainder of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82,679</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Year Ending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Total undiscounted cash flows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82,679</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Less discounting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(971</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81,708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Cantor Fee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7GC previously agreed to pay Cantor Fitzgerald &amp; Co. (“Cantor” or “CF&amp;CO”) an Original Deferred Fee of $8,050,000 as deferred underwriting commissions. On November 8, 2023, Cantor and 7GC entered into a Fee Reduction Agreement, pursuant to which Cantor agreed to forfeit $4,050,000 of the $8,050,000 Original Deferred Fee, with the remaining $4,000,000 Reduced Deferred Fee payable by Banzai to Cantor following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Fee Reduction Agreement, the Company agreed to use its reasonable best efforts to have the registration statement declared effective by the SEC by the 120th calendar day after December 29, 2023, the date of the initial filing thereof,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issued the Cantor Fee Shares, as of June 30, 2024,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June 30, 2024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interim and annual period after December 31, 2023, the Company will monitor its compliance with the Cantor Registration Rights Obligations to determine whether the entire amount of the Reduced Deferred Fee has become due and payable in cash, or the Company’s obligations have been satisfied and the remaining liability should be derecognized. At such time as the Company’s obligations under the Fee Reduction Agreement have been satisfied the relief of the liability will be recorded through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Roth Addendum to Letter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2022, Roth Capital Partners, LLC (“Roth”) and Legacy Banzai entered into the Roth Engagement Letter, pursuant to which Legacy Banzai engaged Roth as a financial advisor in connection with the Merger and, on October 14, 2022, MKM and 7GC entered into the MKM Engagement Letter, pursuant to which 7GC engaged MKM as a financial advisor in connection with the Merger. In February 2023, Roth acquired MKM. On December 8, 2023, the Company received an invoice from Roth for an advisory fee in the amount of $1,100,000 as well as transaction expenses reimbursable to Roth amounting to $6,813. As of December 31, 2023, the Company recorded a liability for the total advisory fee of $1,106,813 to accrued expenses.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the Company and Roth entered into an addendum to (i) the engagement letter, dated October 13, 2022, by and between Roth and Legacy Banzai, and (ii) the engagement letter, dated October 14, 2022, by and between Roth (as successor to MKM Partners, LLC) and 7GC (such engagement agreements, collectively, the “Roth Engagement Agreements,” and such addendum, the “Roth Addendum”). Pursuant to the Roth Addendum, in lieu of payment in cash of the full amount of any advisory fees or other fees or expenses, incurred in 2024, and owed under the Roth Engagement Agreements (collectively, the “Roth Fee”), the Company (i) issued to Roth 3,500 shares (the “Roth Shares”) of the Company’s Class A Common Stock on February 2, 2024, and (ii) on or before June 30, 2024, will pay to Roth an amount in cash equal to $300,000 or, if the Company determines that such payment should not be made in cash due to the Company’s cash position at such time, issue to Roth a number of shares of Class A Common Stock equal to $300,000 divided by the daily VWAP for the trading day immediately preceding June 30, 2024 (any such shares, the “Additional Roth Shares”). The Company registered the Roth Shares and 12,000 shares of Class A Common Stock (in addition to the Roth Shares) on a registration statement to cover any issuances of Additional Roth Shares (which may be more or less than 12,000) that may occur pursuant to the Roth Addendum. This registration statement became effective on February 14, 2024. The $300,000 cash payment has not yet been made as of the date of filing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the Company issued the 3,500 Roth Shares with a fair value of $278,833 on the date of issuance. As neither the remaining $300,000 cash payment, nor any Additional Roth Shares had been paid or issued to Roth, as of June 30, 2024, $300,000 will remain as an accrued expense on the Company’s condensed consolidated balance sheet, payable to Roth on or before June 30, 2024. Therefore, the 3,500 shares are determined to settle $806,813 of the obligation recognized as of December 31, 2023, resulting in gain of $577,513 that has been recognized as a gain on extinguishment of liability on the Company’s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up to 275,000,000 shares, consisting of 25,000,000 Class A Common Stock, and 25,000,000 shares of Class B Common Stock par value $0.0001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val="false"/>
          <w:i/>
          <w:caps w:val="false"/>
          <w:smallCaps w:val="false"/>
          <w:sz w:val="20"/>
        </w:rPr>
        <w:t>Note 4 - Reverse Merger Capitalization with 7GC &amp; Co. Holdings Inc.</w:t>
      </w:r>
      <w:r>
        <w:rPr>
          <w:rFonts w:ascii="Times New Roman;Times;Serif" w:hAnsi="Times New Roman;Times;Serif"/>
          <w:b w:val="false"/>
          <w:i w:val="false"/>
          <w:caps w:val="false"/>
          <w:smallCaps w:val="false"/>
          <w:sz w:val="20"/>
        </w:rPr>
        <w:t>, the Company has retroactively adjusted the shares issued and outstanding prior to December 14, 2023 to give effect to the Exchange Ratio to determine the number of shares of Company Common Stock into which they were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3,003,810 shares (692,676 Class A common stock and 2,311,134 Class B common stock) issued and outstanding at June 30, 2024 and 2,585,296 shares (274,162 Class A common stock and 2,311,134 Class B common stock) issued and outstanding at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22, 2024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Banzai entered into a securities purchase agreement with accredited investors, providing for the issuance and sale of 104,556 shares of the Company’s Class A common stock (“Common Stock”) 173,222 pre-funded warrants (the “Pre-Funded Warrants”), and 277,778 common warrants (the “Common Warrants”) in a registered direct offering priced at-the-market under Nasdaq rules for a purchase price of $9.00 per share (the “ May 2024 Offering”). The Common Warrants have an exercise price of $9.00 per share and the Pre-Funded Warrants have an exercise price of $0.0050 per share, are initially exercisable immediately on the date of issuance (the “Initial Exercise Date”). The Common Warrants expire five years from the Initial Exercise Date while the Pre-Funded Warrants do not expire. The aggregate gross proceeds to the Company from the May 2024 Offering were approximately $2.5 million. The Company used the net proceeds from the May 2024 Offering for working capital and general corporate purposes. The closing of the sale of these securities occurred on May 28, 2024. The securities were issued pursuant to the Company’s registration statement on Form S-1/A filed with the SEC on May 16, 2024 (File No. 333-278871) and became effective on May 21, 2024. As of June 30, 2024 all Pre-Funded warrants were exercised.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 (“AGP”) acted as placement agent for the May 2024 Offering, pursuant to a placement agency agreement, dated May 22, 2024, between the Company and AGP (the “Placement Agency Agreement”). Under the Placement Agency Agreement, AGP received a fee in the form of (a) a cash fee equal to 7.0% of the aggregate purchase price paid by each purchaser of securities that were sold in the May 2024 Offering (the “Cash Fee”); provided, however, that the Cash Fee was reduced by an amount equal to $25,000 to be paid to the Company’s financial advisor, and (b) warrants (the “Placement Agent Warrants”) to purchase Class A Common Stock equal to 6% of the aggregate number of shares of Class A Common Stock sold in the May 2024 Offering at an exercise price per share equal to 110% of the price per share of Class A Common Stock sold in the May 2024 Offering. The Company recognized the Placement Agent Warrants as a stock issuance cost as they are issued for services in connection with an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additionally incurred approximately $409,000 of legal fees associated with the May 2024 Offering which is recognized as a stock issuance cost and reflected as a reduction within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22, 2024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on May 22, 2024, in conjunction with the issuance and sale of 104,556 shares of the Company’s Class A common stock, the Company issued 277,778 Common Warrants which did not meet the definition of a liability pursuant to ASC 480 and met all of the requirements for equity classification under ASC 815 as such were classified in stockholder’s equity. The measurement of fair value of the Common Warrants were determined utilizing a Black-Scholes model considering all relevant assumptions current at the date of issuance (i.e., share price of $9.00, exercise price of $9.00, term of five years, volatility of 87%, risk-free rate of 4.6%, and expected dividend rate of 0%). The relative fair value of these Common Warrants, net of issuance costs, on date of issuance was estimated to be approximately $722,000 and is reflected within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22, 2024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on May 22, 2024, in conjunction with the issuance and sale of 104,556 shares of the Company’s Class A common stock, the Company issued 173,222 Pre-Funded Warrants which did not meet the definition of a liability pursuant to ASC 480 and met all of the requirements for equity classification under ASC 815 as such were classified in stockholder’s equity. were classified in stockholder’s equity. The measurement of fair value of the Pre-Funded Warrants were determined as the intrinsic value calculated as the common stock price on the issuance date minus the exercise price. The relative fair value of these Pre-Funded Warrants, net of issuance costs, on date of issuance was estimated to be approximately $660,000 and is reflected within additional paid-in capital. On May 28, 2024 the Pre-Funded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22, 2024 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on May 22, 2024, in conjunction with the issuance and sale of 104,556 shares of the Company’s Class A common stock and Pre-Funded Warrants, the Company issued 16,667 Placement Agent Warrants. As the Placement Agent Warrants were issued for services provided in facilitating the May 2024 Offering, the Company recorded the fair value of such Placement Agent Warrants of approximately $100,000 as a cost of capital on the issuance date. The measurement of fair value was determined utilizing a Black-Scholes model considering all relevant assumptions current at the date of issuance (i.e., share price of $9.00, exercise price of $9.00, term of five years, volatility of 87%, risk-free rate of 4.6%, and expected dividend rate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June 30, 2024 and December 31, 2023, no shares of preferred stock were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securityholder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SEPA Option was determined to be a freestanding financial instrument which did not meet the criteria to be accounted for as a derivative instrument or to be recognized within equity. Pursuant to ASC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(“ASC 815”), the Company will therefore recognize the SEPA Option as an asset or liability, measured at fair value at the date of issuance, December 14, 2023, and in subsequent reporting periods, with changes in fair value recognized in earnings. The SEPA Option was determined to have a fair value of $0 on the date of issuance as well as at December 31, 2023 and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14,201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no Advance Notices issued pursuant to the SEPA during the period ended June 30, 2024 or as of the date that these financial statements were issued, apart from the Premium Advance which was issued pursuant to the terms of the Amended Debt Agreement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Employee Stock Purchase Plan (the “Purchase Plan”). The Purchase Plan permits eligible employees of the Company and certain designated companies as determined by the Board of Directors, to purchase shares of the Company’s Common Stock. The aggregate number of shares of common stock that may be purchased pursuant to the Purchase Plan is equal to 2% of the fully diluted common stock determined at the Close of the Merger Agreement, determined to be 11,443. In addition, the aggregate number of shares of common stock that remain available to be awarded under the Purchase Plan, will automatically increase on January 1 of each year for a period of 10 years commencing on January 1, 2024 and ending on January 1, 2033, in an amount equal to the lesser of one percent (1%) of the total number of shares of the fully diluted common stock determined as of December 31 of the preceding year, or a number of shares of common stock equal to two hundred percent (200%) of the initial share reserve of 11,443. As of June 30, 2024 and December 31, 2023, 11,443 shares of common stock remain available to be purchased under the Purchase Plan,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determined to be 71,522. In addition, the aggregate number of shares of common stock that remain available to be awarded under the Plan, will automatically increase on January 1 of each year for a period of ten years commencing on January 1, 2024 and ending on January 1, 2033, in an amount equal to 5% of the total number of shares of the fully diluted common stock determined as of the day prior to such increase. The aggregate maximum number of shares of common stock that may be issued pursuant to the exercise of incentive stock options is approximately three times the total number of shares of common stock initially reserved for issuance, which were 71,522. As of June 30, 2024 and December 31, 2023, 35,276 and 71,522 stock options remain available to be awarded under the Plan,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Assumptions Used to Compute Fair Value </w:t>
      </w:r>
    </w:p>
    <w:tbl>
      <w:tblPr>
        <w:tblW w:w="5738" w:type="dxa"/>
        <w:jc w:val="left"/>
        <w:tblInd w:w="0" w:type="dxa"/>
        <w:tblLayout w:type="fixed"/>
        <w:tblCellMar>
          <w:top w:w="0" w:type="dxa"/>
          <w:left w:w="0" w:type="dxa"/>
          <w:bottom w:w="0" w:type="dxa"/>
          <w:right w:w="0" w:type="dxa"/>
        </w:tblCellMar>
      </w:tblPr>
      <w:tblGrid>
        <w:gridCol w:w="2345"/>
        <w:gridCol w:w="60"/>
        <w:gridCol w:w="73"/>
        <w:gridCol w:w="1341"/>
        <w:gridCol w:w="215"/>
        <w:gridCol w:w="60"/>
        <w:gridCol w:w="159"/>
        <w:gridCol w:w="1255"/>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$0.29 - 0.61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$8.22 - 9.56</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$0.29 - 5.00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11.98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75.00 - 85.00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80.00 - 99.03</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5.75 - 10.00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5.25 - 6.08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4.20 - 4.50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3.46 - 4.31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Stock Option Activity </w:t>
      </w:r>
    </w:p>
    <w:tbl>
      <w:tblPr>
        <w:tblW w:w="8240" w:type="dxa"/>
        <w:jc w:val="left"/>
        <w:tblInd w:w="0" w:type="dxa"/>
        <w:tblLayout w:type="fixed"/>
        <w:tblCellMar>
          <w:top w:w="0" w:type="dxa"/>
          <w:left w:w="0" w:type="dxa"/>
          <w:bottom w:w="0" w:type="dxa"/>
          <w:right w:w="0" w:type="dxa"/>
        </w:tblCellMar>
      </w:tblPr>
      <w:tblGrid>
        <w:gridCol w:w="3350"/>
        <w:gridCol w:w="60"/>
        <w:gridCol w:w="95"/>
        <w:gridCol w:w="1080"/>
        <w:gridCol w:w="95"/>
        <w:gridCol w:w="60"/>
        <w:gridCol w:w="169"/>
        <w:gridCol w:w="826"/>
        <w:gridCol w:w="60"/>
        <w:gridCol w:w="60"/>
        <w:gridCol w:w="150"/>
        <w:gridCol w:w="1100"/>
        <w:gridCol w:w="60"/>
        <w:gridCol w:w="60"/>
        <w:gridCol w:w="140"/>
        <w:gridCol w:w="800"/>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br/>
              <w:t>Underlying</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 xml:space="preserve">Exercise </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Intrinsic</w:t>
              <w:br/>
              <w:t>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14,962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pPr>
            <w:r>
              <w:rPr/>
              <w:t>293.50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103,662</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27,970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145.70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(9,283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pPr>
            <w:r>
              <w:rPr/>
              <w:t>239.11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Outstanding at June 30, 2024</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33,649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185.69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1,807</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Exercisable at June 30, 2024</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8,675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pPr>
            <w:r>
              <w:rPr/>
              <w:t>248.23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1,807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of $457,231 and $620,987, which is included in general and administrative expense for the six months ended June 30, 2024 and 2023, respectively. The weighted-average grant-date fair value per option granted during the six months ended June 30, 2024 and 2023 was $8.60 and $426.61, respectively. As of June 30, 2024 and 2023, $1,262,655 and $2,575,808 of unrecognized compensation expense related to non-vested awards is expected to be recognized over the weighted average period of 3.80 and 2.97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the Company began issuing RSUs to employees and to non-employee directors. Each RSU entitles the recipient to one share of Class A Common Stock upon vesting. We measure the fair value of RSUs using the stock price on the date of grant. Stock-based compensation expense for employee-granted RSUs is recorded ratably over their vesting period of four years. 25% of the RSUs will vest on each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activity with respect to, and status of, RSUs during the six months ended June 30, 2024 is presented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Activity with Respect Status of, RSUs </w:t>
      </w:r>
    </w:p>
    <w:tbl>
      <w:tblPr>
        <w:tblW w:w="6290" w:type="dxa"/>
        <w:jc w:val="left"/>
        <w:tblInd w:w="0" w:type="dxa"/>
        <w:tblLayout w:type="fixed"/>
        <w:tblCellMar>
          <w:top w:w="0" w:type="dxa"/>
          <w:left w:w="0" w:type="dxa"/>
          <w:bottom w:w="0" w:type="dxa"/>
          <w:right w:w="0" w:type="dxa"/>
        </w:tblCellMar>
      </w:tblPr>
      <w:tblGrid>
        <w:gridCol w:w="3350"/>
        <w:gridCol w:w="60"/>
        <w:gridCol w:w="60"/>
        <w:gridCol w:w="680"/>
        <w:gridCol w:w="95"/>
        <w:gridCol w:w="60"/>
        <w:gridCol w:w="382"/>
        <w:gridCol w:w="1528"/>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528" w:type="dxa"/>
            <w:tcBorders/>
            <w:shd w:fill="FFFFFF" w:val="clear"/>
            <w:vAlign w:val="center"/>
          </w:tcPr>
          <w:p>
            <w:pPr>
              <w:pStyle w:val="TableContents"/>
              <w:bidi w:val="0"/>
              <w:spacing w:before="0" w:after="283"/>
              <w:jc w:val="right"/>
              <w:rPr/>
            </w:pPr>
            <w:r>
              <w:rPr/>
              <w:t>26.64</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52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8" w:type="dxa"/>
            <w:tcBorders>
              <w:bottom w:val="single" w:sz="8" w:space="0" w:color="000000"/>
            </w:tcBorders>
            <w:shd w:fill="FFFFFF" w:val="clear"/>
            <w:tcMar>
              <w:bottom w:w="28" w:type="dxa"/>
            </w:tcMar>
            <w:vAlign w:val="center"/>
          </w:tcPr>
          <w:p>
            <w:pPr>
              <w:pStyle w:val="TableContents"/>
              <w:bidi w:val="0"/>
              <w:spacing w:before="0" w:after="283"/>
              <w:jc w:val="right"/>
              <w:rPr/>
            </w:pPr>
            <w:r>
              <w:rPr/>
              <w:t>14.65</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8" w:type="dxa"/>
            <w:tcBorders>
              <w:bottom w:val="double" w:sz="6" w:space="0" w:color="000000"/>
            </w:tcBorders>
            <w:shd w:fill="CCEEFF" w:val="clear"/>
            <w:tcMar>
              <w:bottom w:w="28" w:type="dxa"/>
            </w:tcMar>
            <w:vAlign w:val="center"/>
          </w:tcPr>
          <w:p>
            <w:pPr>
              <w:pStyle w:val="TableContents"/>
              <w:bidi w:val="0"/>
              <w:spacing w:before="0" w:after="283"/>
              <w:jc w:val="right"/>
              <w:rPr/>
            </w:pPr>
            <w:r>
              <w:rPr/>
              <w:t>26.84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the Company recorded stock-based compensation expense of $208,178 which is included in general and administrative expense for the six months ended June 30, 2024. As of June 30, 2024, unrecognized compensation cost related to the grant of RSUs was $263,144. Unvested outstanding RSUs as of June 30, 2024 had a weighted average remaining vesting period of 1.3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 annual effective tax rate of 0% for the year ended December 31, 2024 as the Company incurred losses for the three and six month period ended June 30, 2024 and is forecasting an estimated net loss for both financial statement and tax purposes for the year ended December 31, 2024. Therefore, no federal or state income taxes are expected and none have been recorded at this time. Income taxes have been accounted for using the liability method in accordance with FASB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US Federal Income Tax Rate to the Company's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Income Tax Provision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Temporary Differences that Give Rise to Deferred Tax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cannot currently support that realization of its deferred tax assets is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2024, the Company had no unrecognized tax benefits that would reduce the Company’s effective tax rate if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2024, the Company issued 11,765 shares of the Company’s Class A common stock to GEM pursuant to the Unsecured Promissory Note, dated February 5, 2024, between the Company and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“Subordinated Business Loan and Security Agreement”) with Agile Lending, LLC and Agile Capital Funding, LLC as the collateral agent. On July 22, 2024 the Company issued a subordinated secured promissory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 The collateral under the subordinated business loan and security agreement consists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ku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Banzai International,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sheets of Banzai International, Inc. (the “Company”) as of December 31, 2023 and 2022, the related consolidated statements of operations,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each of the two years in the period ended December 31, 2023, in conformity with accounting principles generally accepted in the United States of America.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Paragraph–Going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LLP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LLP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 08053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2024, except for Note 3 as to which the date is September 19,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BANZAI INTERNATIONAL, INC. </w:t>
      </w:r>
    </w:p>
    <w:p>
      <w:pPr>
        <w:pStyle w:val="TextBody"/>
        <w:bidi w:val="0"/>
        <w:spacing w:before="0" w:after="0"/>
        <w:jc w:val="center"/>
        <w:rPr>
          <w:rFonts w:ascii="Times New Roman;Times;Serif" w:hAnsi="Times New Roman;Times;Serif"/>
          <w:b/>
          <w:i w:val="false"/>
          <w:caps w:val="false"/>
          <w:smallCaps w:val="false"/>
          <w:sz w:val="20"/>
        </w:rPr>
      </w:pPr>
      <w:bookmarkStart w:id="29" w:name="ku_002"/>
      <w:bookmarkEnd w:id="29"/>
      <w:r>
        <w:rPr>
          <w:rFonts w:ascii="Times New Roman;Times;Serif" w:hAnsi="Times New Roman;Times;Serif"/>
          <w:b/>
          <w:i w:val="false"/>
          <w:caps w:val="false"/>
          <w:smallCaps w:val="false"/>
          <w:sz w:val="20"/>
        </w:rPr>
        <w:t xml:space="preserve">Consolidated Balance Sheets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 and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5"/>
        <w:gridCol w:w="60"/>
        <w:gridCol w:w="125"/>
        <w:gridCol w:w="1016"/>
        <w:gridCol w:w="80"/>
        <w:gridCol w:w="60"/>
        <w:gridCol w:w="125"/>
        <w:gridCol w:w="1016"/>
        <w:gridCol w:w="98"/>
      </w:tblGrid>
      <w:tr>
        <w:trPr/>
        <w:tc>
          <w:tcPr>
            <w:tcW w:w="76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1,023,499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176,276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(107,860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333,507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1,425,422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2,171,526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307,258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1,524,934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5,288,486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5,479,324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6,439,863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1,100,249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663,804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8,802,196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8,802,196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1,408,826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3,506,508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(CP BF)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2,276,534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notes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2,276,534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845,473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1,936,827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1,936,827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6,659,787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6,494,051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commitment fee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930,436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284,963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5,194,240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745,373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37,089,615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29,284,339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234,043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37,164,615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29,593,382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275,000,000 shares (250,000,000 Class A common stock and 25,000,000 Class B common stock) authorized and 2,585,296 shares (274,162 Class A common stock and 2,311,134 Class B common stock) and 3,935,892 shares (51,219 Class A common stock and 3,884,673 Class B common stock) issued and outstanding at December 31, 2023 and December 31, 2022,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75,000,000 shares authorized, 0 shares issued and outstanding at December 31, 2023 and 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14,889,936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8,245,610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(46,766,324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(32,360,062</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(31,876,129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(24,114,058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5,288,486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5,479,324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ku_003"/>
      <w:bookmarkEnd w:id="30"/>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jc w:val="both"/>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6425"/>
        <w:gridCol w:w="60"/>
        <w:gridCol w:w="125"/>
        <w:gridCol w:w="1010"/>
        <w:gridCol w:w="80"/>
        <w:gridCol w:w="60"/>
        <w:gridCol w:w="125"/>
        <w:gridCol w:w="1010"/>
        <w:gridCol w:w="95"/>
      </w:tblGrid>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b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4,561,300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5,332,979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1,956,964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3,376,015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12,905,073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9,275,251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operating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12,912,233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9,588,166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(9,795,551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(6,212,151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 commitment fee and deferred fee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warrant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commitment fee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2,631,060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1,651,141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2,923,414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728,949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2,923,414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728,949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1,602,174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1,602,174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4,078,431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4,078,431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(1,404,863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(3,063,278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(3,063,278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9,256,351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(15,468,502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(15,468,502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BANZAI INTERNATIONAL,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ku_004"/>
      <w:bookmarkEnd w:id="31"/>
      <w:r>
        <w:rPr>
          <w:rFonts w:ascii="Times New Roman;Times;Serif" w:hAnsi="Times New Roman;Times;Serif"/>
          <w:b/>
          <w:i w:val="false"/>
          <w:caps w:val="false"/>
          <w:smallCaps w:val="false"/>
          <w:sz w:val="20"/>
        </w:rPr>
        <w:t xml:space="preserve">Consolidated Statements of Stockholders’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5"/>
        <w:gridCol w:w="80"/>
        <w:gridCol w:w="80"/>
        <w:gridCol w:w="905"/>
        <w:gridCol w:w="80"/>
        <w:gridCol w:w="60"/>
        <w:gridCol w:w="125"/>
        <w:gridCol w:w="905"/>
        <w:gridCol w:w="80"/>
        <w:gridCol w:w="60"/>
        <w:gridCol w:w="60"/>
        <w:gridCol w:w="905"/>
        <w:gridCol w:w="80"/>
        <w:gridCol w:w="60"/>
        <w:gridCol w:w="167"/>
        <w:gridCol w:w="528"/>
        <w:gridCol w:w="80"/>
        <w:gridCol w:w="60"/>
        <w:gridCol w:w="130"/>
        <w:gridCol w:w="1055"/>
        <w:gridCol w:w="80"/>
        <w:gridCol w:w="60"/>
        <w:gridCol w:w="125"/>
        <w:gridCol w:w="1010"/>
        <w:gridCol w:w="80"/>
        <w:gridCol w:w="60"/>
        <w:gridCol w:w="131"/>
        <w:gridCol w:w="1066"/>
        <w:gridCol w:w="98"/>
      </w:tblGrid>
      <w:tr>
        <w:trPr/>
        <w:tc>
          <w:tcPr>
            <w:tcW w:w="19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December 31, 2021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6,318,491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6,359,139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(16,891,560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(9,420,908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Retroactive application of recapitalization</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(2,328,823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(6,318,491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(2,421,780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6,318,737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balance, beginning of period</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3,937,359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(16,891,560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(9,420,908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shares in High Attendance sale</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770,336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(15,468,502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December 31, 2022, after giving effect to the recapitalization</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3,935,892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8,245,610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(32,360,062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(24,114,058</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3,935,892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8,245,610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(32,360,062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(24,114,058</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recapitalization (Note 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(1,424,624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(17,858,417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(17,858,559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456,234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equity-related party</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6,049,766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3,346,231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3,346,232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notes-related party</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7,271,366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7,271,368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of convertible notes payable-related party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to Yorkville for aggregate commitment fee</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3,287,999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3,288,000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under share transfer agreement-related party</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2,498,965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2,498,965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Cantor fee shares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1,245,796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Excise tax</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305,719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305,719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(14,406,262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(14,406,262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December 31, 2023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2,585,296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14,889,936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(46,766,324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(31,876,129</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2,585,296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14,889,936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(46,766,324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(31,876,129</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BANZAI INTERNATIONAL, INC. </w:t>
      </w:r>
    </w:p>
    <w:p>
      <w:pPr>
        <w:pStyle w:val="TextBody"/>
        <w:bidi w:val="0"/>
        <w:spacing w:before="0" w:after="0"/>
        <w:jc w:val="center"/>
        <w:rPr>
          <w:rFonts w:ascii="Times New Roman;Times;Serif" w:hAnsi="Times New Roman;Times;Serif"/>
          <w:b/>
          <w:i w:val="false"/>
          <w:caps w:val="false"/>
          <w:smallCaps w:val="false"/>
          <w:sz w:val="20"/>
        </w:rPr>
      </w:pPr>
      <w:bookmarkStart w:id="32" w:name="ku_005"/>
      <w:bookmarkEnd w:id="32"/>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and 2022</w:t>
      </w:r>
    </w:p>
    <w:p>
      <w:pPr>
        <w:pStyle w:val="TextBody"/>
        <w:bidi w:val="0"/>
        <w:spacing w:before="0" w:after="0"/>
        <w:jc w:val="both"/>
        <w:rPr>
          <w:caps w:val="false"/>
          <w:smallCaps w:val="false"/>
        </w:rPr>
      </w:pPr>
      <w:r>
        <w:rPr>
          <w:caps w:val="false"/>
          <w:smallCaps w:val="false"/>
        </w:rPr>
        <w:t> </w:t>
      </w:r>
    </w:p>
    <w:tbl>
      <w:tblPr>
        <w:tblW w:w="9539" w:type="dxa"/>
        <w:jc w:val="left"/>
        <w:tblInd w:w="0" w:type="dxa"/>
        <w:tblLayout w:type="fixed"/>
        <w:tblCellMar>
          <w:top w:w="0" w:type="dxa"/>
          <w:left w:w="0" w:type="dxa"/>
          <w:bottom w:w="0" w:type="dxa"/>
          <w:right w:w="0" w:type="dxa"/>
        </w:tblCellMar>
      </w:tblPr>
      <w:tblGrid>
        <w:gridCol w:w="6425"/>
        <w:gridCol w:w="60"/>
        <w:gridCol w:w="154"/>
        <w:gridCol w:w="1252"/>
        <w:gridCol w:w="84"/>
        <w:gridCol w:w="63"/>
        <w:gridCol w:w="154"/>
        <w:gridCol w:w="1252"/>
        <w:gridCol w:w="95"/>
      </w:tblGrid>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2023  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40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2022  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2023  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40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2022  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(14,406,262</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(15,468,502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 on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(102,112</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shares issued to Yorkville for aggregate commitment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3,288,000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issuance of warrants accounted for as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GEM commitment fee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686,016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854,379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513,977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513,977</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 and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958,822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235,463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 and issuance costs-related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2,410,735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485,717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 and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2,410,735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485,717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173,245</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1,245,796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770,336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Excise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305,719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(1,807,000</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1,602,174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1,602,174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(207,570</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(2,752,430</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4,078,431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(2,752,430</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4,078,431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(1,404,863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(3,063,278</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(3,063,278</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(34,000</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65,479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(407,648</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(1,708,163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5,339,614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660,844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283,660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4,448,867</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384,641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(284,963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(229,700</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(710,901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(1,550,781</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(5,168,175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Merger, net of transaction costs (Note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(7,615,462</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(1,524,934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notes payable, net of issuance costs-related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4,387,701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convertible notes, net of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3,235,000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convertible notes, net of issuance costs-related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4,182,290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convertible notes, net of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4,182,290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4,415,930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 (decrease)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1,070,219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(763,051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1,023,499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1,786,550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2,093,718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1,023,499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955,848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630,454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(refund)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Cantor Fee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of convertible notes payable-related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to Yorkville for aggregate commitment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3,288,000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under share transfer agreement-related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2,498,965</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warrants accounted for as a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2,448,000</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commitment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(3,233,097</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456,234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6,049,766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simple agreement for future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6,049,766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3,346,232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7,271,368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7,271,368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 issued in settlement of 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 issued in settlement of accrued interest-related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 issued in settlement of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 at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541,223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 at issuance-related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1,292,777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 at issuance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1,292,777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762,603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BANZAI INTERNATIONAL, INC. </w:t>
      </w:r>
    </w:p>
    <w:p>
      <w:pPr>
        <w:pStyle w:val="TextBody"/>
        <w:bidi w:val="0"/>
        <w:spacing w:before="0" w:after="0"/>
        <w:jc w:val="center"/>
        <w:rPr>
          <w:rFonts w:ascii="Times New Roman;Times;Serif" w:hAnsi="Times New Roman;Times;Serif"/>
          <w:b/>
          <w:i w:val="false"/>
          <w:caps w:val="false"/>
          <w:smallCaps w:val="false"/>
          <w:sz w:val="20"/>
        </w:rPr>
      </w:pPr>
      <w:bookmarkStart w:id="33" w:name="ku_006"/>
      <w:bookmarkEnd w:id="33"/>
      <w:r>
        <w:rPr>
          <w:rFonts w:ascii="Times New Roman;Times;Serif" w:hAnsi="Times New Roman;Times;Serif"/>
          <w:b/>
          <w:i w:val="false"/>
          <w:caps w:val="false"/>
          <w:smallCaps w:val="false"/>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Close of the Merger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“Closing Date”), 7GC &amp; Co. Holdings Inc. (“7GC”), our predecessor company, consummated the business combination pursuant to the Agreement and Plan of Merger and Reorganization, dated as of December 8, 2022 (the “Original Merger Agreement”), by and among 7GC, Banzai International, Inc. (“Legacy Banzai”), 7GC Merger Sub I, Inc., an indirect wholly owned subsidiary of 7GC (“First Merger Sub”), and 7GC Merger Sub II, LLC, a direct wholly owned subsidiary of 7GC (“Second Merger Sub”), as amended by the Amendment to Agreement and Plan of Merger, dated as of August 4, 2023 (the “Merger Agreement Amendment” and, together with the Original Merger Agreement, the “Merger Agreement”), by and between 7GC and Legacy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 business combination between 7GC and Legacy Banzai was effected through (a) the merger of First Merger Sub with and into Legacy Banzai, with Legacy Banzai surviving as a wholly-owned subsidiary of 7GC (Legacy Banzai, in its capacity as the surviving corporation of the merger, the “Surviving Corporation”) (the “First Merger”) and (b) the subsequent merger of the Surviving Corporation with and into Second Merger Sub, with Second Merger Sub being the surviving entity of the Second Merger, which ultimately resulted in Legacy Banzai becoming a wholly-owned direct subsidiary of 7GC (the “Second Merger” and, together with the First Merger, the “Mergers” and, collectively with the other transactions described in the Merger Agreement, the “Merger”). On the Closing Date, and in connection with the closing of the Merger (the “Closing”), 7GC changed its name to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7GC was the legal acquirer of Legacy Banzai in the merger, Legacy Banzai is deemed to be the accounting acquirer, and the historical financial statements of Legacy Banzai became the basis for the historical financial statements of the Company upon the closing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Legacy Banzai became the historical financial statements of the Company upon the consummation of the merger. As a result, the financial statements included in this Annual Report reflect (i) the historical operating results of Legacy Banzai prior to the merger; (ii) the combined results of 7GC and Legacy Banzai following the close of the merger; (iii) the assets and liabilities of Legacy Banzai at their historical cost and (iv) the Legacy Banzai’s equity structure for all periods presented, as affected by the recapitalization presentation after completion of the merger.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consideration payable to securityholders of Legacy Banzai at the Closing consisted of a number of shares of Class A Common Stock or shares of Class B Common Stock, and cash in lieu of any fractional shares of Class A Common Stock or shares of Class B Common Stock that would otherwise have been payable to any Legacy Banzai securityholders, equal to $100,000,000. See </w:t>
      </w:r>
      <w:r>
        <w:rPr>
          <w:rFonts w:ascii="Times New Roman;Times;Serif" w:hAnsi="Times New Roman;Times;Serif"/>
          <w:b w:val="false"/>
          <w:i/>
          <w:caps w:val="false"/>
          <w:smallCaps w:val="false"/>
          <w:sz w:val="20"/>
        </w:rPr>
        <w:t xml:space="preserve">Note 4-Reverse Merger Capitalization with 7GC &amp; Co. Holdings Inc. </w:t>
      </w:r>
      <w:r>
        <w:rPr>
          <w:rFonts w:ascii="Times New Roman;Times;Serif" w:hAnsi="Times New Roman;Times;Serif"/>
          <w:b w:val="false"/>
          <w:i w:val="false"/>
          <w:caps w:val="false"/>
          <w:smallCaps w:val="false"/>
          <w:sz w:val="20"/>
        </w:rPr>
        <w:t>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Termination of Hyros Acquisition and Amended Merger Agreement with 7GC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entered into an Agreement and Plan of Merger with Hyros, Inc., (“Hyros”) (the “Hyros Purchase Agreement”) whereby Banzai would acquire 100% of the issued share capital of Hyros for approximately $110 million in a primarily stock transaction. The acquisition was expected to enhance Banzai’s role as a full-stack marketing technology platform, expand its total addressable market, to significantly enhance the Banzai platform and accelerate its long-term revenue growth and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in December 2022, the Company entered into an Agreement and Plan of Merger and Reorganization (the “Original Merger Agreement”) with 7GC &amp; Co. Holdings Inc. (“7GC”), a blank check company formed for the purpose of effecting a merger, share exchange, asset acquisition, stock purchase, reorganization or similar business combination with one or more businesses or entities, pending the close of the Hyros Purchase Agreement. On July 31, 2023, Banzai sent a notice of termination to Hyros. On August 1, 2023, Banzai and Hyros terminated the Hyros Purchase Agreement and the Hyros Side Letter (the “Hyros Transaction Termination”), with immediate effect, in connection with the inability to procure the Hyros audited financial statements on the timeline contemplated by the Hyros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the Company entered into an Amendment to the Agreement and Plan of Merger and Reorganization (the “Amended Merger Agreement” and together with the Original Merger Agreement, the “Merger Agreement”) with 7GC (the “Merger”). As a result of the Merger Agreement, all outstanding shares of capital stock of Banzai will be canceled and converted into the right to receive newly issued shares of common stock, par value $0.0001 per share, 7GC Common Stock determined based on a pre-money enterprise valuation of Banzai of $100 million and a $10.00 price per share of 7GC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 (1) of the JOBS Act exempts emerging growth companies from being required to comply with new or revised financial accounting standards until private companies are required to comply with the new or revised financial accounting standards. Private companies are those companies that have not had a Securities Act registration statement declared effective or do not have a class of securities registered under the Exchange Act.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cash of approximately $2.1 million. For the year ended December 31, 2023, the Company used approximately $1.6 million in cash for operating activities. The Company has incurred recurring net losses from operations and negative cash flows from operating activities since inception. As of December 31, 2023, the Company had an accumulated deficit of approximately $46.8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and equity financings associated with the close of the Merger described in </w:t>
      </w:r>
      <w:r>
        <w:rPr>
          <w:rFonts w:ascii="Times New Roman;Times;Serif" w:hAnsi="Times New Roman;Times;Serif"/>
          <w:b w:val="false"/>
          <w:i/>
          <w:caps w:val="false"/>
          <w:smallCaps w:val="false"/>
          <w:sz w:val="20"/>
        </w:rPr>
        <w:t>Note 4-Reverse Merger Capitalization with 7GC &amp; Co. Holdings Inc..</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audited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Summary of Significant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19, 2024, the Company completed a one-for-fifty (1-for-50) reverse stock split of our issued and outstanding shares of Class A Common Stock without a corresponding reduction in the total number of authorized shares of our Class A Common Stock (the “Reverse Stock Split”). All references to shares of the Company’s Class A Common Stock in these financial statements refer to the number of shares of Class A Common Stock after giving effect to the Reverse Stock Split and are presented as if the Reverse Stock Split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2023 and 2022, and the results of operations and cash flows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and Simple Agreement for Future Equity (SAFE) notes, including the associated embedded derivatives, determination of the fair value of the warrant liabilities,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Certain Risks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to be cash equivalents. As of December 31, 2023 and 2022, the Company does 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and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which was adopted by the Company on January 1, 2023, as discussed below within Recent Accounting Pronouncements. The adoption of ASU No. 2016-13, Financial Instruments: Credit Losses (Topic 326) (“ASU 2016-13”) did not have a material impact on these consolidated financial statements.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Company determined an allowance for credit losses of $5,748 and $107,860 was required, respectively. Further, for the years ended December 31, 2023 and 2022, the Company recognized bad debt expenses for accounts receivable balances of $65,013 and $142,162,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2023:</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Allowance for Credit Losses</w:t>
      </w:r>
    </w:p>
    <w:tbl>
      <w:tblPr>
        <w:tblW w:w="4040" w:type="dxa"/>
        <w:jc w:val="left"/>
        <w:tblInd w:w="0" w:type="dxa"/>
        <w:tblLayout w:type="fixed"/>
        <w:tblCellMar>
          <w:top w:w="0" w:type="dxa"/>
          <w:left w:w="0" w:type="dxa"/>
          <w:bottom w:w="0" w:type="dxa"/>
          <w:right w:w="0" w:type="dxa"/>
        </w:tblCellMar>
      </w:tblPr>
      <w:tblGrid>
        <w:gridCol w:w="3005"/>
        <w:gridCol w:w="60"/>
        <w:gridCol w:w="125"/>
        <w:gridCol w:w="755"/>
        <w:gridCol w:w="95"/>
      </w:tblGrid>
      <w:tr>
        <w:trPr/>
        <w:tc>
          <w:tcPr>
            <w:tcW w:w="30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Balance-January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Property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Goodwill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2023, the Company had one operating segment, which was deemed to be its reporting unit, for the purpose of evaluating goodwill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 There were no impairments of goodwill recorded for the years ended December 31, 2023 and 2022.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Deferred Offering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2022 and 2023, the Company capitalized fees related to the Merger Agreement (see </w:t>
      </w:r>
      <w:r>
        <w:rPr>
          <w:rFonts w:ascii="Times New Roman;Times;Serif" w:hAnsi="Times New Roman;Times;Serif"/>
          <w:b w:val="false"/>
          <w:i/>
          <w:caps w:val="false"/>
          <w:smallCaps w:val="false"/>
          <w:sz w:val="20"/>
        </w:rPr>
        <w:t>Note 1-Organization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4-Merger</w:t>
      </w:r>
      <w:r>
        <w:rPr>
          <w:rFonts w:ascii="Times New Roman;Times;Serif" w:hAnsi="Times New Roman;Times;Serif"/>
          <w:b w:val="false"/>
          <w:i w:val="false"/>
          <w:caps w:val="false"/>
          <w:smallCaps w:val="false"/>
          <w:sz w:val="20"/>
        </w:rPr>
        <w:t>) as an asset. These fees were recognized as a reduction of equity, upon Closing of the Merger on December 14,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deferred offering costs consisted of the following, as of December 14, 2023 and December 31, 2022: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Capitalized Deferred Offering Costs</w:t>
      </w:r>
    </w:p>
    <w:tbl>
      <w:tblPr>
        <w:tblW w:w="5863" w:type="dxa"/>
        <w:jc w:val="left"/>
        <w:tblInd w:w="0" w:type="dxa"/>
        <w:tblLayout w:type="fixed"/>
        <w:tblCellMar>
          <w:top w:w="0" w:type="dxa"/>
          <w:left w:w="0" w:type="dxa"/>
          <w:bottom w:w="0" w:type="dxa"/>
          <w:right w:w="0" w:type="dxa"/>
        </w:tblCellMar>
      </w:tblPr>
      <w:tblGrid>
        <w:gridCol w:w="3260"/>
        <w:gridCol w:w="60"/>
        <w:gridCol w:w="151"/>
        <w:gridCol w:w="1023"/>
        <w:gridCol w:w="60"/>
        <w:gridCol w:w="60"/>
        <w:gridCol w:w="151"/>
        <w:gridCol w:w="1023"/>
        <w:gridCol w:w="75"/>
      </w:tblGrid>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14,</w:t>
              <w:b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SPAC-related legal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2,973,077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1,264,914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bank advisory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Trade Commission filing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offering costs capitalized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3,233,097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1,524,934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balance of Deferred Offering Costs capitalized as of December 14, 2023, was reclassified to Additional Paid-in- Capital, on December 14, 2023, in connection with the closing of the Merger. As a result, there was no Deferred Offering Costs balance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Warrant Liability-related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Public Warrants are recognized as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The determination of the fair value of the warrant liabilities may be subject to change as more current information becomes available and accordingly the actual results could differ significantly. Warrant liabilities are classified as current liabilities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one percent of the total consideration received by the Company’s stockholders in connection with a Change of Control in lieu of the Warrant,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The Company determined the Warrants were share issuance costs associated with an aborted offering to purchase equity. Aborted offering costs may not be deferred and charged against proceeds of a subsequent offering. As such, the Company recorded an expense for the corresponding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Simple Agreements for Future Equity-SAFE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Simple Agreements for Future Equity (“SAFE”) at fair value in accordance with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The SAFEs are subject to revaluation at the end of each reporting period, with changes in fair value recognized in the accompanying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Concentration of Business and Credit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no customers accounted for 10% or more of accounts receivable. At December 31, 2022, three customers accounted for 10% or more of accounts receivable with concentrations of 21%, 16%, and 10% and totaling approximately 47% of the total accounts receivable balance as of December 31, 2022. Total revenues from these customers amounted to $259,635 for the year ended December 31, 2022. For the years ended December 31, 2023 and 2022, no customers accounted for 10% or more of total revenues,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and 2022, one supplier accounted for 10% or more of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Loss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during the year.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Basic and Diluted Net Loss Per Share</w:t>
      </w:r>
    </w:p>
    <w:tbl>
      <w:tblPr>
        <w:tblW w:w="7895" w:type="dxa"/>
        <w:jc w:val="left"/>
        <w:tblInd w:w="0" w:type="dxa"/>
        <w:tblLayout w:type="fixed"/>
        <w:tblCellMar>
          <w:top w:w="0" w:type="dxa"/>
          <w:left w:w="0" w:type="dxa"/>
          <w:bottom w:w="0" w:type="dxa"/>
          <w:right w:w="0" w:type="dxa"/>
        </w:tblCellMar>
      </w:tblPr>
      <w:tblGrid>
        <w:gridCol w:w="5330"/>
        <w:gridCol w:w="60"/>
        <w:gridCol w:w="125"/>
        <w:gridCol w:w="1010"/>
        <w:gridCol w:w="80"/>
        <w:gridCol w:w="60"/>
        <w:gridCol w:w="125"/>
        <w:gridCol w:w="1010"/>
        <w:gridCol w:w="95"/>
      </w:tblGrid>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(15,468,502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position that could potentially be dilutive in future periods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Securities Excluded from Computation of Earnings Per Share</w:t>
      </w:r>
    </w:p>
    <w:tbl>
      <w:tblPr>
        <w:tblW w:w="3683" w:type="dxa"/>
        <w:jc w:val="left"/>
        <w:tblInd w:w="0" w:type="dxa"/>
        <w:tblLayout w:type="fixed"/>
        <w:tblCellMar>
          <w:top w:w="0" w:type="dxa"/>
          <w:left w:w="0" w:type="dxa"/>
          <w:bottom w:w="0" w:type="dxa"/>
          <w:right w:w="0" w:type="dxa"/>
        </w:tblCellMar>
      </w:tblPr>
      <w:tblGrid>
        <w:gridCol w:w="1910"/>
        <w:gridCol w:w="60"/>
        <w:gridCol w:w="69"/>
        <w:gridCol w:w="802"/>
        <w:gridCol w:w="69"/>
        <w:gridCol w:w="69"/>
        <w:gridCol w:w="69"/>
        <w:gridCol w:w="560"/>
        <w:gridCol w:w="75"/>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230,000</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16,571</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261,533</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Antidilutive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261,533</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Revenue Recognition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Statement of Work (“SOW”) or Invoice, and the accompanying documents are negotiated and signed by both parties (if applicable). Alternatively, customer contracting is achieved via self 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quarterly, or annually,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 To determine revenue recognition for contracts with customers, the Company performs the following steps described in ASC 606: (1) identifies the contract with the customer, or Step 1, (2) identifies the performance obligations in the contract, or Step 2, (3) determines the transaction price, or Step 3, (4) allocates the transaction price to the performance obligations in the contract, or Step 4, and (5) recognizes revenue when (or as) the entity satisfies a performance obligation, or Step 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can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once control passes to the customer. 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Costs of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Advertising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$941,737 and $783,764 for the years ended December 31, 2023 and 2022,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Derivative Financial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Times;Serif" w:hAnsi="Times New Roman;Times;Serif"/>
          <w:b w:val="false"/>
          <w:i/>
          <w:caps w:val="false"/>
          <w:smallCaps w:val="false"/>
          <w:sz w:val="20"/>
        </w:rPr>
        <w:t>Note 8-Fair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14-Debt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Fair Value of Financial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measurements discussed herein are based upon certain market assumptions and pertinent information available to management during the years ended December 31, 2023 and 2022. The carrying amount of cash, accounts receivable, prepaid expenses and other current assets, accounts payable, accrued expenses, deferred revenue, and other current liabilities approximated their fair values as of December 31, 2023 and 2022. During 2022, the Company carried convertible notes bifurcated embedded derivatives and Simple Agreements for Future Equity (“SAFE”) investments at their fair value (see </w:t>
      </w:r>
      <w:r>
        <w:rPr>
          <w:rFonts w:ascii="Times New Roman;Times;Serif" w:hAnsi="Times New Roman;Times;Serif"/>
          <w:b w:val="false"/>
          <w:i/>
          <w:caps w:val="false"/>
          <w:smallCaps w:val="false"/>
          <w:sz w:val="20"/>
        </w:rPr>
        <w:t>Note 8-Fair Value Measurements</w:t>
      </w:r>
      <w:r>
        <w:rPr>
          <w:rFonts w:ascii="Times New Roman;Times;Serif" w:hAnsi="Times New Roman;Times;Serif"/>
          <w:b w:val="false"/>
          <w:i w:val="false"/>
          <w:caps w:val="false"/>
          <w:smallCaps w:val="false"/>
          <w:sz w:val="20"/>
        </w:rPr>
        <w:t xml:space="preserve"> for fair value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Business Combinations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business combinations in accordance with FASB ASC 805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Accordingly, identifiable tangible and intangible assets acquired and liabilities assumed are recorded at their estimated fair values, the excess of the purchase consideration over the fair values of net assets acquired is recorded as goodwill, and transaction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accounting pronouncements not yet effective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(Topic 740), Improvements to income tax disclosures,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Reverse Merger Capitalization with 7GC &amp; Co. Holdings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“Closing Date”), Banzai consummated the previously announced Merger with 7GC, as a result of which Banzai became a wholly-owned subsidiary of 7GC. While 7GC was the legal acquirer of Banzai in the merger, for accounting purposes, Legacy Banzai was deemed to be the accounting acquirer in the merger. The determination was primarily based on Legacy Banzai’s stockholders having a majority of the voting power in the combined Company, Legacy Banzai having the ability to appoint a majority of the Board of Directors of the Company, Legacy Banzai’s existing management team comprising the senior management of the combined Company, Legacy Banzai comprising the ongoing operations of the combined Company and the combined Company assumed the name “Banzai International, Inc.”. Accordingly, for accounting purposes, the merger was treated as the equivalent of Legacy Banzai issuing stock for the net assets of 7GC, accompanied by a recapitalization. The net assets of 7GC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Preferred Stock Conversion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First Merger (the “First Effective Time”), each share of Legacy Banzai Series A preferred stock, par value $0.0001 (the “Legacy Banzai Preferred Stock”), that was issued and outstanding was automatically converted into one share of Legacy Banzai Class A Common Stock, par value $0.0001 (the “Legacy Banzai Class A Common Stock”) in accordance with the Amended and Restated Certificate of Incorporation of Legacy Banzai, such that each converted share of Legacy Banzai Preferred Stock was no longer outstanding and ceased to exist, and each holder of shares of Legacy Banzai Preferred Stock thereafter ceased to have any rights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First Effective Time, by virtue of the First Merger and without any action on the part of 7GC, First Merger Sub, Legacy Banzai or the holders of any of the following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outstanding share of Legacy Banzai Class A Common Stock, including the shares of Legacy Banzai Class A Common Stock from the conversion of the Legacy Banzai Preferred Stock described above, and each outstanding share of Class B common stock of Legacy Banzai, par value $0.0001 per share (the “Legacy Banzai Class B Common Stock” and together with Legacy Banzai Class A Common Stock, “Legacy Banzai Common Stock”) (in each case, other than dissenting shares and any shares held in the treasury of Legacy Banzai), was cancelled and converted into the right to receive a number of shares of Class A Common Stock or a number of shares of Class B common stock of the Company, par value $0.0001 (“Class B Common Stock” and, collectively with Class A Common Stock, the “Common Stock”), respectively, equal to (x) the Per Share Value (as defined below) divided by (y) $10.00 (the “Exchange Ratio”);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each option to purchase Legacy Banzai Class A Common Stock (“Legacy Banzai Option”), whether vested or unvested, that was outstanding immediately prior to the First Effective Time and held by any securityholders of Legacy Banzai immediately prior to the First Effective Time (each, a “Pre-Closing Holder”) who was providing services to Legacy Banzai immediately prior to the First Effective Time (a “Pre-Closing Holder Service Provider”), was assumed and converted into an option (a “Company Option”) to purchase shares of Class A Common Stock, calculated in the manner set forth in the Merger Agreement; and (2) the vested portion of each Legacy Banzai Option that was outstanding at such time and held by a Pre-Closing Holder who was not then providing services to Legacy Banzai (a “Pre-Closing Holder Non-Service Provider”) was assumed and converted into a Company Option to purchase shares of Class A Common Stock, calculated in the manner set forth in the Merger Agreement; </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of each SAFE investor to receive a portion of the Total Consideration (as defined below) pursuant to certain Simple Agreements for Future Equity (“each, a “SAFE Agreement”) that was outstanding immediately prior to the First Effective Time was cancelled and converted into the right (each, a “SAFE Right”) to receive a number of shares of Class A Common Stock equal to (i) the Purchase Amount as defined in the applicable SAFE Agreement that governed such SAFE Right (the “SAFE Purchase Amount”) in respect of such SAFE Right divided by the Valuation Cap Price as defined in each SAFE Agreement in respect of such SAFE Right multiplied by (ii) the Exchange Ratio; and</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Subordinated Convertible Note set forth in Section 1.1(a) of the Legacy Banzai disclosure schedules to the Merger Agreement (the “Subordinated Convertible Notes”) that was outstanding immediately prior to the First Effective Time was cancelled and converted into the right to receive a number of shares of Class A Common Stock equal to (i) all of the outstanding principal and interest in respect of such Subordinated Convertible Note, divided by the quotient obtained by dividing the Valuation Cap by the Fully Diluted Capitalization (each as defined in and determined pursuant to the terms of such Subordinated Convertible Note) in respect of such Subordinated Convertible Note, multiplied by (ii) the Exchange Ratio.</w:t>
            </w:r>
          </w:p>
        </w:tc>
      </w:tr>
      <w:tr>
        <w:trPr/>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Per Share Value” equals (i) an amount equal to $100,000,000, payable in shares of Class A Common Stock or shares of Class B Common Stock, as applicable (the “Total Consideration”), divided by (ii) (A) the total number of shares of Legacy Banzai Class A Common Stock and Legacy Banzai Class B Common Stock issued and outstanding as of immediately prior to the First Effective Time, (B) the maximum aggregate number of shares of Legacy Banzai Class A Common Stock issuable upon full exercise of Legacy Banzai Options issued, outstanding, and vested immediately prior to the First Effective Time, (C) the maximum aggregate number of shares of Legacy Banzai Class A Common Stock issuable upon conversion of certain senior convertible notes outstanding as of immediately prior to the First Effective Time at the applicable conversion price, (D) the maximum aggregate number of shares of Legacy Banzai Class A Common Stock issuable upon conversion of all of the outstanding principal and interest under the Subordinated Convertible Notes as of immediately prior to the First Effective Time at the applicable conversion price, and (E) the maximum aggregate number of shares of Legacy Banzai Class A Common Stock issuable upon conversion of the SAFE Purchase Amount under each SAFE Right as of immediately prior to the First Effective Time at the applicable SAFE Conversion Price.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Second Merger (the “Second Effective Time”), by virtue of the Second Merger and without any action on the part of 7GC, Surviving Corporation, Second Merger Sub or the holders of any securities of 7GC or the Surviving Corporation or the Second Merger Sub, each share of common stock of the Surviving Corporation issued and outstanding immediately prior to the Second Effective Time was cancelled and extinguished, and no consideration was delivered therefor.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Retroactive Restatement for Conversion of Common Stock and Series A Preferred Stock by Applying Exchange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holders of Legacy Banzai common stock and Series A preferred stock received shares of common stock in an amount determined by application of the Exchange Ratio. In accordance with guidance applicable to these circumstances, the equity structure has been restated in all comparable periods, prior to the merger, up to December 14, 2023, to reflect the number of shares of the Company’s common stock, $0.0001 par value per share, issued to Legacy Banzai’s stockholders in connection with the merger. As such, the shares and corresponding capital amounts and earnings per share related to Legacy Banzai’s outstanding Series A preferred stock and Legacy Banzai’s common stock prior to the merger have been retroactively restated as shares reflecting the exchange ratio of approximately 0.6147 established in the merger. Legacy Banzai’s Series A preferred stock previously classified as temporary equity was retroactively adjusted, converted into common stock and reclassified to permanent equity as a result of the reverse recapitalization. The consolidated assets, liabilities, and results of operations prior to the merger are those of Legacy Banzai.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payable to securityholders of Banzai at the Closing Date was equal to $100,000,000. Holders of 3,207,428 shares of 7GC’s Class A common stock, par value $0.0001 per share (“7GC Class A Common Stock”), exercised their right to redeem their shares for cash at a redemption price of approximately $10.76 per share, for an aggregate redemption amount of $34,524,065. Immediately prior to the Closing Date, each share of Banzai’s Preferred Stock that was issued and outstanding was automatically converted into one share of Banzai’s Class A Common Stock, par value $0.0001 per share. Each share of Banzai’s Class B Common Stock that was not held by the Chief Executive Officer of the Company converted to one share of Banzai’s Class A Common Stock, while the Chief Executive Officer received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Merger Agreement, at the Second Effective Time, each share of common stock of the Surviving Corporation issued and outstanding immediately prior to the Second Effective Time was cancelled and no consideration was delivered therefore.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Treatment of Outstanding Equity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as of the First Effective Time: (i) each Legacy Banzai Option, whether vested or unvested, that was outstanding immediately prior to the First Effective Time and held by a Pre-Closing Holder Service Provider, was assumed and converted into a Company Option with respect to a number of shares of Class A Common Stock calculated in the manner set forth in the Merger Agreement; and (ii) the vested portion of each Legacy Banzai Option that was outstanding at such time and held by a Pre-Closing Holder Non-Service Provider was assumed and converted into a Company Option with respect to a number of shares of Class A Common Stock calculated in the manner set forth in the Merger Agreement. See </w:t>
      </w:r>
      <w:r>
        <w:rPr>
          <w:rFonts w:ascii="Times New Roman;Times;Serif" w:hAnsi="Times New Roman;Times;Serif"/>
          <w:b w:val="false"/>
          <w:i/>
          <w:caps w:val="false"/>
          <w:smallCaps w:val="false"/>
          <w:sz w:val="20"/>
        </w:rPr>
        <w:t>Note 19-Stock-Based Compensation</w:t>
      </w:r>
      <w:r>
        <w:rPr>
          <w:rFonts w:ascii="Times New Roman;Times;Serif" w:hAnsi="Times New Roman;Times;Serif"/>
          <w:b w:val="false"/>
          <w:i w:val="false"/>
          <w:caps w:val="false"/>
          <w:smallCaps w:val="false"/>
          <w:sz w:val="20"/>
        </w:rPr>
        <w:t xml:space="preserve"> for further details related to the outstanding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Treatment of SAFE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First Effective Time, each SAFE Right that was outstanding immediately prior to the First Effective Time was cancelled and converted into and became the right to receive a number of shares of Class A Common Stock equal to the SAFE Purchase Amount in respect of such SAFE Right divided by the SAFE Conversion Price in respect of such SAFE Right multiplied by (ii) the Exchange Ratio. See </w:t>
      </w:r>
      <w:r>
        <w:rPr>
          <w:rFonts w:ascii="Times New Roman;Times;Serif" w:hAnsi="Times New Roman;Times;Serif"/>
          <w:b w:val="false"/>
          <w:i/>
          <w:caps w:val="false"/>
          <w:smallCaps w:val="false"/>
          <w:sz w:val="20"/>
        </w:rPr>
        <w:t>Note 16-Simple Agreements for Future Equity</w:t>
      </w:r>
      <w:r>
        <w:rPr>
          <w:rFonts w:ascii="Times New Roman;Times;Serif" w:hAnsi="Times New Roman;Times;Serif"/>
          <w:b w:val="false"/>
          <w:i w:val="false"/>
          <w:caps w:val="false"/>
          <w:smallCaps w:val="false"/>
          <w:sz w:val="20"/>
        </w:rPr>
        <w:t xml:space="preserve"> for further details related to the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Treatment of Convertible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First Effective Time, each Subordinated Convertible Note that was outstanding immediately prior to the First Effective Time was cancelled and converted into the right to receive a number of shares of Class A Common Stock equal to (i) all of the outstanding principal and interest in respect of such Subordinated Convertible Note divided by the Subordinated Convertible Note Conversion Price in respect of such Subordinated Convertible Note, multiplied by (ii) the Exchange Ratio. In connection with the Forbearance Agreement and amended and restated Senior Convertible Notes, each Senior Convertible Note remained outstanding following the Closing (to be convertible at CP BF’s option into shares of Class A Common Stock after the Merger).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Legacy Banzai entered into the Forbearance Amendment, pursuant to which CP BF agreed not to exercise any right or remedy under the Loan Agreement with CP BF entered into on February 19, 2021 (the “CP BF Loan Agreement”), including its right to accelerate the aggregate amount outstanding under the CP BF Loan Agreement, until (a) the date that is the earlier of the date that all Yorkville Promissory Notes to be issued under the SEPA (See below for further detail) have been repaid (and/or converted) in full, or (b) six months after the Closing of the Merger. See below and </w:t>
      </w:r>
      <w:r>
        <w:rPr>
          <w:rFonts w:ascii="Times New Roman;Times;Serif" w:hAnsi="Times New Roman;Times;Serif"/>
          <w:b w:val="false"/>
          <w:i/>
          <w:caps w:val="false"/>
          <w:smallCaps w:val="false"/>
          <w:sz w:val="20"/>
        </w:rPr>
        <w:t>Note 14-Debt</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Material Agreements Related to the Close of the Merger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close of the merger, the following material agreements and transactions were entered into by 7GC and Legacy Banzai:</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Sponsor Forfeiture Agreement</w:t>
            </w:r>
            <w:r>
              <w:rPr>
                <w:rFonts w:ascii="Times New Roman;Times;Serif" w:hAnsi="Times New Roman;Times;Serif"/>
                <w:b w:val="false"/>
                <w:i w:val="false"/>
                <w:caps w:val="false"/>
                <w:smallCaps w:val="false"/>
                <w:sz w:val="20"/>
              </w:rPr>
              <w:t xml:space="preserve">-On August 4, 2023, 7GC, 7GC &amp; Co. Holdings LLC, a Delaware limited liability company (the “Sponsor”), and Legacy Banzai entered into a Sponsor Forfeiture Agreement (the “Sponsor Forfeiture Agreement”), pursuant to which, contingent upon Closing, the Sponsor agreed to forfeit all 7,350,000 of its private placement warrants to purchase shares of 7GC Class A Common Stock, exercisable at $11.50 per share (the “Forfeited Private Placement Warrants”), acquired by the Sponsor in December 2020 in connection with the IPO. At the Closing, the Forfeited Private Placement Warrants were transferred from the Sponsor to 7GC for cancellation in exchange for no consideration, and 7GC retired and cancelled all of the Forfeited Private Placement Warrants.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Yorkville Standby Equity Purchase Agreement (“SEPA”)</w:t>
            </w:r>
            <w:r>
              <w:rPr>
                <w:rFonts w:ascii="Times New Roman;Times;Serif" w:hAnsi="Times New Roman;Times;Serif"/>
                <w:b w:val="false"/>
                <w:i w:val="false"/>
                <w:caps w:val="false"/>
                <w:smallCaps w:val="false"/>
                <w:sz w:val="20"/>
              </w:rPr>
              <w:t xml:space="preserve">-On December 14, 2023, the Company entered into the Original SEPA with Legacy Banzai and Yorkville. Additionally, Yorkville agreed to advance to the Company the principal amount of $3.5 million, which was subsequently increased pursuant to the SEPA Supplemental Agreement by $1.0 million to an aggregate principal amount of $4.5 million (the “Pre-Paid Advance”). The Pre-Paid Advance is evidenced by promissory notes convertible into shares of Class A Common Stock (each, a “Yorkville Promissory Note”). See </w:t>
            </w:r>
            <w:r>
              <w:rPr>
                <w:rFonts w:ascii="Times New Roman;Times;Serif" w:hAnsi="Times New Roman;Times;Serif"/>
                <w:b w:val="false"/>
                <w:i/>
                <w:caps w:val="false"/>
                <w:smallCaps w:val="false"/>
                <w:sz w:val="20"/>
              </w:rPr>
              <w:t xml:space="preserve">Note 14-Debt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Note 18-Equity </w:t>
            </w:r>
            <w:r>
              <w:rPr>
                <w:rFonts w:ascii="Times New Roman;Times;Serif" w:hAnsi="Times New Roman;Times;Serif"/>
                <w:b w:val="false"/>
                <w:i w:val="false"/>
                <w:caps w:val="false"/>
                <w:smallCaps w:val="false"/>
                <w:sz w:val="20"/>
              </w:rPr>
              <w:t xml:space="preserve">for further details of these transactions.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 Transfer Agreements and Alco Promissory Notes</w:t>
            </w:r>
            <w:r>
              <w:rPr>
                <w:rFonts w:ascii="Times New Roman;Times;Serif" w:hAnsi="Times New Roman;Times;Serif"/>
                <w:b w:val="false"/>
                <w:i w:val="false"/>
                <w:caps w:val="false"/>
                <w:smallCaps w:val="false"/>
                <w:sz w:val="20"/>
              </w:rPr>
              <w:t xml:space="preserve">-In connection with the Merger, Legacy Banzai issued the Alco September 2023 Promissory Note and the Alco November 2023 Promissory Note and entered into certain share transfer agreements (the “Prior Transfer Agreements”), dated October 3, 2023 and November 16, 2023, with Alco, 7GC and Sponsor, pursuant to which the parties agreed, concurrently with and contingent upon the Closing, that the Sponsor would forfeit 3,000 and 1,500 shares of 7GC Class B Common Stock and the Company would issue to Alco 150,000 and 1,500 shares of Class A Common Stock.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13, 2023, in connection with the Merger, 7GC and the Sponsor entered into a share transfer agreement (the “December Share Transfer Agreement”) with Alco, pursuant to which for each $10.00 in principal borrowed under the New Alco Note, the Sponsor agreed to forfeit three shares of 7GC Class B Common Stock held by the Sponsor, in exchange for the right of Alco to receive three shares of Class A Common Stock, in each case, at (and contingent upon) the Closing, with such forfeited and issued shares capped at an amount equal to 12,000. Additionally, in connection with the December Share Transfer Agreement, (a) Legacy Banzai issued the New Alco Note to Alco in the aggregate principal amount of $2.0 million, which bears interest at a rate of 8% per annum and will be due and payable on December 31, 2024, and (b) Legacy Banzai, Alco, and CP BF Lending, LLC agreed to amend that certain Subordinated Promissory Note issued by Legacy Banzai to Alco on September 13, 2023 in the aggregate principal amount of $1.5 million to extend the maturity date from January 10, 2024 to September 30, 2024 (the “Alco Note Amendment”). Immediately prior to, and substantially concurrently with, the Closing, (i) the Sponsor surrendered and forfeited to 7GC for no consideration an aggregate of 16,500 shares of 7GC Class B Common Stock and (ii) the Company issued to Alco 16,500 shares of Class A Common Stock pursuant to the Share Transfer Agreements. See </w:t>
      </w:r>
      <w:r>
        <w:rPr>
          <w:rFonts w:ascii="Times New Roman;Times;Serif" w:hAnsi="Times New Roman;Times;Serif"/>
          <w:b w:val="false"/>
          <w:i/>
          <w:caps w:val="false"/>
          <w:smallCaps w:val="false"/>
          <w:sz w:val="20"/>
        </w:rPr>
        <w:t xml:space="preserve">Note 14-Debt </w:t>
      </w:r>
      <w:r>
        <w:rPr>
          <w:rFonts w:ascii="Times New Roman;Times;Serif" w:hAnsi="Times New Roman;Times;Serif"/>
          <w:b w:val="false"/>
          <w:i w:val="false"/>
          <w:caps w:val="false"/>
          <w:smallCaps w:val="false"/>
          <w:sz w:val="20"/>
        </w:rPr>
        <w:t>for further details of these transactions.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GEM Agreements</w:t>
            </w:r>
            <w:r>
              <w:rPr>
                <w:rFonts w:ascii="Times New Roman;Times;Serif" w:hAnsi="Times New Roman;Times;Serif"/>
                <w:b w:val="false"/>
                <w:i w:val="false"/>
                <w:caps w:val="false"/>
                <w:smallCaps w:val="false"/>
                <w:sz w:val="20"/>
              </w:rPr>
              <w:t xml:space="preserve">-On May 27, 2022, Legacy Banzai entered into a certain share purchase agreement with GEM (the “GEM Agreement”), pursuant to which, among other things, upon the terms and subject to the conditions of the GEM Agreement, GEM was to purchase from Legacy Banzai (or its successor per the GEM Agreement) up to the number of duly authorized, validly issued, fully paid and non-assessable shares of common stock having an aggregate value of $100,000,000. Further, in terms of the GEM Agreement, on the date of public listing of Legacy Banzai, Legacy Banzai was required to make and execute a warrant granting GEM the right to purchase up to the number of common shares of Legacy Banzai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13, 2023, Legacy Banzai and GEM entered into that certain binding term sheet (the “GEM Term Sheet”) and, on December 14, 2023, a letter agreement (the “GEM Letter”), agreeing to terminate in its entirety the GEM Agreement by and between Legacy Banzai and GEM, other than with respect to the Company’s obligation (as the post-combination company in the Merger) to issue to GEM a warrant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with the documentation of such debenture to be agreed upon and finalized promptly following the Closing. See </w:t>
      </w:r>
      <w:r>
        <w:rPr>
          <w:rFonts w:ascii="Times New Roman;Times;Serif" w:hAnsi="Times New Roman;Times;Serif"/>
          <w:b w:val="false"/>
          <w:i/>
          <w:caps w:val="false"/>
          <w:smallCaps w:val="false"/>
          <w:sz w:val="20"/>
        </w:rPr>
        <w:t xml:space="preserve">Note 15-Warrant Liabilities </w:t>
      </w:r>
      <w:r>
        <w:rPr>
          <w:rFonts w:ascii="Times New Roman;Times;Serif" w:hAnsi="Times New Roman;Times;Serif"/>
          <w:b w:val="false"/>
          <w:i w:val="false"/>
          <w:caps w:val="false"/>
          <w:smallCaps w:val="false"/>
          <w:sz w:val="20"/>
        </w:rPr>
        <w:t xml:space="preserve">for further details of these transactions, and </w:t>
      </w:r>
      <w:r>
        <w:rPr>
          <w:rFonts w:ascii="Times New Roman;Times;Serif" w:hAnsi="Times New Roman;Times;Serif"/>
          <w:b w:val="false"/>
          <w:i/>
          <w:caps w:val="false"/>
          <w:smallCaps w:val="false"/>
          <w:sz w:val="20"/>
        </w:rPr>
        <w:t>Note 21-Subsequent Events</w:t>
      </w:r>
      <w:r>
        <w:rPr>
          <w:rFonts w:ascii="Times New Roman;Times;Serif" w:hAnsi="Times New Roman;Times;Serif"/>
          <w:b w:val="false"/>
          <w:i w:val="false"/>
          <w:caps w:val="false"/>
          <w:smallCaps w:val="false"/>
          <w:sz w:val="20"/>
        </w:rPr>
        <w:t xml:space="preserve"> for details related to the subsequent settlement agreement entered into with GEM, in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7GC Promissory Notes</w:t>
            </w:r>
            <w:r>
              <w:rPr>
                <w:rFonts w:ascii="Times New Roman;Times;Serif" w:hAnsi="Times New Roman;Times;Serif"/>
                <w:b w:val="false"/>
                <w:i w:val="false"/>
                <w:caps w:val="false"/>
                <w:smallCaps w:val="false"/>
                <w:sz w:val="20"/>
              </w:rPr>
              <w:t xml:space="preserve">-On December 12, 2023, in connection with the Merger, the Sponsor came to a non-binding agreement with 7GC to amend the optional conversion provision of the 7GC Promissory Notes, consisting of (i) the 7GC 2022 Promissory Note, issued by 7GC to the Sponsor, pursuant to which 7GC may borrow up to $2,300,000 from the Sponsor, and (ii) the 2023 Promissory Note, to provide that the Sponsor has the right to elect to convert up to the full amount of the principal balance of the 7GC Promissory Notes, in whole or in part, 30 days after the Closing at a conversion price equal to the average daily VWAP of Class A Common Stock for the 30 trading days following the Closing (equal to approximately $2.86 per share). See </w:t>
            </w:r>
            <w:r>
              <w:rPr>
                <w:rFonts w:ascii="Times New Roman;Times;Serif" w:hAnsi="Times New Roman;Times;Serif"/>
                <w:b w:val="false"/>
                <w:i/>
                <w:caps w:val="false"/>
                <w:smallCaps w:val="false"/>
                <w:sz w:val="20"/>
              </w:rPr>
              <w:t xml:space="preserve">Note 14-Debt and Note 6-Related Party Transactions </w:t>
            </w:r>
            <w:r>
              <w:rPr>
                <w:rFonts w:ascii="Times New Roman;Times;Serif" w:hAnsi="Times New Roman;Times;Serif"/>
                <w:b w:val="false"/>
                <w:i w:val="false"/>
                <w:caps w:val="false"/>
                <w:smallCaps w:val="false"/>
                <w:sz w:val="20"/>
              </w:rPr>
              <w:t xml:space="preserve">for further details of this transaction, and </w:t>
            </w:r>
            <w:r>
              <w:rPr>
                <w:rFonts w:ascii="Times New Roman;Times;Serif" w:hAnsi="Times New Roman;Times;Serif"/>
                <w:b w:val="false"/>
                <w:i/>
                <w:caps w:val="false"/>
                <w:smallCaps w:val="false"/>
                <w:sz w:val="20"/>
              </w:rPr>
              <w:t>Note 21-Subsequent Events</w:t>
            </w:r>
            <w:r>
              <w:rPr>
                <w:rFonts w:ascii="Times New Roman;Times;Serif" w:hAnsi="Times New Roman;Times;Serif"/>
                <w:b w:val="false"/>
                <w:i w:val="false"/>
                <w:caps w:val="false"/>
                <w:smallCaps w:val="false"/>
                <w:sz w:val="20"/>
              </w:rPr>
              <w:t xml:space="preserve"> for details related to the subsequent conversion of the 7GC Promissory Notes, in 2024.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Senior Convertible Notes</w:t>
            </w:r>
            <w:r>
              <w:rPr>
                <w:rFonts w:ascii="Times New Roman;Times;Serif" w:hAnsi="Times New Roman;Times;Serif"/>
                <w:b w:val="false"/>
                <w:i w:val="false"/>
                <w:caps w:val="false"/>
                <w:smallCaps w:val="false"/>
                <w:sz w:val="20"/>
              </w:rPr>
              <w:t xml:space="preserve">-On February 19, 2021, Legacy Banzai issued the First Senior Convertible Note in an aggregate principal amount of $1,500,000 to CP BF in connection with the Loan Agreement. On October 10, 2022, the Loan Agreement was amended, whereby CP BF waived payment by Banzai of four months of cash interest with respect to the term loan under the Loan Agreement in replacement for the Second Senior Convertible Note in an aggregate principal amount of $321,345. On August 24, 2023, Legacy Banzai and CP BF entered into the Forbearance Agreement, in connection with which they agreed to amend and restate the Senior Convertible Notes so that they would not convert at the Closing of the Merger as a “Change of Control.” After Closing, the Senior Convertible Notes became convertible, at CP BF’s option on 5 days’ written notice to the Company, into shares of Class A Common Stock. The Senior Convertible Notes provide that, at all times after a SPAC Transaction (as defined in the Senior Convertible Notes), the conversion price for any such conversion is approximately $217.43 per share (subject to adjustment as set forth therein). See </w:t>
            </w:r>
            <w:r>
              <w:rPr>
                <w:rFonts w:ascii="Times New Roman;Times;Serif" w:hAnsi="Times New Roman;Times;Serif"/>
                <w:b w:val="false"/>
                <w:i/>
                <w:caps w:val="false"/>
                <w:smallCaps w:val="false"/>
                <w:sz w:val="20"/>
              </w:rPr>
              <w:t xml:space="preserve">Note 14-Debt </w:t>
            </w:r>
            <w:r>
              <w:rPr>
                <w:rFonts w:ascii="Times New Roman;Times;Serif" w:hAnsi="Times New Roman;Times;Serif"/>
                <w:b w:val="false"/>
                <w:i w:val="false"/>
                <w:caps w:val="false"/>
                <w:smallCaps w:val="false"/>
                <w:sz w:val="20"/>
              </w:rPr>
              <w:t xml:space="preserve">for further details of this transaction.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Cantor Fee Agreement</w:t>
            </w:r>
            <w:r>
              <w:rPr>
                <w:rFonts w:ascii="Times New Roman;Times;Serif" w:hAnsi="Times New Roman;Times;Serif"/>
                <w:b w:val="false"/>
                <w:i w:val="false"/>
                <w:caps w:val="false"/>
                <w:smallCaps w:val="false"/>
                <w:sz w:val="20"/>
              </w:rPr>
              <w:t xml:space="preserve">-On November 8, 2023, Cantor Fitzgerald &amp; Co. (“Cantor”) and 7GC entered into the Fee Reduction Agreement, pursuant to which Cantor agreed to forfeit $4,050,000 of the aggregate of $8,050,000 of deferred underwriting fees payable (“Original Deferred Fee”), with the remaining $4,000,000 payable by 7GC to Cantor (the “Reduced Deferred Fee”) following the Closing of the Merger. Pursuant to the Fee Reduction Agreement, the Reduced Deferred Fee was payable in the form of the Cantor Fee Shares, calculated as a number of shares of Class A Common Stock equal to the greater of (a) 400,000 or (b) the quotient obtained by dividing (x) the Reduced Deferred Fee by (y) the dollar volume-weighted average price for the shares of Class A Common Stock on Nasdaq, over the five trading days immediately preceding the date of filing of this resale registration statement on Form S-1, as reported by Bloomberg through its “AQR” function (as adjusted for any stock dividend, split, combination, recapitalization or other similar transaction). 7GC and Cantor amended the Fee Reduction Agreement on December 28, 2023 to provide that the Reduced Deferred Fee was payable in the form of 22,279 shares of Class A Common Stock and to provide that Cantor is subject to a 12-month lock-up with respect to the Cantor Fee Shares. On December 28, 2023, the Company issued the Cantor Fee Shares to Cantor, covering the Reduced Deferred Fee in accordance with the Fee Reduction Agreement. Pursuant to the Fee Reduction Agreement, the Company also agreed to use its reasonable best efforts to have the registration statement declared effective by the SEC by the 120th calendar day after December 29, 2023, the date of the initial filing thereof,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 See </w:t>
            </w:r>
            <w:r>
              <w:rPr>
                <w:rFonts w:ascii="Times New Roman;Times;Serif" w:hAnsi="Times New Roman;Times;Serif"/>
                <w:b w:val="false"/>
                <w:i/>
                <w:caps w:val="false"/>
                <w:smallCaps w:val="false"/>
                <w:sz w:val="20"/>
              </w:rPr>
              <w:t xml:space="preserve">Note 17-Commitments and Contingencies </w:t>
            </w:r>
            <w:r>
              <w:rPr>
                <w:rFonts w:ascii="Times New Roman;Times;Serif" w:hAnsi="Times New Roman;Times;Serif"/>
                <w:b w:val="false"/>
                <w:i w:val="false"/>
                <w:caps w:val="false"/>
                <w:smallCaps w:val="false"/>
                <w:sz w:val="20"/>
              </w:rPr>
              <w:t xml:space="preserve">for further details of this transaction.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Company’s certificate of incorporation was amended and restated to, among other things, increase the total number of authorized shares of all classes of capital stock to 105,000,000 shares, consisting of 5,000,000 shares of Class A Common Stock, 25,000,000 shares of Class B Common Stock, and 75,000,000 shares of Preferred Stock, all having a par value of $0.0001 per share. As of December 31, 2023, there were 2,585,296 shares of Common Stock and no shares of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Reconciliation of the Merger to the Company’s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elements of the Merger to the consolidated statements of cash flows: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Reconciliation of the Merger to the Company's Consolidated Cash Flows</w:t>
      </w:r>
    </w:p>
    <w:tbl>
      <w:tblPr>
        <w:tblW w:w="6180" w:type="dxa"/>
        <w:jc w:val="left"/>
        <w:tblInd w:w="0" w:type="dxa"/>
        <w:tblLayout w:type="fixed"/>
        <w:tblCellMar>
          <w:top w:w="0" w:type="dxa"/>
          <w:left w:w="0" w:type="dxa"/>
          <w:bottom w:w="0" w:type="dxa"/>
          <w:right w:w="0" w:type="dxa"/>
        </w:tblCellMar>
      </w:tblPr>
      <w:tblGrid>
        <w:gridCol w:w="4610"/>
        <w:gridCol w:w="60"/>
        <w:gridCol w:w="155"/>
        <w:gridCol w:w="1260"/>
        <w:gridCol w:w="95"/>
      </w:tblGrid>
      <w:tr>
        <w:trPr/>
        <w:tc>
          <w:tcPr>
            <w:tcW w:w="46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fees assumed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assumed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assumed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effect on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(14,625,462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reverse recapitalization, net of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(7,615,462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elements of the Merger to the consolidated statements of changes in stockholders’ deficit:</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Reconciliation of the Merger to the Company’s Statements of Changes in Stockholders’ Deficit</w:t>
      </w:r>
    </w:p>
    <w:tbl>
      <w:tblPr>
        <w:tblW w:w="4830" w:type="dxa"/>
        <w:jc w:val="left"/>
        <w:tblInd w:w="0" w:type="dxa"/>
        <w:tblLayout w:type="fixed"/>
        <w:tblCellMar>
          <w:top w:w="0" w:type="dxa"/>
          <w:left w:w="0" w:type="dxa"/>
          <w:bottom w:w="0" w:type="dxa"/>
          <w:right w:w="0" w:type="dxa"/>
        </w:tblCellMar>
      </w:tblPr>
      <w:tblGrid>
        <w:gridCol w:w="3260"/>
        <w:gridCol w:w="60"/>
        <w:gridCol w:w="155"/>
        <w:gridCol w:w="1260"/>
        <w:gridCol w:w="95"/>
      </w:tblGrid>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197,166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net working capital assumed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(7,812,628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underwriting fees assumed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assumed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assumed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(3,233,097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reverse recapitalization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(17,858,559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reverse recapitalization above differs from the effect of equity on the consolidated statements of cash flows, due to the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Effect of Merger on Class A and Class B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Close of the Merger, holders of Legacy Banzai common stock and Series A preferred stock were converted into shares of common stock in an amount determined by application of the Exchange Ratio. As noted above, the equity structure has been restated in all comparable periods, prior to the Merger, up to December 14, 2023, to reflect the number of shares of the Company’s common stock, $0.0001 par value per share, issued to Legacy Banzai’s stockholders in connection with the Merger. At January 1, 2022, the Company had 6,359,139 shares of common stock issued and outstanding, consisting of 39,139 shares of Class A common stock and 6,320,000 shares of Class B common stock. Additionally, the company had 2,328,823 shares of Series A preferred stock outstanding. The retrospective impact of the recapitalization to Class A common stock and Class B common stock was a decrease of 15,082 and 2,435,327, respectively. The retrospective impact of the Series A preferred stock outstanding was a decrease of 897,380 shares. The total impact to common stock was 1,758,003 which was determined by the decrease in the Class A and Class B common stock of 15,082 and 2,435,327, respectively, offset by the increase of reclassification of the Series A preferred stock into common stock of 28,629.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shares of common stock issued and outstanding at December 31, 2022, after giving effect to the recapitalization and activity during the year, was 3,935,892, consisting of 51,219 shares of Class A common stock and 3,884,673 shares of Class B common stock. At December 31, 2023, the Company had 2,585,297 shares of common stock issued and outstanding, consisting of 274,162 shares of Class A common stock and 2,311,134 shares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Asset Disposal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Disposal of High Attendance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2022, the Company sold the assets and liabilities of High Attendance, a subsidiary of the Company, back to its former owner (the “Buyer”), from whom the assets were originally purchased during the year ended December 31, 2020 pursuant to an Asset Purchase Agreement. At the time of the sale, the Buyer was employed by and a securityholder of the Company. The sale was accounted for as a nonmonetary transaction as the Company determined the sale of the High Attendance asset group represents the rescission of the prior acquisition of these assets in the asset acquisition which occurred during the year ended December 31, 2020.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High Attendance were exchanged for the cancellation of 1,638 shares of restricted Class A Common Stock of the Company, par value $0.0001 per share, held by the former owner of High Attendance, and which were previously granted to the Buyer as consideration for the acquisition of High Attendance during the year ended December 31, 2020. As additional consideration for the Buyer’s assumption of liabilities relating to the purchased assets of High Attendance, the Company paid $17,500 to the Buyer at closing. The shares of restricted Class A Common Stock had vesting terms over 24 months of continuous service from the date of the initial purchase during the year ended December 31,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845 </w:t>
      </w:r>
      <w:r>
        <w:rPr>
          <w:rFonts w:ascii="Times New Roman;Times;Serif" w:hAnsi="Times New Roman;Times;Serif"/>
          <w:b w:val="false"/>
          <w:i/>
          <w:caps w:val="false"/>
          <w:smallCaps w:val="false"/>
          <w:sz w:val="20"/>
        </w:rPr>
        <w:t>Nonmonetary Transactions</w:t>
      </w:r>
      <w:r>
        <w:rPr>
          <w:rFonts w:ascii="Times New Roman;Times;Serif" w:hAnsi="Times New Roman;Times;Serif"/>
          <w:b w:val="false"/>
          <w:i w:val="false"/>
          <w:caps w:val="false"/>
          <w:smallCaps w:val="false"/>
          <w:sz w:val="20"/>
        </w:rPr>
        <w:t>, the Company recorded the cancellation of 81,908 shares of restricted Class A Common Stock as a reduction of additional paid in capital, and no gain or loss was recorded in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7GC Related Party Promissory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2022, 7GC issued an unsecured promissory note (the “December 2022 7GC Note”) to the Sponsor, 7GC &amp; Co. Holdings LLC, which provides for borrowings from time to time of up to an aggregate of $2,300,000. Up to $500,000 of the December 2022 7GC Note may be drawn and used for Working Capital Drawdowns and up to $1,800,000 of the December 2022 7GC Note may be drawn and used for Extension Drawdowns. 7GC borrowed $1,100,000 under the December 2022 7GC Note on December 21, 2022, $900,000 of which was an Extension Drawdown and $200,000 of which was a Working Capital Drawdown. The December 2022 7GC Note does not bear interest and is repayable in full upon the earlier of the consummation of a Business Combination or the date 7GC liquidates the Trust Account upon the failure to consummate a Business Combination within the requisite time period. Upon the consummation of a Business Combination, the Sponsor shall have the option, but not the obligation, to convert the principal balance of the December 2022 7GC Note, in whole or in part, into that number of shares of Class A common stock, $0.0001 par value per share, of 7GC (the “Converted Shares”) equal to the principal amount of the December 2022 7GC Note so converted divided by $10.00. The terms of the Converted Shares, if issued, will be identical to the terms of 7GC’s Public Shares, except that the Converted Shares (x) will not be registered under the Securities Act, and (y) will be subject to the terms of that certain letter agreement, dated as of December 22, 2020, among 7GC, the Sponsor, and certain other parties thereto. The December 2022 7GC Note is subject to customary events of default, the occurrence of which automatically trigger the unpaid principal balance of the December 2022 7GC Note and all other sums payable with regard to the December 2022 7GC Note becoming immediately due and payable. On February 9, 2023, 7GC borrowed an additional $177,500 under the December 2022 7GC Note which was a Working Capital Drawdown. During the three months ended June 30, 2023 an additional $122,500 was borrowed under the Working Capital Drawdown, for a total outstanding of $500,000. During the three months ended June 30, 2023 an additional $900,000 was borrowed as an Extensions drawdown, for a total outstanding of $1,800,000.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2023, 7GC issued an additional unsecured promissory note (the “October 2023 7GC Note”, together with the December 2022 7GC Note, the “ 7GC Promissory Notes”) to the Sponsor, which provides for borrowings from time to time of up to an aggregate of $500,000 for working capital purposes. The October 2023 7GC Note does not bear interest and is repayable in full upon the earlier of the consummation of a Business Combination or the date 7GC liquidates the Trust Account established in connection with 7GC’s Initial Public Offering upon the failure of 7GC to consummate a Business Combination within the requisite time period. Upon the consummation of a Business Combination, the Sponsor shall have the option, but not the obligation, to convert the principal balance of the October 2023 7GC Note, in whole or in part, into that number of the Converted Shares, equal to the principal amount of the October 2023 7GC Note so converted divided by $10.00.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Closing of the Merger, Banzai assumed the 7GC Promissory Notes which remained outstanding as of December 31, 2023. As of December 31, 2023, $2,540,091 was outstanding on the loans. See </w:t>
      </w:r>
      <w:r>
        <w:rPr>
          <w:rFonts w:ascii="Times New Roman;Times;Serif" w:hAnsi="Times New Roman;Times;Serif"/>
          <w:b w:val="false"/>
          <w:i/>
          <w:caps w:val="false"/>
          <w:smallCaps w:val="false"/>
          <w:sz w:val="20"/>
        </w:rPr>
        <w:t xml:space="preserve">Note 14-Debt </w:t>
      </w:r>
      <w:r>
        <w:rPr>
          <w:rFonts w:ascii="Times New Roman;Times;Serif" w:hAnsi="Times New Roman;Times;Serif"/>
          <w:b w:val="false"/>
          <w:i w:val="false"/>
          <w:caps w:val="false"/>
          <w:smallCaps w:val="false"/>
          <w:sz w:val="20"/>
        </w:rPr>
        <w:t xml:space="preserve">for further details of these transactions and associated balances and </w:t>
      </w:r>
      <w:r>
        <w:rPr>
          <w:rFonts w:ascii="Times New Roman;Times;Serif" w:hAnsi="Times New Roman;Times;Serif"/>
          <w:b w:val="false"/>
          <w:i/>
          <w:caps w:val="false"/>
          <w:smallCaps w:val="false"/>
          <w:sz w:val="20"/>
        </w:rPr>
        <w:t>Note 21-Subsequent Events</w:t>
      </w:r>
      <w:r>
        <w:rPr>
          <w:rFonts w:ascii="Times New Roman;Times;Serif" w:hAnsi="Times New Roman;Times;Serif"/>
          <w:b w:val="false"/>
          <w:i w:val="false"/>
          <w:caps w:val="false"/>
          <w:smallCaps w:val="false"/>
          <w:sz w:val="20"/>
        </w:rPr>
        <w:t xml:space="preserve"> for details related to the subsequent conversion of the 7GC Promissory Notes, in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Due to Related Party of 7GC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Sponsor paid certain expenses on behalf of 7GC. Upon Closing of the Merger, Banzai assumed the $67,118 liability. As of December 31, 2023, the entire balance remained outstanding and is included within due to related party under current liabilities on the accompanying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Legacy Banzai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2022 and 2023, Legacy Banzai issued Promissory Notes and Convertible Notes to related parties. See </w:t>
      </w:r>
      <w:r>
        <w:rPr>
          <w:rFonts w:ascii="Times New Roman;Times;Serif" w:hAnsi="Times New Roman;Times;Serif"/>
          <w:b w:val="false"/>
          <w:i/>
          <w:caps w:val="false"/>
          <w:smallCaps w:val="false"/>
          <w:sz w:val="20"/>
        </w:rPr>
        <w:t xml:space="preserve">Note 14-Debt </w:t>
      </w:r>
      <w:r>
        <w:rPr>
          <w:rFonts w:ascii="Times New Roman;Times;Serif" w:hAnsi="Times New Roman;Times;Serif"/>
          <w:b w:val="false"/>
          <w:i w:val="false"/>
          <w:caps w:val="false"/>
          <w:smallCaps w:val="false"/>
          <w:sz w:val="20"/>
        </w:rPr>
        <w:t xml:space="preserve">for further details related to these transactions and associated balances. Legacy Banzai also entered into Simple Agreements for Future Equity (SAFE) arrangements with related parties during 2021. See </w:t>
      </w:r>
      <w:r>
        <w:rPr>
          <w:rFonts w:ascii="Times New Roman;Times;Serif" w:hAnsi="Times New Roman;Times;Serif"/>
          <w:b w:val="false"/>
          <w:i/>
          <w:caps w:val="false"/>
          <w:smallCaps w:val="false"/>
          <w:sz w:val="20"/>
        </w:rPr>
        <w:t xml:space="preserve">Note 16-Simple Agreements for Future Equity </w:t>
      </w:r>
      <w:r>
        <w:rPr>
          <w:rFonts w:ascii="Times New Roman;Times;Serif" w:hAnsi="Times New Roman;Times;Serif"/>
          <w:b w:val="false"/>
          <w:i w:val="false"/>
          <w:caps w:val="false"/>
          <w:smallCaps w:val="false"/>
          <w:sz w:val="20"/>
        </w:rPr>
        <w:t>for further details of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is recognized throughout the life of the executed agreement. The Company measures revenue based on considerations specified in terms and conditions agreed to by a customer. Furthermore, the Company recognizes revenue when a performance obligation is satisfied by transferring control of the service to the customer, which occurs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within the SOW’s and invoices, agreements range from monthly to annual and Banzai generally provides for net 30-day payment terms with the payment made directly through check or electronic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provisions of ASC 606, under which the Company recognizes revenue when the customer obtains control of promised goods or services, in an amount that reflects the consideration which is expected to be received in exchange for those goods or services. The Company recognize revenues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Nature of Products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Demio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Service Trade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$375,000 and $293,500, during the years ended December 31,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Disaggregation of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Revenue by Region </w:t>
      </w:r>
    </w:p>
    <w:tbl>
      <w:tblPr>
        <w:tblW w:w="7920" w:type="dxa"/>
        <w:jc w:val="left"/>
        <w:tblInd w:w="0" w:type="dxa"/>
        <w:tblLayout w:type="fixed"/>
        <w:tblCellMar>
          <w:top w:w="0" w:type="dxa"/>
          <w:left w:w="0" w:type="dxa"/>
          <w:bottom w:w="0" w:type="dxa"/>
          <w:right w:w="0" w:type="dxa"/>
        </w:tblCellMar>
      </w:tblPr>
      <w:tblGrid>
        <w:gridCol w:w="3305"/>
        <w:gridCol w:w="60"/>
        <w:gridCol w:w="125"/>
        <w:gridCol w:w="845"/>
        <w:gridCol w:w="60"/>
        <w:gridCol w:w="60"/>
        <w:gridCol w:w="146"/>
        <w:gridCol w:w="819"/>
        <w:gridCol w:w="185"/>
        <w:gridCol w:w="60"/>
        <w:gridCol w:w="125"/>
        <w:gridCol w:w="845"/>
        <w:gridCol w:w="60"/>
        <w:gridCol w:w="60"/>
        <w:gridCol w:w="146"/>
        <w:gridCol w:w="819"/>
        <w:gridCol w:w="200"/>
      </w:tblGrid>
      <w:tr>
        <w:trPr/>
        <w:tc>
          <w:tcPr>
            <w:tcW w:w="33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5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 Revenue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 Revenue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2,677,050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 Middle East and Africa (EMEA)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1,511,886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1,588,539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 Pacific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4,561,300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5,332,979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 Balances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Receivable,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Accounts Receivable, Net </w:t>
      </w:r>
    </w:p>
    <w:tbl>
      <w:tblPr>
        <w:tblW w:w="5540" w:type="dxa"/>
        <w:jc w:val="left"/>
        <w:tblInd w:w="0" w:type="dxa"/>
        <w:tblLayout w:type="fixed"/>
        <w:tblCellMar>
          <w:top w:w="0" w:type="dxa"/>
          <w:left w:w="0" w:type="dxa"/>
          <w:bottom w:w="0" w:type="dxa"/>
          <w:right w:w="0" w:type="dxa"/>
        </w:tblCellMar>
      </w:tblPr>
      <w:tblGrid>
        <w:gridCol w:w="2030"/>
        <w:gridCol w:w="60"/>
        <w:gridCol w:w="129"/>
        <w:gridCol w:w="611"/>
        <w:gridCol w:w="60"/>
        <w:gridCol w:w="60"/>
        <w:gridCol w:w="125"/>
        <w:gridCol w:w="695"/>
        <w:gridCol w:w="60"/>
        <w:gridCol w:w="60"/>
        <w:gridCol w:w="129"/>
        <w:gridCol w:w="611"/>
        <w:gridCol w:w="60"/>
        <w:gridCol w:w="60"/>
        <w:gridCol w:w="125"/>
        <w:gridCol w:w="590"/>
        <w:gridCol w:w="7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7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w:t>
              <w:br/>
              <w:t>Balance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br/>
              <w:t>Balance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w:t>
              <w:br/>
              <w:t>Balance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br/>
              <w:t>Balance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Costs to Obtain a Contract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the principal costs incurred to obtain a contract, are earned when the contract is executed. Management has capitalized these costs and amortized the commission expense over time in accordance with the related contract’s term. For the years ended December 31, 2023 and 2022, commission expenses were $299,450 and $434,446, respectively. Capitalized commissions at the years ended December 31, 2023 and 2022 were $51,472 and $69,737, respectively, and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Costs to obtain a contract activity during the years ended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Costs to Obtain Contract Activity </w:t>
      </w:r>
    </w:p>
    <w:tbl>
      <w:tblPr>
        <w:tblW w:w="3920" w:type="dxa"/>
        <w:jc w:val="left"/>
        <w:tblInd w:w="0" w:type="dxa"/>
        <w:tblLayout w:type="fixed"/>
        <w:tblCellMar>
          <w:top w:w="0" w:type="dxa"/>
          <w:left w:w="0" w:type="dxa"/>
          <w:bottom w:w="0" w:type="dxa"/>
          <w:right w:w="0" w:type="dxa"/>
        </w:tblCellMar>
      </w:tblPr>
      <w:tblGrid>
        <w:gridCol w:w="2885"/>
        <w:gridCol w:w="60"/>
        <w:gridCol w:w="125"/>
        <w:gridCol w:w="755"/>
        <w:gridCol w:w="95"/>
      </w:tblGrid>
      <w:tr>
        <w:trPr/>
        <w:tc>
          <w:tcPr>
            <w:tcW w:w="28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Incurred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Commissions Recognized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Incurred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Commissions 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Fair Value Measurements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years ended December 31, 2023 and 2022.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Fair Value on a Non-recurring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non-financial assets measured at fair value on a non-recurring basis, classified as Level 3 in the fair value hierarchy, is determined based on using market-based approaches, or estimates of discounted expected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Fair Value on a Recurring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2 measurements. The estimated fair value of the convertible notes bifurcated embedded derivative liabilities, GEM warrant liabilities, Yorkville convertible note, and SAFE represent Level 3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2023 and 2022, and indicates the fair value hierarchy of the valuation inputs the Company utilized to determine such fair value: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on Recurring Basis </w:t>
      </w:r>
    </w:p>
    <w:tbl>
      <w:tblPr>
        <w:tblW w:w="7773" w:type="dxa"/>
        <w:jc w:val="left"/>
        <w:tblInd w:w="0" w:type="dxa"/>
        <w:tblLayout w:type="fixed"/>
        <w:tblCellMar>
          <w:top w:w="0" w:type="dxa"/>
          <w:left w:w="0" w:type="dxa"/>
          <w:bottom w:w="0" w:type="dxa"/>
          <w:right w:w="0" w:type="dxa"/>
        </w:tblCellMar>
      </w:tblPr>
      <w:tblGrid>
        <w:gridCol w:w="4550"/>
        <w:gridCol w:w="60"/>
        <w:gridCol w:w="162"/>
        <w:gridCol w:w="338"/>
        <w:gridCol w:w="60"/>
        <w:gridCol w:w="60"/>
        <w:gridCol w:w="151"/>
        <w:gridCol w:w="1023"/>
        <w:gridCol w:w="60"/>
        <w:gridCol w:w="60"/>
        <w:gridCol w:w="151"/>
        <w:gridCol w:w="1023"/>
        <w:gridCol w:w="75"/>
      </w:tblGrid>
      <w:tr>
        <w:trPr/>
        <w:tc>
          <w:tcPr>
            <w:tcW w:w="4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liabilities-public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GEM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convertible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embedded derivative liabilities-related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1,936,827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8,802,196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 Liability-Public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230,000 Public Warrants in the Merger which remained outstanding as of December 31, 2023. The fair values of the Public Warrants are measured based on the listed market price of such warrants through December 31, 2023. See </w:t>
      </w:r>
      <w:r>
        <w:rPr>
          <w:rFonts w:ascii="Times New Roman;Times;Serif" w:hAnsi="Times New Roman;Times;Serif"/>
          <w:b w:val="false"/>
          <w:i/>
          <w:caps w:val="false"/>
          <w:smallCaps w:val="false"/>
          <w:sz w:val="20"/>
        </w:rPr>
        <w:t xml:space="preserve">Note 15-Warrant Liabilities </w:t>
      </w:r>
      <w:r>
        <w:rPr>
          <w:rFonts w:ascii="Times New Roman;Times;Serif" w:hAnsi="Times New Roman;Times;Serif"/>
          <w:b w:val="false"/>
          <w:i w:val="false"/>
          <w:caps w:val="false"/>
          <w:smallCaps w:val="false"/>
          <w:sz w:val="20"/>
        </w:rPr>
        <w:t>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December 14, 2023 through December 31, 2023, the Company recognized a benefit of approximately $115,000 resulting from changes in the fair value of the derivative warrant liabilities, presented as change in fair value of warrant liabilities in the accompanying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the Public Warrants prior to being separately listed and traded, were initially determined using Level 3 inputs. Inherent in a Monte Carlo simulation are assumptions related to expected stock-price volatility, expected life, risk-free interest rate and dividend yield. The Company estimates the volatility of its common stock warrants based on implied volatility from the Company’s traded warrants and from historical volatility of select peer company’s common stock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Public Warrants liability which are Level 2 financial liabilities that are measured at fair value on a recurring basis: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the Fair Value of the Warrants Liability </w:t>
      </w:r>
    </w:p>
    <w:tbl>
      <w:tblPr>
        <w:tblW w:w="4554" w:type="dxa"/>
        <w:jc w:val="left"/>
        <w:tblInd w:w="0" w:type="dxa"/>
        <w:tblLayout w:type="fixed"/>
        <w:tblCellMar>
          <w:top w:w="0" w:type="dxa"/>
          <w:left w:w="0" w:type="dxa"/>
          <w:bottom w:w="0" w:type="dxa"/>
          <w:right w:w="0" w:type="dxa"/>
        </w:tblCellMar>
      </w:tblPr>
      <w:tblGrid>
        <w:gridCol w:w="3485"/>
        <w:gridCol w:w="60"/>
        <w:gridCol w:w="142"/>
        <w:gridCol w:w="792"/>
        <w:gridCol w:w="75"/>
      </w:tblGrid>
      <w:tr>
        <w:trPr/>
        <w:tc>
          <w:tcPr>
            <w:tcW w:w="34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date assumption of public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 Liability-GEM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Times;Serif" w:hAnsi="Times New Roman;Times;Serif"/>
          <w:b w:val="false"/>
          <w:i/>
          <w:caps w:val="false"/>
          <w:smallCaps w:val="false"/>
          <w:sz w:val="20"/>
        </w:rPr>
        <w:t>Note 15-Warrant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recognized a benefit (loss) of approximately $1,807,000, resulting from changes in the fair value of the derivative warrant liabilities, presented as change in fair value of warrant liabilities in the accompanying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GEM Warrants liability which are Level 3 financial liabilities that are measured at fair value on a recurring basis: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the Fair Value of the Warrants Liability </w:t>
      </w:r>
    </w:p>
    <w:tbl>
      <w:tblPr>
        <w:tblW w:w="3695" w:type="dxa"/>
        <w:jc w:val="left"/>
        <w:tblInd w:w="0" w:type="dxa"/>
        <w:tblLayout w:type="fixed"/>
        <w:tblCellMar>
          <w:top w:w="0" w:type="dxa"/>
          <w:left w:w="0" w:type="dxa"/>
          <w:bottom w:w="0" w:type="dxa"/>
          <w:right w:w="0" w:type="dxa"/>
        </w:tblCellMar>
      </w:tblPr>
      <w:tblGrid>
        <w:gridCol w:w="2510"/>
        <w:gridCol w:w="60"/>
        <w:gridCol w:w="125"/>
        <w:gridCol w:w="905"/>
        <w:gridCol w:w="95"/>
      </w:tblGrid>
      <w:tr>
        <w:trPr/>
        <w:tc>
          <w:tcPr>
            <w:tcW w:w="2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GEM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Convertible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 were determined utilizing a Monte Carlo simulation considering all relevant assumptions current at the date of issuance (i.e., share price, term, volatility, risk-free rate, and probability of optional redemption). Refer to </w:t>
      </w:r>
      <w:r>
        <w:rPr>
          <w:rFonts w:ascii="Times New Roman;Times;Serif" w:hAnsi="Times New Roman;Times;Serif"/>
          <w:b w:val="false"/>
          <w:i/>
          <w:caps w:val="false"/>
          <w:smallCaps w:val="false"/>
          <w:sz w:val="20"/>
        </w:rPr>
        <w:t>Note 14-Debt</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Yorkville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recognized a benefit (loss) of approximately $(34,000) resulting from changes in the fair value of the Yorkville convertible note, presented as change in fair value of convertible promissory notes in the accompanying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Yorkville convertible note which is a Level 3 financial liability measured at fair value on a recurring basis: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Fair Value of Yorkville Convertible Note </w:t>
      </w:r>
    </w:p>
    <w:tbl>
      <w:tblPr>
        <w:tblW w:w="4265" w:type="dxa"/>
        <w:jc w:val="left"/>
        <w:tblInd w:w="0" w:type="dxa"/>
        <w:tblLayout w:type="fixed"/>
        <w:tblCellMar>
          <w:top w:w="0" w:type="dxa"/>
          <w:left w:w="0" w:type="dxa"/>
          <w:bottom w:w="0" w:type="dxa"/>
          <w:right w:w="0" w:type="dxa"/>
        </w:tblCellMar>
      </w:tblPr>
      <w:tblGrid>
        <w:gridCol w:w="3140"/>
        <w:gridCol w:w="60"/>
        <w:gridCol w:w="125"/>
        <w:gridCol w:w="845"/>
        <w:gridCol w:w="95"/>
      </w:tblGrid>
      <w:tr>
        <w:trPr/>
        <w:tc>
          <w:tcPr>
            <w:tcW w:w="31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Yorkville convertible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Bifurcated Embedded Derivative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embedded put option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On December 14, 2023, all outstanding principal and accrued interest, including the carrying value of any related embedded derivative, related to the Related Party Convertible Notes and Third Party Convertible Notes converted into the Company’s Class A Common Stock pursuant to the close of the Merger Agreement. Refer to </w:t>
      </w:r>
      <w:r>
        <w:rPr>
          <w:rFonts w:ascii="Times New Roman;Times;Serif" w:hAnsi="Times New Roman;Times;Serif"/>
          <w:b w:val="false"/>
          <w:i/>
          <w:caps w:val="false"/>
          <w:smallCaps w:val="false"/>
          <w:sz w:val="20"/>
        </w:rPr>
        <w:t>Note 14-Debt</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a summary of the changes in the fair value of the bifurcated embedded derivative liability, related to the Related Party and Third Party Convertible Debt, respectively, which are Level 3 financial liabilities that are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Derivative Liabilities </w:t>
      </w:r>
    </w:p>
    <w:tbl>
      <w:tblPr>
        <w:tblW w:w="8459" w:type="dxa"/>
        <w:jc w:val="left"/>
        <w:tblInd w:w="0" w:type="dxa"/>
        <w:tblLayout w:type="fixed"/>
        <w:tblCellMar>
          <w:top w:w="0" w:type="dxa"/>
          <w:left w:w="0" w:type="dxa"/>
          <w:bottom w:w="0" w:type="dxa"/>
          <w:right w:w="0" w:type="dxa"/>
        </w:tblCellMar>
      </w:tblPr>
      <w:tblGrid>
        <w:gridCol w:w="5990"/>
        <w:gridCol w:w="60"/>
        <w:gridCol w:w="138"/>
        <w:gridCol w:w="1006"/>
        <w:gridCol w:w="80"/>
        <w:gridCol w:w="60"/>
        <w:gridCol w:w="125"/>
        <w:gridCol w:w="905"/>
        <w:gridCol w:w="95"/>
      </w:tblGrid>
      <w:tr>
        <w:trPr/>
        <w:tc>
          <w:tcPr>
            <w:tcW w:w="59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Party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 with bifurcated embedded derivatives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1,398,595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586,405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CP BF convertible notes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Old Alco Note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1,126,451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559,390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(1,404,863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Simple Agreements for Future Equity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Simple Agreements for Future Equity (SAFE) arrangements (the “SAFEs”). In the event of an Equity Financing (as defined in the SAFEs agreements), the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SAFEs will be entitled to receive cash or shares of the Company’s common or preferred stock. The number of shares required to be issued to settle the SAFEs at the equity financing is variable, because that number will be determined by the discounted fair value of the Company’s equity shares on the date of settlement (i.e., Discount Price). Regardless of the fair value of the shares on the date of settlement, the holder will receive a fixed monetary value based on the Purchase Amount of the SAFE. If there is a Liquidity Event or SPAC Transaction before the settlement or termination of the SAFEs, the SAFEs will automatically be entitled to receive a portion of Proceeds, due and payable immediately prior to, or concurrent with, the consummation of such Liquidity Event or SPAC Transaction, equal to the greater of (i) two times (2x) the Purchase Amount (the “Cash-Out Amount”) or (ii) the amount payable on the number of shares of Common Stock equal to the Purchase Amount divided by the Liquidity Price (as defined in the SAFEs agreements). Refer to </w:t>
      </w:r>
      <w:r>
        <w:rPr>
          <w:rFonts w:ascii="Times New Roman;Times;Serif" w:hAnsi="Times New Roman;Times;Serif"/>
          <w:b w:val="false"/>
          <w:i/>
          <w:caps w:val="false"/>
          <w:smallCaps w:val="false"/>
          <w:sz w:val="20"/>
        </w:rPr>
        <w:t>Note 16-Simple Agreements for Future Equity</w:t>
      </w:r>
      <w:r>
        <w:rPr>
          <w:rFonts w:ascii="Times New Roman;Times;Serif" w:hAnsi="Times New Roman;Times;Serif"/>
          <w:b w:val="false"/>
          <w:i w:val="false"/>
          <w:caps w:val="false"/>
          <w:smallCaps w:val="false"/>
          <w:sz w:val="20"/>
        </w:rPr>
        <w:t xml:space="preserve"> for additional information related to the Company’s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SAFEs was determined using a scenario-based method for the pre-modification SAFE’s and a Monte Carlo simulation method for the post-modification SAFEs. The value of the SAFE liability as of December 31, 2023 and 2022 is based on significant inputs not observable in the market, which represents a Level 3 measurement within the fair value hierarchy. The fair value of the SAFEs on the date of issuance was determined to be $3,836,000. On December 14, 2023, all outstanding principal related to the Third Party SAFEs and Related Party SAFEs converted into the Company’s Class A Common Stock pursuant to the close of the Merger Agreement. Refer to </w:t>
      </w:r>
      <w:r>
        <w:rPr>
          <w:rFonts w:ascii="Times New Roman;Times;Serif" w:hAnsi="Times New Roman;Times;Serif"/>
          <w:b w:val="false"/>
          <w:i/>
          <w:caps w:val="false"/>
          <w:smallCaps w:val="false"/>
          <w:sz w:val="20"/>
        </w:rPr>
        <w:t>Note 16-Simple Agreements for Future Equity</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a summary of the activity of the Related Party and Third Party SAFE liabilities, respectively (See </w:t>
      </w:r>
      <w:r>
        <w:rPr>
          <w:rFonts w:ascii="Times New Roman;Times;Serif" w:hAnsi="Times New Roman;Times;Serif"/>
          <w:b w:val="false"/>
          <w:i/>
          <w:caps w:val="false"/>
          <w:smallCaps w:val="false"/>
          <w:sz w:val="20"/>
        </w:rPr>
        <w:t>Note 16-Simple Agreements for Future Equity</w:t>
      </w:r>
      <w:r>
        <w:rPr>
          <w:rFonts w:ascii="Times New Roman;Times;Serif" w:hAnsi="Times New Roman;Times;Serif"/>
          <w:b w:val="false"/>
          <w:i w:val="false"/>
          <w:caps w:val="false"/>
          <w:smallCaps w:val="false"/>
          <w:sz w:val="20"/>
        </w:rPr>
        <w:t xml:space="preserve"> for further detail), which represents a recurring fair value measurement at the end of each reporting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Measurements </w:t>
      </w:r>
    </w:p>
    <w:tbl>
      <w:tblPr>
        <w:tblW w:w="4913" w:type="dxa"/>
        <w:jc w:val="left"/>
        <w:tblInd w:w="0" w:type="dxa"/>
        <w:tblLayout w:type="fixed"/>
        <w:tblCellMar>
          <w:top w:w="0" w:type="dxa"/>
          <w:left w:w="0" w:type="dxa"/>
          <w:bottom w:w="0" w:type="dxa"/>
          <w:right w:w="0" w:type="dxa"/>
        </w:tblCellMar>
      </w:tblPr>
      <w:tblGrid>
        <w:gridCol w:w="2510"/>
        <w:gridCol w:w="60"/>
        <w:gridCol w:w="138"/>
        <w:gridCol w:w="1006"/>
        <w:gridCol w:w="80"/>
        <w:gridCol w:w="60"/>
        <w:gridCol w:w="137"/>
        <w:gridCol w:w="827"/>
        <w:gridCol w:w="95"/>
      </w:tblGrid>
      <w:tr>
        <w:trPr/>
        <w:tc>
          <w:tcPr>
            <w:tcW w:w="2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Party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3,121,591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235,409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4,078,431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1,602,174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8,802,196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SAFEs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(6,049,766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Property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Property and Equipment, Net </w:t>
      </w:r>
    </w:p>
    <w:tbl>
      <w:tblPr>
        <w:tblW w:w="4445" w:type="dxa"/>
        <w:jc w:val="left"/>
        <w:tblInd w:w="0" w:type="dxa"/>
        <w:tblLayout w:type="fixed"/>
        <w:tblCellMar>
          <w:top w:w="0" w:type="dxa"/>
          <w:left w:w="0" w:type="dxa"/>
          <w:bottom w:w="0" w:type="dxa"/>
          <w:right w:w="0" w:type="dxa"/>
        </w:tblCellMar>
      </w:tblPr>
      <w:tblGrid>
        <w:gridCol w:w="2600"/>
        <w:gridCol w:w="60"/>
        <w:gridCol w:w="125"/>
        <w:gridCol w:w="650"/>
        <w:gridCol w:w="80"/>
        <w:gridCol w:w="60"/>
        <w:gridCol w:w="125"/>
        <w:gridCol w:w="650"/>
        <w:gridCol w:w="95"/>
      </w:tblGrid>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2023 and 2022 was $7,160 and $9,588,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Prepaid Expenses and Other Current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5740" w:type="dxa"/>
        <w:jc w:val="left"/>
        <w:tblInd w:w="0" w:type="dxa"/>
        <w:tblLayout w:type="fixed"/>
        <w:tblCellMar>
          <w:top w:w="0" w:type="dxa"/>
          <w:left w:w="0" w:type="dxa"/>
          <w:bottom w:w="0" w:type="dxa"/>
          <w:right w:w="0" w:type="dxa"/>
        </w:tblCellMar>
      </w:tblPr>
      <w:tblGrid>
        <w:gridCol w:w="3845"/>
        <w:gridCol w:w="60"/>
        <w:gridCol w:w="125"/>
        <w:gridCol w:w="695"/>
        <w:gridCol w:w="60"/>
        <w:gridCol w:w="60"/>
        <w:gridCol w:w="125"/>
        <w:gridCol w:w="695"/>
        <w:gridCol w:w="75"/>
      </w:tblGrid>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Trade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consulting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data license and subscription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commissions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software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merchant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advertising and marketing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333,507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Goodwill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goodwill activity during the years ended December 31, 2023 and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Goodwill </w:t>
      </w:r>
    </w:p>
    <w:tbl>
      <w:tblPr>
        <w:tblW w:w="3540" w:type="dxa"/>
        <w:jc w:val="left"/>
        <w:tblInd w:w="0" w:type="dxa"/>
        <w:tblLayout w:type="fixed"/>
        <w:tblCellMar>
          <w:top w:w="0" w:type="dxa"/>
          <w:left w:w="0" w:type="dxa"/>
          <w:bottom w:w="0" w:type="dxa"/>
          <w:right w:w="0" w:type="dxa"/>
        </w:tblCellMar>
      </w:tblPr>
      <w:tblGrid>
        <w:gridCol w:w="2435"/>
        <w:gridCol w:w="60"/>
        <w:gridCol w:w="125"/>
        <w:gridCol w:w="845"/>
        <w:gridCol w:w="75"/>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2,171,526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2,171,526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2,171,526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one operating segment which was deemed to be its only reporting unit, goodwill is allocated to that one reporting unit and the carrying value is determined based on the equity of the entire company for purposes of evaluating goodwill impairment. The last quantitative goodwill impairment analysis was performed on December 31, 2022 where the Company determined that the carrying value of the Company’s reporting unit was negative. As of December 31, 2023, the date of the last goodwill impairment analysis, the reporting unit had a negative carrying value. No impairment of goodwill was identified as of December 31, 2023 or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Accrued and Other Current Liabilities</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Accrued Expenses and Other Current Liabilities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current liabilities consisted of the following at the dates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Accrued Expenses and Other Current Liabilities </w:t>
      </w:r>
    </w:p>
    <w:tbl>
      <w:tblPr>
        <w:tblW w:w="6793" w:type="dxa"/>
        <w:jc w:val="left"/>
        <w:tblInd w:w="0" w:type="dxa"/>
        <w:tblLayout w:type="fixed"/>
        <w:tblCellMar>
          <w:top w:w="0" w:type="dxa"/>
          <w:left w:w="0" w:type="dxa"/>
          <w:bottom w:w="0" w:type="dxa"/>
          <w:right w:w="0" w:type="dxa"/>
        </w:tblCellMar>
      </w:tblPr>
      <w:tblGrid>
        <w:gridCol w:w="4190"/>
        <w:gridCol w:w="60"/>
        <w:gridCol w:w="151"/>
        <w:gridCol w:w="1023"/>
        <w:gridCol w:w="60"/>
        <w:gridCol w:w="60"/>
        <w:gridCol w:w="178"/>
        <w:gridCol w:w="996"/>
        <w:gridCol w:w="75"/>
      </w:tblGrid>
      <w:tr>
        <w:trPr/>
        <w:tc>
          <w:tcPr>
            <w:tcW w:w="4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legal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2,694,439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accounting and professional services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Excise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benefit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185,504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streaming service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subscription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5,194,240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745,373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Deferred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2023, the Company recognized $930,436 in revenue that was included in the prior year deferred revenue balance.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Deferred Revenue </w:t>
      </w:r>
    </w:p>
    <w:tbl>
      <w:tblPr>
        <w:tblW w:w="6575" w:type="dxa"/>
        <w:jc w:val="left"/>
        <w:tblInd w:w="0" w:type="dxa"/>
        <w:tblLayout w:type="fixed"/>
        <w:tblCellMar>
          <w:top w:w="0" w:type="dxa"/>
          <w:left w:w="0" w:type="dxa"/>
          <w:bottom w:w="0" w:type="dxa"/>
          <w:right w:w="0" w:type="dxa"/>
        </w:tblCellMar>
      </w:tblPr>
      <w:tblGrid>
        <w:gridCol w:w="4220"/>
        <w:gridCol w:w="60"/>
        <w:gridCol w:w="125"/>
        <w:gridCol w:w="905"/>
        <w:gridCol w:w="80"/>
        <w:gridCol w:w="60"/>
        <w:gridCol w:w="125"/>
        <w:gridCol w:w="905"/>
        <w:gridCol w:w="95"/>
      </w:tblGrid>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r>
            <w:r>
              <w:rPr>
                <w:rFonts w:ascii="Times New Roman;Times;Serif" w:hAnsi="Times New Roman;Times;Serif"/>
                <w:b w:val="false"/>
                <w:i w:val="false"/>
                <w:caps w:val="false"/>
                <w:smallCaps w:val="false"/>
                <w:sz w:val="20"/>
              </w:rPr>
              <w:t xml:space="preserve">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930,436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4,781,924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5,040,665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(prior year 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(930,436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(1,004,697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(current year 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(3,567,828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(4,165,572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930,436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Convertible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Convertible Notes-Related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issued a subordinated convertible promissory note (“Old Alco Note”) for a principal sum of $2,000,000 to Alco Investment Company (“Alco”), a related party. Alco held approximately 5% of the issued equity of the Company, through its ownership of Series A preferred stock. The Old Alco Note bore interest at a rate of 15% per annum until exchanged. The outstanding principal and accrued interest were due and payable on December 31, 2023 (“Original Maturity Date”), provided that, Alco could elect to extend the Original Maturity Date up to two times by additional 12-month increments by delivering written notice to the Company prior to the Original Maturity Date of such election. The outstanding principal and interest under the Old Alco Note was, at the Holder’s election, either (i) effective upon the closing of an Equity Financing (as defined in the agreement), to be converted into shares of the same series of preferred stock of the Company issued to other investors in the Equity Financing (the “Equity Financing Securities”) at a conversion price equal to 85% of the price per share of Equity Financing Securities paid by the other investors in the Equity Financing, with any resulting fraction of a share rounded to the nearest whole share (with 0.5 being rounded up) (the “Conversion Option”) or (ii) immediately prior to the closing of an Equity Financing, become due and payable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embedded redemption put feature upon an Equity Financing is not clearly and closely related to the debt host instrument, was separated from the debt host and initially measured at fair value. Subsequent changes in fair value of the feature are recognized in the Consolidated Statement of Operations. The fair value (see </w:t>
      </w:r>
      <w:r>
        <w:rPr>
          <w:rFonts w:ascii="Times New Roman;Times;Serif" w:hAnsi="Times New Roman;Times;Serif"/>
          <w:b w:val="false"/>
          <w:i/>
          <w:caps w:val="false"/>
          <w:smallCaps w:val="false"/>
          <w:sz w:val="20"/>
        </w:rPr>
        <w:t>Note 8-Fair Value Measurements</w:t>
      </w:r>
      <w:r>
        <w:rPr>
          <w:rFonts w:ascii="Times New Roman;Times;Serif" w:hAnsi="Times New Roman;Times;Serif"/>
          <w:b w:val="false"/>
          <w:i w:val="false"/>
          <w:caps w:val="false"/>
          <w:smallCaps w:val="false"/>
          <w:sz w:val="20"/>
        </w:rPr>
        <w:t>) of the bifurcated derivative liability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to the principal amounts were included in the carrying value of the Old Alco Note and amortized to interest expense over the remaining term of the underlying debt. During 2022, the Company recorded a $151,000 debt discount upon issuance of the Old Alco Note. For the year ended December 31, 2022, interest expense on the Old Alco Note totaled $124,621, comprised of $100,274 of contractual interest and $24,347 for the amortization of the discount. The effective interest rate was 20% prior to the exchange of the Old Alco Note as noted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19, 2022, the Company and Alco entered into an exchange agreement whereby Alco and the Company agreed to the cancellation of the Old Alco Note in exchange for the issuance of a new subordinated convertible promissory note in the principal amount of $2,101,744 (representing the principal amount plus accrued interest under the Old Alco Note) (the “New Alco Note”).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Alco Note as extinguished and recognized a loss on debt extinguishment of $56,653, determined by the sum of the fair value of the New Alco Note in excess of the carrying value of the Old Alco Note less the bifurcated embedded derivative liability at the time of the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and September 2022, the Company issued additional subordinated convertible notes (together with the New Alco Note, the “2022 Related Party Convertible Notes”) for an aggregate amount of $4,200,538 to related parties Alco, Mason Ward and DNX. Between March and September 2023, the Company issued additional subordinate convertible notes (together with the 2022 Related Party Convertible Notes, the “Related Party Convertible Notes”) for an aggregate amount of $2,583,000 to related parties Alco, Mason Ward, DNX and William Bryant. DNX held in excess of 5% of the issued equity of the Company, through its ownership of Series A preferred stock. William Bryant will become a member of the Board of Directors upon completion of the Merger. The Related Party Convertible Notes bear interest at a rate of 8% per annum, and are convertible into the same series of capital stock of the Company to be issued to other investors upon a Qualified Financing (as defined in the agreement) at a conversion price equal to the lesser of (i) 80% of the per share price paid by the cash purchasers of such Qualified Financing Securities (as defined in the agreement) in the Qualified Financing, or (ii) the conversion price obtained by dividing $50,000,000 by the Fully Diluted Capitalization (as defined in the agreement). If not sooner converted or prepaid, the Convertible Notes are payable no later than the earlier of (a) the written demand by the holders of a majority-in-interest of the Notes then outstanding on or after September 1, 2023, (b) consummation of a Liquidity Event (as defined in the agreement), or (c) the written demand by the Majority Holders (as defined in the agreement) after an Event of Default (as defined in the agreement) has occurred. In the event of a Liquidity Event (as defined below) while this Note is outstanding, immediately prior to the closing of such Liquidity Event and in full satisfaction of this Note, an amount equal to the greater of (a) the Outstanding Amount, or (b) two times (2x) the principal amount of this Note then outstanding shall become immediately due and payable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embedded redemption put feature upon an Equity Financing and the optional redemption upon a Liquidity Event at a substantial premium are not clearly and closely related to the debt host instrument, were separated and bundled together, assigned probabilities of being affected and initially measured at fair value. Subsequent changes in fair value of the feature will be recognized in the Consolidated Statement of Operations. The fair value of the bifurcated derivative liability was estimated utilizing the with and without method which uses the probability weighted difference between the scenarios with the derivative and the plain vanilla maturity scenario without a derivative (see </w:t>
      </w:r>
      <w:r>
        <w:rPr>
          <w:rFonts w:ascii="Times New Roman;Times;Serif" w:hAnsi="Times New Roman;Times;Serif"/>
          <w:b w:val="false"/>
          <w:i/>
          <w:caps w:val="false"/>
          <w:smallCaps w:val="false"/>
          <w:sz w:val="20"/>
        </w:rPr>
        <w:t>Note 8-Fair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to the principal amounts are included in the carrying value of the Related Party Convertible Notes and amortized to interest expense over the contractual term of the underlying debt. During 2022, the Company recorded a $1,311,025 debt discount upon issuance of the above described Related Party Convertible Notes, which is comprised of $1,292,777 related to the bifurcated derivative and $18,248 of debt issuance costs. During the year ended December 31, 2023, the Company recorded a $1,126,451 debt discount upon issuance of additional Related Party Convertible Notes. For the year ended December 31, 2023, interest expense on the Related Party Convertible Notes totaled $2,307,013, comprised of $464,071 of contractual interest and $1,842,942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2023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2022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Related Party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all outstanding principal and accrued interest, net of the remaining debt discount, related to the Related Party Convertible Notes, totaling $7,271,368 converted into 22,929 shares the Company’s Class A Common Stock pursuant to the close of the Merger Agreement and application of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and September 2022, the Company issued additional subordinated convertible notes (the “2022 Third Party Convertible Notes”) for an aggregate amount of $1,761,206 to third-party creditors. Between March and September 2023, the Company issued additional subordinate convertible notes (together with the 2022 Third Party Convertible Notes, the “Third Party Convertible Notes”) for an aggregate amount of $1,435,000 to third-party creditors. The Third Party Convertible Notes bear interest at a rate of 8% per annum, and are convertible into the same series of capital stock of the Company to be issued to other investors upon a Qualified Financing (as defined in the agreement) at a conversion price equal to the lesser of (i) 80% of the per share price paid by the cash purchasers of such Qualified Financing Securities (as defined in the agreement) in the Qualified Financing, or (ii) the conversion price obtained by dividing $50,000,000 by the Fully Diluted Capitalization (as defined in the agreement). If not sooner converted or prepaid, the Convertible Notes are payable no later than the earlier of (a) the written demand by the holders of a majority-in-interest of the Notes then outstanding on or after September 1, 2023, (b) consummation of a Liquidity Event (as defined in the agreement), or (c) the written demand by the Majority Holders (as defined in the agreement) after an Event of Default (as defined in the agreement) has occurred. In the event of a Liquidity Event (as defined below) while this Note is outstanding, immediately prior to the closing of such Liquidity Event and in full satisfaction of this Note, an amount equal to the greater of (a) the Outstanding Amount, or (b) two times (2x) the principal amount of this Note then outstanding shall become immediately due and payable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embedded redemption put feature upon an Equity Financing and the optional redemption upon a Liquidity Event at a substantial premium are not clearly and closely related to the debt host instrument, were separated and bundled together, assigned probabilities of being affected and initially measured at fair value. Subsequent changes in fair value of the feature will be recognized in the Consolidated Statement of Operations. The fair value of the bifurcated derivative liability was estimated utilizing the with and without method which uses the probability weighted difference between the scenarios with the derivative and the plain vanilla maturity scenario without a derivative (see </w:t>
      </w:r>
      <w:r>
        <w:rPr>
          <w:rFonts w:ascii="Times New Roman;Times;Serif" w:hAnsi="Times New Roman;Times;Serif"/>
          <w:b w:val="false"/>
          <w:i/>
          <w:caps w:val="false"/>
          <w:smallCaps w:val="false"/>
          <w:sz w:val="20"/>
        </w:rPr>
        <w:t>Note 8-Fair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to the principal amounts are included in the carrying value of the Third Party Convertible Notes and amortized to interest expense over the contractual term of the underlying debt. During 2022, the Company recorded a $548,871 debt discount upon issuance of the Third Party Convertible Notes, which is comprised of $541,223 related to the bifurcated derivative and $7,648 of debt issuance costs. During the year ended December 31, 2023, the Company recorded a $559,390 debt discount upon issuance of additional Third Party Convertible Notes. For the year ended December 31, 2023, interest expense on the Third Party Convertible Notes totaled $1,063,093, comprised of $188,059 of contractual interest and $875,034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2023 Amendment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2022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Conversion of Third Party Convertible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all outstanding principal and accrued interest, net of the remaining debt discount, related to the Third Party Convertible Notes, totaling $3,346,232 converted into 10,597 shares the Company’s Class A Common Stock pursuant to the close of the Merger Agreement and application of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Related Party and Third Party Convertible Notes, respectively, as of December 31,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Related Party and Third Related Party Convertible Notes </w:t>
      </w:r>
    </w:p>
    <w:tbl>
      <w:tblPr>
        <w:tblW w:w="6059" w:type="dxa"/>
        <w:jc w:val="left"/>
        <w:tblInd w:w="0" w:type="dxa"/>
        <w:tblLayout w:type="fixed"/>
        <w:tblCellMar>
          <w:top w:w="0" w:type="dxa"/>
          <w:left w:w="0" w:type="dxa"/>
          <w:bottom w:w="0" w:type="dxa"/>
          <w:right w:w="0" w:type="dxa"/>
        </w:tblCellMar>
      </w:tblPr>
      <w:tblGrid>
        <w:gridCol w:w="3590"/>
        <w:gridCol w:w="60"/>
        <w:gridCol w:w="138"/>
        <w:gridCol w:w="1006"/>
        <w:gridCol w:w="80"/>
        <w:gridCol w:w="60"/>
        <w:gridCol w:w="125"/>
        <w:gridCol w:w="905"/>
        <w:gridCol w:w="95"/>
      </w:tblGrid>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Party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value of the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6,783,538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3,196,206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6,651,671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3,112,518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(7,271,368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(3,346,232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notes and 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Related Party and Third Party Convertible Notes, respectively, as of December 31, 2022:</w:t>
      </w:r>
    </w:p>
    <w:p>
      <w:pPr>
        <w:pStyle w:val="TextBody"/>
        <w:bidi w:val="0"/>
        <w:spacing w:before="0" w:after="0"/>
        <w:ind w:left="0" w:right="0" w:hanging="0"/>
        <w:jc w:val="both"/>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3590"/>
        <w:gridCol w:w="60"/>
        <w:gridCol w:w="147"/>
        <w:gridCol w:w="997"/>
        <w:gridCol w:w="80"/>
        <w:gridCol w:w="60"/>
        <w:gridCol w:w="125"/>
        <w:gridCol w:w="845"/>
        <w:gridCol w:w="95"/>
      </w:tblGrid>
      <w:tr>
        <w:trPr/>
        <w:tc>
          <w:tcPr>
            <w:tcW w:w="35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Party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value of the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1,761,206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(849,656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(398,034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notes and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1,408,826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Promissory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Promissory Notes-Related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The Company recorded a $3,711 debt discount upon issuance of the Alco August Promissory Note. For the year ended December 31, 2023, interest expense on the Alco August Promissory Note totaled $4,494, comprised of $4,044 of contractual accrued interest and $450 for the amortization of the discount. As of December 31, 2023, $150,000 of principal and $4,044 of accrued interest is outstanding under the Alco August Promissory Note recorded in note payable-related party on the balance sheets.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Investment Company, a related party. The Alco September Promissory Note bears interest at a rate of 8% per annum. The outstanding principal and accrued interest are due and payable on January 10, 2024. The Company recorded $8,588 of debt issuance costs and a $638,808 debt discount upon issuance of the Alco September Promissory Note, relating to the share transfer agreements, see below. For the year ended December 31, 2023, interest expense on the Alco September Promissory Note totaled $478,815, comprised of $30,575 of contractual accrued interest and $448,240 for the amortization of the discount. As of December 31, 2023, $1,500,000 of principal and $30,575 of accrued interest is outstanding under the Alco September Promissory Note recorded in note payable-related party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Alco September Promissory Note, the Company, 7GC and the Sponsor entered into a share transfer agreement (the “Alco October Share Transfer Agreement”) with Alco Investment Company, pursuant to which for each $500.00 in principal borrowed under the Alco September Promissory Note, the Sponsor agreed to forfeit one share of 7GC Class B Common Stock held by the Sponsor, in exchange for the right of Alco to receive one New Banzai Class A Share, in each case, at (and contingent upon) the Closing, with such forfeited and issued shares capped at an amount equal to 3,000. Pursuant to the Alco October Share Transfer Agreement,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are due and payable on April 13, 2024. The Company recorded a $363,905 debt discount upon issuance of the Alco November Promissory Note relating to the share transfer agreements, see below. For the year ended December 31, 2023, interest expense on the Alco November Promissory Note totaled $94,005, comprised of $7,397 of contractual accrued interest and $86,608 for the amortization of the discount. As of December 31, 2023, $750,000 of principal and $7,397 of accrued interest is outstanding under the Alco November Promissory Note recorded in note payable-related party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Alco November Promissory Note, the Company, 7GC and the Sponsor entered into a share transfer agreement (the “November 2023 Share Transfer Agreement”) with Alco Investment Company, pursuant to which for each $500.00 in principal borrowed under the Alco November Promissory Note, the Sponsor agreed to forfeit one share of 7GC Class B Common Stock held by the Sponsor, in exchange for the right of Alco to receive one New Banzai Class A Share, in each case, at (and contingent upon) the Closing, with such forfeited and issued shares capped at an amount equal to 1,500. Pursuant to the November 2023 Transfer Agreement,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year ended December 31, 2023, interest expense on the Alco December Promissory Note totaled $39,087, comprised of $7,890 of contractual accrued interest and $31,197 for the amortization of the discount. As of December 31, 2023, $2,000,000 of principal and $7,890 of accrued interest is outstanding under the Alco December Promissory Note recorded in note payable - related party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Alco December Promissory Note, the Company, 7GC and the Sponsor entered into a share transfer agreement (the “December 2023 Share Transfer Agreement”, together with the November 2023 Share Transfer Agreement and Alco October Share Transfer Agreement, the “Alco Share Transfer Agreements”) with Alco Investment Company, pursuant to which for each $500.00 in principal borrowed under the December 2023 Note, the Sponsor agreed to forfeit three shares of 7GC Class B Common Stock held by the Sponsor, in exchange for the right of Alco to receive three New Banzai Class A Shares, in each case, at (and contingent upon) the Closing, with such forfeited and issued shares capped at an amount equal to 12,000. Pursuant to the December Share 2023 Transfer Agreement,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Share Transfer Agreements, the Company considered the guidance under ASC 815, Derivatives and Hedging,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September Promissory Note, of which $1,000,000 was drawn on September 13, 2023, the DLOM was estimated using the put option models described above and the following assumptions: a holding period for the shares of 272 days (approximately 0.77 years) measured from the date of issuance of the $1,000,000 of proceeds under the September Note through the issuance of the shares under the Alco October Share Transfer Agreement on December 14, 2023 at which time the 180-day lock-up period commenced; a re-levered equity volatility estimated using guideline public companies of 54.0%; and a risk-free rate commensurate with the term of 5.3%. The put option models provided a DLOM range of 10.7% to 16.0% and the concluded DLOM was estimated to be 12.5%. The Company’s expected percentage of completing the Merger on this date was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remaining $500,000 drawn on the Alco September Promissory Note on October 3, 2023, the DLOM was estimated using the put option models described above and the following assumptions: a holding period for the shares of 252 days (approximately 0.72 years) measured from the date of issuance of the remaining $500,000 of proceeds under the September Note through the issuance of the shares under the Alco October Share Transfer Agreement on December 14, 2023 at which time the 180-day lock-up period commenced; a re-levered equity volatility estimated using guideline public companies of 52.0%; and a risk-free rate commensurate with the term of 5.4%. The put option models provided a DLOM range of 10.0% to 15.0% and the concluded DLOM was estimated to be 11.5%. The Company’s expected percentage of completing the Merger on this date was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November Promissory Note, the DLOM was estimated using the put option models described above and the following assumptions: a holding period for the shares of 208 days (approximately 0.60 years) measured from the issuance date of the November Note through the issuance of the shares under the November 2023 Share Transfer Agreement on December 14, 2023 at which time the 180-day lock-up period commenced; a re-levered equity volatility estimated using guideline public companies of 54.0%; and a risk-free rate commensurate with the term of 5.2%. The put option models provided a DLOM range of 9.5% to 15.0% and the concluded DLOM was estimated to be 11.5%. The Company’s expected percentage of completing the Merger on this date was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Alco December Promissory Note, the DLOM was estimated using the put option models described above and the following assumptions: a holding period for the shares of 180 days (approximately 0.49 years) measured from the issuance date of the December Note through the issuance of the shares under the December 2023 Share Transfer Agreement on December 14, 2023 at which time the 180-day lock-up period commenced; a re-levered equity volatility estimated using guideline public companies of 47.0%; and a risk-free rate commensurate with the term of 5.2%. The put option models provided a DLOM range of 7.5% to 12.0% and the concluded DLOM was estimated to be 9.0%. The Company’s expected percentage of completing its Business Combination on this date was 100%.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Modification of Alco September Promissory Note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September 2023 Alco Promissory Note was amended to extend the maturity date to September 30, 2024. Alco is a related party to the Company due to its ownership of over 10% of the issued equity of the Company. The Company evaluated the terms of the Amendment in accordance with ASC 470-60, Troubled Debt Restructurings, and ASC 470-50, Debt Modifications and Extinguishments. The Company determined that the Company was granted a concession by the lender based on the decrease of the effective borrowing rate resulting from the First Amendment. Accordingly, the Company accounted for the Amendment as a troubled debt restructuring. As a result, the Company accounted for the troubled debt restructuring by calculating a new effective interest rate for the Amendment based on the carrying amount of the debt and the present value of the revised future cash flow payment stream. The troubled debt restructuring did not result in recognition of a gain or loss in the consolidated statement of operations but does impact interest expense to be recognized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Promissory Notes-7GC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two promissory notes in connection with the Merger which remained outstanding as of December 31, 2023. The promissory notes were issued on December 21, 2022 for a principal amount of $2,300,000 (“December 2022 7GC Note”) and on October 3, 2023 for a principal amount of $250,000 (“October 2023 7G Note, together with the December 2022 7GC Note, the “7GC Promissory Notes”). The 7GC Promissory Notes were issued to the Sponsor, 7GC &amp; Co. Holdings LLC. The 7GC Promissory Notes do not bear interest and were repayable in full upon the earlier of the consummation of a business combination or the date the Company liquidates the trust account (the “Trust Account”) established in connection with the Company’s initial public offering (the “IPO”) upon the failure of the Company to consummate a business combination within the requisite time period. Under the original terms of the 7GC Promissory Notes, the Sponsor has the option, but not the obligation, to convert the principal balance of the Note, in whole or in part, into that number of shares of Class A common stock, $0.0001 par value per share, of the Company equal to the principal amount of the Note so converted divided by $10.00. As of December 31, 2023 and the Merger date, $2,550,000 was outstanding under the 7GC Promissory Notes. The combined balance of the outstanding amount of $2,550,000 offset by the effect of the modification as discussed below of $9,909 results in the $2,540,091 balance recorded on Consolidated Balance Sheets in Convertible notes-related party. See </w:t>
      </w:r>
      <w:r>
        <w:rPr>
          <w:rFonts w:ascii="Times New Roman;Times;Serif" w:hAnsi="Times New Roman;Times;Serif"/>
          <w:b w:val="false"/>
          <w:i/>
          <w:caps w:val="false"/>
          <w:smallCaps w:val="false"/>
          <w:sz w:val="20"/>
        </w:rPr>
        <w:t xml:space="preserve">Note 6-Related Party Transactions </w:t>
      </w:r>
      <w:r>
        <w:rPr>
          <w:rFonts w:ascii="Times New Roman;Times;Serif" w:hAnsi="Times New Roman;Times;Serif"/>
          <w:b w:val="false"/>
          <w:i w:val="false"/>
          <w:caps w:val="false"/>
          <w:smallCaps w:val="false"/>
          <w:sz w:val="20"/>
        </w:rPr>
        <w:t xml:space="preserve">for further details of these transactions and associated balances and </w:t>
      </w:r>
      <w:r>
        <w:rPr>
          <w:rFonts w:ascii="Times New Roman;Times;Serif" w:hAnsi="Times New Roman;Times;Serif"/>
          <w:b w:val="false"/>
          <w:i/>
          <w:caps w:val="false"/>
          <w:smallCaps w:val="false"/>
          <w:sz w:val="20"/>
        </w:rPr>
        <w:t>Note 21-Subsequent Events</w:t>
      </w:r>
      <w:r>
        <w:rPr>
          <w:rFonts w:ascii="Times New Roman;Times;Serif" w:hAnsi="Times New Roman;Times;Serif"/>
          <w:b w:val="false"/>
          <w:i w:val="false"/>
          <w:caps w:val="false"/>
          <w:smallCaps w:val="false"/>
          <w:sz w:val="20"/>
        </w:rPr>
        <w:t xml:space="preserve"> for details related to the subsequent conversion of the 7GC Promissory Notes,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Modification of Promissory Notes-7GC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2023, in connection with the Merger, the Sponsor came to a non-binding agreement (“First Amendment”) with the Company to amend the optional conversion provision of the 7GC Promissory Notes. The First Amendment provided that the holder has the right to elect to convert up to the full amount of the principal balance of the 7GC Promissory Notes, in whole or in part, 30 days after the closing of the Merger (the “Closing”) at a conversion price equal to the average daily VWAP of Class A Common Stock for the 30 trading days following the Closing. This amendment was deemed to be a debt modification in accordance with ASC 470, Debt, which will be accounted for prospectively. Modification does not result in recognition of a gain or loss in the consolidated statement of operations but does impact interest expense recognized in the future. Pursuant to ASC 470, if the modification or exchange of a convertible debt instrument is not accounted for as an extinguishment, the accounting for the change in the fair value of the embedded conversion option which increases the value of the embedded conversion option (calculated as the difference between the fair value of the embedded conversion option immediately before and after the modification or exchange) is recorded as a reduction to the carrying amount of the 7GC Promissory Notes with a corresponding increase to additional paid in capital. At the time of modification, it was determined the embedded conversion option value increased by $9,909 and was recorded as a reduction to the carrying amount of the 7GC Promissory Notes which are recorded on the Consolidated Balance Sheets in Convertible notes-related party.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Convertible Promissory Notes (Yorkville)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18-Equity</w:t>
      </w:r>
      <w:r>
        <w:rPr>
          <w:rFonts w:ascii="Times New Roman;Times;Serif" w:hAnsi="Times New Roman;Times;Serif"/>
          <w:b w:val="false"/>
          <w:i w:val="false"/>
          <w:caps w:val="false"/>
          <w:smallCaps w:val="false"/>
          <w:sz w:val="20"/>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“Yorkville Convertible Note”) and $1,500,000 of which (the “Second Tranche”) will be funded upon the effectiveness of a registration statement for the resale under the Securities Act by Yorkville of the shares of Class A common stock issued under the SEPA pursuant to an Advance requested to be included in such registration statement; provided that if at the time of the initial filing of the registration statement, shares issuable under the Exchange Cap multiplied by the closing price on the day prior to such filing is less than $7,000,000, the Second Tranche will be further conditioned upon the Company obtaining stockholder approval to exceed the Exchange Cap. The registration statement was declared effective on February 14, 2024, and the value of shares issuable upon the initial filing of the registration statement was less than $7,000,000. On March 25, 2024 the Company obtained stockholder approval to exceed the Exchange Cap and the Second Tranche was 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net proceeds of $1,800,000 million after a non-cash original issue discount of $.2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Convertible Note has a maturity date of June 14, 2024, and accrues interest at 0% per annum, subject to an increase to 18% per annum upon events of default as defined in the agreement. As of December 31, 2023,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Yorkville has the right to convert any portion of the outstanding principal into shares of Class A common stock at any time. The number of shares issuable upon conversion is equal to the amount of principal to be converted (as specified by Yorkville) divided by the Conversion Price (as defined in the Standby Equity Purchase Agreement disclosure below).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of certain triggering events, as defined in the Yorkville Convertible Note agreement (each an “Amortization Event”), the Company may be required to make monthly repayments of amounts outstanding under the Yorkville Convertible Note, with each monthly repayment to be in an amount equal to the sum of (x) $1,000,000, plus (y) 10% in respect of such amount, and (z) all outstanding accrued and unpaid interest as of each payment date. See </w:t>
      </w:r>
      <w:r>
        <w:rPr>
          <w:rFonts w:ascii="Times New Roman;Times;Serif" w:hAnsi="Times New Roman;Times;Serif"/>
          <w:b w:val="false"/>
          <w:i/>
          <w:caps w:val="false"/>
          <w:smallCaps w:val="false"/>
          <w:sz w:val="20"/>
        </w:rPr>
        <w:t xml:space="preserve">Note 21-Subsequent Events </w:t>
      </w:r>
      <w:r>
        <w:rPr>
          <w:rFonts w:ascii="Times New Roman;Times;Serif" w:hAnsi="Times New Roman;Times;Serif"/>
          <w:b w:val="false"/>
          <w:i w:val="false"/>
          <w:caps w:val="false"/>
          <w:smallCaps w:val="false"/>
          <w:sz w:val="20"/>
        </w:rPr>
        <w:t>for details related to the receipt by the Company of a an amortization event waiver, from Yorkville, in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principal amount outstanding under the Yorkville Convertible Note is $2 million. During the year ended December 31, 2023, the Company recorded interest expense of $0 in connection with the Yorkville Convertible Note.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Yorkville Convertible Note is required to be measured at fair value pursuant to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at the date of issuance, December 14, 2023, and in subsequent reporting periods, due to the variable share-settled feature described above in which, if converted, the value to be received by Yorkville fluctuates based on something other than the fair value of the Company’s common stock. The fair value of the Yorkville Convertible Note as of December 14, 2023 and December 31, 2023 was $1,800,000 and $1,766,000, respectively. The Company used a Monte Carlo simulation model in order to determine the Yorkville Convertible Note’s fair value at December 14, 2023, with the following inputs: the fair value of the Company’s common stock of $10.96 on the issuance date, estimated equity volatility of 43%, the time to maturity of 0.5 years, a discounted market interest rate of 14.9%, a risk free rate of 5.30%, and probability of optional redemption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recorded a gain of $34,000 related to the change in fair value of the Yorkville Convertible Note liability. The Company used a Monte Carlo simulation model in order to determine the Yorkville Convertible Note’s fair value at December 31, 2023, with the following inputs: the fair value of the Company’s common stock of $1.88 on December 31, 2023, estimated equity volatility of 71%, the time to maturity of 0.46 years, a discounted market interest rate of 14%, a risk free rate of 5.28%, and probability of optional redemption 10.0%.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 and Convertible Notes (CP BF)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entered into a loan agreement with CP BF Lending, LLC (“CP BF”) for $8,000,000 (the “Loan Agreement”). The Loan Agreement was comprised of a Term Note for $6,500,000 and a Convertible Note for $1,500,000, with the option upon the request of the Company for Additional Loan (“Additional Loan”) principal amount of up to $7,000,000, evidenced by additional notes with 81.25% of the principal amount of such Additional Loan being evidenced by a Term Note, and 18.75% of the principal amount of such an Additional Loan being evidenced by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If not sooner converted or prepaid, the Convertible Note principal together with accrued and unpaid interest thereon, unpaid fees and expenses and any other Obligations then due, shall be paid on the Loan Maturity Date. Upon the occurrence, and during the continuance, of an Event of Default (as defined in the agreement), interest on the Term Note will bear cash interest at a per annum rate of 20% (“Default Rate”) and no PIK interest shall accrue at any time during an Event of Default and the Convertible Note will bear PIK Interest at a per annum at the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may voluntarily prepay the Principal of the Loans, in accordance with their terms, in whole or in part at any time. On the date of any such prepayment, the Company will owe to Lender: (i) all accrued and unpaid Cash Interest with respect to the principal amount so prepaid through the date the prepayment is made; (ii) if such prepayment is prior to the twelve-month anniversary of the Closing Date, all unpaid interest (including for the avoidance of doubt, PIK Interest and Cash Interest) with respect to the principal amount so prepaid that would have been due and payable on or prior to the twelve-month anniversary of the Closing Date had the Loans remained outstanding until such twelve-month anniversary date (the “Yield Maintenance Premium”); (iii)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(iv) all other Obligations, if any, that shall have become due and payable hereunder with respect to the principal amount so prepaid.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including restrictions on the Company’s ability to incur indebtedness, grant liens or security interest on assets, make acquisitions, loans, advances or investments, or sell or otherwise transfer assets, among others. The Loan Agreement also contains other financial covenants related to minimum gross profit margin, minimum ARR (Annual Recurring Revenue) growth rate, and fixed charge ratio, among other financial covenants per the terms of the Loan Agreement. The Loan Agreement is secured by a first-priority Lien (subject to Permitted Liens) on and security interest in the Collateral pursuant to the terms of the Collateral Documents. The Loan Agreement named Joseph Davy, CEO, as Guarantor, and per the term of the Loan Agreement, he is willing to guarantee the full payment, performance and collection of all of the Credit Parties’ obligations thereunder and under the Loan Agreement, all as further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at any time thereafter unless and until such Event of Default has been waived by CP BF or cured to the satisfaction of Lender, subject to the exercise of customary commercial underwriting standards in determining such satisfaction, Lender may, without notice or demand to the Credit Parties declare the unpaid principal of and any accrued interest shall be immediately due and payable. While the Company and the Lender are engaged in good faith discussions to resolve these matters, no agreement to resolve such matters has been reached and all of the Loans remain in default for the reasons stated above, and the Lender is not presently exercising remedies, which the Lender reserves the right to so do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capitalized $310,589 and $71,674 of costs associated with the issuance of the Term Note and Convertible Notes, respectively, and amortizes these costs to interest expense over the term of the debt, using the effective interest method. The capitalized debt issuance costs are presented as a reduction of the carrying value of the Term Note and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$3,000. Subsequent changes in fair value of the feature will be recognized as a gain or loss in the Consolidated Statement of Operations. The fair value of the bifurcated derivative liability was estimated utilizing the with and without method which uses the probability weighted difference between the scenarios with the derivative and the plain vanilla maturity scenario without a derivative (See </w:t>
      </w:r>
      <w:r>
        <w:rPr>
          <w:rFonts w:ascii="Times New Roman;Times;Serif" w:hAnsi="Times New Roman;Times;Serif"/>
          <w:b w:val="false"/>
          <w:i/>
          <w:caps w:val="false"/>
          <w:smallCaps w:val="false"/>
          <w:sz w:val="20"/>
        </w:rPr>
        <w:t>Note 8-Fair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to the principal amounts, relating to the debt issuance costs and embedded features, are included in the carrying value of the Convertible Notes and amortized to interest expense over the remaining term of the underlying debt. During 2022, the Company recorded a $2,000 debt discount upon issuance of the Convertible Notes. For the year ended December 31, 2023, interest expense on the Term Note totaled $1,140,106, comprised of $1,058,230 of contractual interest and $81,876 for the amortization of the discount. The effective interest rate for the Term Note was 16% for years ended December 31, 2023 and 2022. For the year ended December 31, 2023, interest expense on the Convertible Notes totaled $422,507, comprised of $395,575 of contractual interest and $26,932 for the amortization of the discount. The effective interest rate for the CP BF Convertible Note and First Amendment Convertible Note was 16% for the years ended December 31, 2023 and 2022. For the year ended December 31, 2022, interest expense on the Term Note totaled $1,110,296, comprised of $1,042,291 of contractual interest and $68,006 for the amortization of the discount. For the year ended December 31, 2022, interest expense on the Convertible Notes totaled $319,743, comprised of $303,121 of contractual interest and $16,622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Modification of Term and Convertible Notes (CP BF)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2023, the Company entered into a forbearance agreement (the “Forbearance Agreement”) with CP BF Lending. Under the terms of this Forbearance Agreement, and as a result of the Company’s non-compliance with certain covenants of its Loan Agreement with CP BF, CP BF agreed to (i) amend certain provisions of the Loan Agreement to clarify the treatment of the Merger with 7GC under the Loan Agreement, (ii) consent to the consummation of the Merger Agreement with 7GC and (iii) forbear from exercising any of its rights and remedies under the Loan Agreement with the Company from the effective date of the Forbearance Agreement until the earlier of (a) the four-month anniversary of the closing of the Merger if the Merger is closed on or prior to December 29, 2023, (b) December 29, 2023 if the Merger is not consummated on or prior to December 29, 2023 or (c) the date on which any Termination Event (as defined within the Forbearance Agreement) shall have occurred. In connection with the Forbearance Agreement, CP BF and the Company also agreed to amend and restate CP BF’s existing convertible promissory notes (the “A&amp;R CP BF Notes”) so that they may remain outstanding following the closing of the Merger and, at CP BF’s option, be convertible into Class A shares of the combined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First Amendment to the Forbearance Agreement with the Lender. In particular, the Company agreed to pay the Lender an amount in cash equal to $23,748 (the “Amendment Fee”) on the execution date to extend the forbearance period from the four-month anniversary of the closing of the Merger to the six-month anniversary of the closing of the Merger. This amendment was deemed to be a debt modification in accordance with ASC 470, Debt, which will be accounted for prospectively. Modification does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convertible notes as of December 31, 2023:</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Convertible Notes</w:t>
      </w:r>
    </w:p>
    <w:tbl>
      <w:tblPr>
        <w:tblW w:w="5315" w:type="dxa"/>
        <w:jc w:val="left"/>
        <w:tblInd w:w="0" w:type="dxa"/>
        <w:tblLayout w:type="fixed"/>
        <w:tblCellMar>
          <w:top w:w="0" w:type="dxa"/>
          <w:left w:w="0" w:type="dxa"/>
          <w:bottom w:w="0" w:type="dxa"/>
          <w:right w:w="0" w:type="dxa"/>
        </w:tblCellMar>
      </w:tblPr>
      <w:tblGrid>
        <w:gridCol w:w="4190"/>
        <w:gridCol w:w="60"/>
        <w:gridCol w:w="125"/>
        <w:gridCol w:w="845"/>
        <w:gridCol w:w="95"/>
      </w:tblGrid>
      <w:tr>
        <w:trPr/>
        <w:tc>
          <w:tcPr>
            <w:tcW w:w="4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value of the CB BF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1,821,345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CB BF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1,779,362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914,479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CB BF convertible notes and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2,693,841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convertible notes as of December 31, 2022:</w:t>
      </w:r>
    </w:p>
    <w:p>
      <w:pPr>
        <w:pStyle w:val="TextBody"/>
        <w:bidi w:val="0"/>
        <w:spacing w:before="0" w:after="0"/>
        <w:ind w:left="0" w:right="0" w:hanging="0"/>
        <w:jc w:val="both"/>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4190"/>
        <w:gridCol w:w="60"/>
        <w:gridCol w:w="125"/>
        <w:gridCol w:w="845"/>
        <w:gridCol w:w="95"/>
      </w:tblGrid>
      <w:tr>
        <w:trPr/>
        <w:tc>
          <w:tcPr>
            <w:tcW w:w="4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value of the CB BF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1,821,345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CB BF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1,757,630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518,904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CB BF convertible notes and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2,276,534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term note as of December 31, 2023:</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Term Notes</w:t>
      </w:r>
    </w:p>
    <w:tbl>
      <w:tblPr>
        <w:tblW w:w="4670" w:type="dxa"/>
        <w:jc w:val="left"/>
        <w:tblInd w:w="0" w:type="dxa"/>
        <w:tblLayout w:type="fixed"/>
        <w:tblCellMar>
          <w:top w:w="0" w:type="dxa"/>
          <w:left w:w="0" w:type="dxa"/>
          <w:bottom w:w="0" w:type="dxa"/>
          <w:right w:w="0" w:type="dxa"/>
        </w:tblCellMar>
      </w:tblPr>
      <w:tblGrid>
        <w:gridCol w:w="3545"/>
        <w:gridCol w:w="60"/>
        <w:gridCol w:w="125"/>
        <w:gridCol w:w="845"/>
        <w:gridCol w:w="95"/>
      </w:tblGrid>
      <w:tr>
        <w:trPr/>
        <w:tc>
          <w:tcPr>
            <w:tcW w:w="35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value of the CB BF term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CB BF term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6,370,414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289,373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CB BF term note and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6,659,787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CP BF term note as of December 31, 2022:</w:t>
      </w:r>
    </w:p>
    <w:p>
      <w:pPr>
        <w:pStyle w:val="TextBody"/>
        <w:bidi w:val="0"/>
        <w:spacing w:before="0" w:after="0"/>
        <w:ind w:left="0" w:right="0" w:hanging="0"/>
        <w:jc w:val="both"/>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3545"/>
        <w:gridCol w:w="60"/>
        <w:gridCol w:w="125"/>
        <w:gridCol w:w="845"/>
        <w:gridCol w:w="95"/>
      </w:tblGrid>
      <w:tr>
        <w:trPr/>
        <w:tc>
          <w:tcPr>
            <w:tcW w:w="35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value of the CB BF term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of the CB BF term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6,307,089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CB BF term note and accrued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6,494,051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Public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230,000 Public Warrants in the Merger which remained outstanding as of December 31, 2023. The Public Warrants have an exercise price of $575.00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that as soon as practicable, but in no event later than 15 business days after the closing of the Merger, it will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If a registration statement covering the shares of Class A common stock issuable upon exercise of the warrants is not effective by the 60th business day after the closing of the Merger, the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and, in the event the Company so elects, the Company will not be required to file or maintain in effect a registration statement, but it will use its best efforts to register or qualify the shares under applicable blue sky laws to the extent an exemption is not available. In such event, each holder would pay the exercise price by surrendering the Public Warrants for that number of shares of Class A Common Stock equal to the quotient obtained by dividing (x) the product of the number of shares of Class A Common Stock underlying the Public Warrants, multiplied by the excess of the “fair market value” (as defined below) less the exercise price of the Public Warrants by (y) the fair market value. The “fair market value” as used in this paragraph shall mean the average last sale price of Class A Common Stock for the 10 trading days ending on the third trading day prior to the date on which the notice of redemption is sent to the warrant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Public Warrants When the price per Share of Class A Common Stock Equals or Exceeds $900.00. Once the Public Warrants become exercisable, the Company may redeem the outstanding Public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$900.00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$900.00 redemption trigger price (as adjusted for adjustments to the number of shares issuable upon exercise or the exercise price of a Public Warrant as described under the heading “-Warrants-Public Stockholder Warrants-Anti-dilution Adjustments”) as well as the $575.00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Financing Arrangement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See </w:t>
      </w:r>
      <w:r>
        <w:rPr>
          <w:rFonts w:ascii="Times New Roman;Times;Serif" w:hAnsi="Times New Roman;Times;Serif"/>
          <w:b w:val="false"/>
          <w:i/>
          <w:caps w:val="false"/>
          <w:smallCaps w:val="false"/>
          <w:sz w:val="20"/>
        </w:rPr>
        <w:t xml:space="preserve">Note 21-Subsequent Events </w:t>
      </w:r>
      <w:r>
        <w:rPr>
          <w:rFonts w:ascii="Times New Roman;Times;Serif" w:hAnsi="Times New Roman;Times;Serif"/>
          <w:b w:val="false"/>
          <w:i w:val="false"/>
          <w:caps w:val="false"/>
          <w:smallCaps w:val="false"/>
          <w:sz w:val="20"/>
        </w:rPr>
        <w:t>for details related to the subsequent execution of the GEM Settlement Agreement and issuance of the final GEM convertible promissory note,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GEM Warrant automatically became an obligation of the Company, and on December 15, 2023, the Company issued the GEM Warrant granting GEM the right to purchase 828,533 shares at an exercise price of $6.49 per share. The exercise price will be adjusted to 105% of the then-current exercise price if on the one-year anniversary date of the Effective Time, the GEM Warrant has not been exercised in full and the average closing price per share of Class A Common Stock for the 10 days preceding the anniversary date is less than 90% of the initial exercise price.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not considered indexed to the issuer’s stock pursuant to ASC 815, as the holder’s ability to receive one percent of the total consideration received by the Company’s stockholders in connection with a Change of Control in lieu of the Warrant,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1to conversion). The fair value of the Warrants on the grant date, as determined by the Monte Carlo simulation option pricing model, was $2,448,000 on December 15, 2023. The Company determined the Warrants were share issuance costs associated with an aborted offering. ASC 340 notes aborted offering costs may not be deferred and charged against proceeds of a subsequent offering. As such, the Company will record an expense for the corresponding fair value. As of December 31, 2023, the fair value of the Warrants, as determined by the Monte Carlo simulation option pricing model, was $641,000.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16. Simple Agreements for Future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Simple Agreements for Future Equity-Related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2021, the Company entered into Simple Agreements for Future Equity (SAFE) arrangements with related parties Alco, DNX and William Bryant (See </w:t>
      </w:r>
      <w:r>
        <w:rPr>
          <w:rFonts w:ascii="Times New Roman;Times;Serif" w:hAnsi="Times New Roman;Times;Serif"/>
          <w:b w:val="false"/>
          <w:i/>
          <w:caps w:val="false"/>
          <w:smallCaps w:val="false"/>
          <w:sz w:val="20"/>
        </w:rPr>
        <w:t>Note 14-Debt</w:t>
      </w:r>
      <w:r>
        <w:rPr>
          <w:rFonts w:ascii="Times New Roman;Times;Serif" w:hAnsi="Times New Roman;Times;Serif"/>
          <w:b w:val="false"/>
          <w:i w:val="false"/>
          <w:caps w:val="false"/>
          <w:smallCaps w:val="false"/>
          <w:sz w:val="20"/>
        </w:rPr>
        <w:t>, for a description of the related party relationship with these entities) (the “Related Party SAFEs”) pursuant to which the Company received gross proceeds in the amount of $3,567,000. In the event of an Equity Financing (as defined in the SAFEs agreements), the Related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Related Party SAFEs will be entitled to receive cash or shares of the Company’s common or preferred stock. The Related Party SAFEs were recorded as a liability in accordance with the applicable accounting guidance as they are redeemable for cash upon contingent events that are outside of the Company’s control. The initial fair value of the Related Party SAFE liability was $3,567,000. Subsequent changes in fair value at each reporting period are recognized in the consolidated statement of operations. For the years ended December 31, 2023 and 2022, the Company recognized a gain of $2,752,430 and loss of $4,078,431, respectively, for the change in fair value of the Related Party SAFE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combination of scenario-based methods and Monte Carlo simulation to determine the fair value of the Related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2022, the Company modified the SAFE agreements pursuant to approval by the holders. In accordance with the modified terms, in the event of an Equity Financing or SPAC Transaction, the Related Party SAFEs will automatically convert into shares of the Company’s common or preferred stock at the lesser of (a) the Discount Price for an Equity Financing (Liquidity Price (as defined in the agreements) for a SPAC Transaction) or (b) the conversion price obtained by dividing $50,000,000 by the Fully Diluted Capitalization (as defined in the agreements). Upon modification, the Company calculated the fair value of the Related Party SAFE liability immediately before and immediately after the modification which resulted in the recognition of a loss for the change in fair value of $1,602,174.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all outstanding principal related to the Related Party SAFEs at a carrying value of $6,049,766 converted into 11,039 shares the Company’s Class A Common Stock pursuant to the close of the Merger Agreement and application of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Simple Agreements for Future Equity-Third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Simple Agreements for Future Equity (SAFE) arrangements with third party investors (the “Third Party SAFEs”) pursuant to which the Company received gross proceeds in the amount of $269,000. In the event of an Equity Financing (as defined in the SAFEs agreements), the Third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Third Party SAFEs will be entitled to receive cash or shares of the Company’s common or preferred stock. The Third Party SAFEs were recorded as a liability in accordance with the applicable accounting guidance as they are redeemable for cash upon contingent events that are outside of the Company’s control. The initial fair value of the Third Party SAFE liability was $269,000. Subsequent changes in fair value at each reporting period are recognized in the Consolidated Statement of Operations. For the years ended December 31, 2023 and 2022, the Company recognized a gain of $207,570 and a loss of $307,569, respectively, for the change in fair value of the Third Party SAFE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combination of scenario-based methods and Monte Carlo simulation to determine the fair value of the Third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2022, the Company modified the Third Party SAFE agreements pursuant to approval by the holders. In accordance with the modified terms, in the event of an Equity Financing or SPAC Transaction, the Third Party SAFEs will automatically convert into shares of the Company’s common or preferred stock at the lesser of (a) the Discount Price for an Equity Financing (Liquidity Price (as defined in the agreements) for a SPAC Transaction) or (b) the conversion price obtained by dividing $50,000,000 by the Fully Diluted Capitalization (as defined in the agreements). Upon modification, the Company calculated the fair value of the Third Party SAFE liability immediately before and immediately after the modification which resulted in the recognition of a loss for the change in fair value of $120,826.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all outstanding principal related to the Third Party SAFEs at a carrying value of $456,234 converted into 833 shares the Company’s Class A Common Stock pursuant to the close of the Merger Agreement and application of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17. Commitments and Contingencies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its real estate across multiple states. The operating leases have remaining lease terms of approximately 0.76 years as of December 31, 2023 and consist primarily of office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agreements generally do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leases contain escalation clauses and renewal options. The Company is not reasonably certain that renewal options will be exercised upon expiration of the initial terms of its existing leases. Prior to adoption of ASU 2016-02 effective January 1, 2022, the Company accounted for operating lease transactions by recording lease expense on a straight-line basis over the expected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evaluating long-lived assets for recoverability, the Company calculated the fair value of the sublease using its best estimate of future cash flows expected to result from the use of the asset. When undiscounted cash flows to be generated through the sublease is less than the carrying value of the underlying asset, the asset is deemed impaired. If it is determined that assets are impaired, an impairment loss is recognized for the amount that the asset’s book value exceeds its fair value. Based on the expected future cash flows, the Company recognized an impairment loss upon adoption of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of $303,327. The impairment loss was recorded to impairment loss on lease on the consolidated statement of operations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Lease Expense </w:t>
      </w:r>
    </w:p>
    <w:tbl>
      <w:tblPr>
        <w:tblW w:w="5607" w:type="dxa"/>
        <w:jc w:val="left"/>
        <w:tblInd w:w="0" w:type="dxa"/>
        <w:tblLayout w:type="fixed"/>
        <w:tblCellMar>
          <w:top w:w="0" w:type="dxa"/>
          <w:left w:w="0" w:type="dxa"/>
          <w:bottom w:w="0" w:type="dxa"/>
          <w:right w:w="0" w:type="dxa"/>
        </w:tblCellMar>
      </w:tblPr>
      <w:tblGrid>
        <w:gridCol w:w="2525"/>
        <w:gridCol w:w="60"/>
        <w:gridCol w:w="192"/>
        <w:gridCol w:w="1164"/>
        <w:gridCol w:w="123"/>
        <w:gridCol w:w="92"/>
        <w:gridCol w:w="192"/>
        <w:gridCol w:w="1164"/>
        <w:gridCol w:w="95"/>
      </w:tblGrid>
      <w:tr>
        <w:trPr/>
        <w:tc>
          <w:tcPr>
            <w:tcW w:w="25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w:t>
            </w:r>
            <w:r>
              <w:rPr>
                <w:rFonts w:ascii="Times New Roman;Times;Serif" w:hAnsi="Times New Roman;Times;Serif"/>
                <w:b w:val="false"/>
                <w:i w:val="false"/>
                <w:caps w:val="false"/>
                <w:smallCaps w:val="false"/>
                <w:sz w:val="20"/>
              </w:rPr>
              <w:t xml:space="preserve">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lease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199,611</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impairment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Sublease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(204,324</w:t>
            </w:r>
          </w:p>
        </w:tc>
        <w:tc>
          <w:tcPr>
            <w:tcW w:w="1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(income)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(4,713</w:t>
            </w:r>
          </w:p>
        </w:tc>
        <w:tc>
          <w:tcPr>
            <w:tcW w:w="1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317,222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Cash Flow Information Related to Leases </w:t>
      </w:r>
    </w:p>
    <w:tbl>
      <w:tblPr>
        <w:tblW w:w="9432" w:type="dxa"/>
        <w:jc w:val="left"/>
        <w:tblInd w:w="0" w:type="dxa"/>
        <w:tblLayout w:type="fixed"/>
        <w:tblCellMar>
          <w:top w:w="0" w:type="dxa"/>
          <w:left w:w="0" w:type="dxa"/>
          <w:bottom w:w="0" w:type="dxa"/>
          <w:right w:w="0" w:type="dxa"/>
        </w:tblCellMar>
      </w:tblPr>
      <w:tblGrid>
        <w:gridCol w:w="6350"/>
        <w:gridCol w:w="60"/>
        <w:gridCol w:w="192"/>
        <w:gridCol w:w="1164"/>
        <w:gridCol w:w="123"/>
        <w:gridCol w:w="92"/>
        <w:gridCol w:w="192"/>
        <w:gridCol w:w="1164"/>
        <w:gridCol w:w="95"/>
      </w:tblGrid>
      <w:tr>
        <w:trPr/>
        <w:tc>
          <w:tcPr>
            <w:tcW w:w="6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23" w:type="dxa"/>
            <w:tcBorders/>
            <w:vAlign w:val="center"/>
          </w:tcPr>
          <w:p>
            <w:pPr>
              <w:pStyle w:val="TableContents"/>
              <w:bidi w:val="0"/>
              <w:spacing w:before="0" w:after="283"/>
              <w:jc w:val="center"/>
              <w:rPr>
                <w:caps w:val="false"/>
                <w:smallCaps w:val="false"/>
              </w:rPr>
            </w:pPr>
            <w:r>
              <w:rPr>
                <w:caps w:val="false"/>
                <w:smallCaps w:val="false"/>
              </w:rPr>
              <w:t> </w:t>
            </w:r>
          </w:p>
        </w:tc>
        <w:tc>
          <w:tcPr>
            <w:tcW w:w="92"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 Ended December 31,</w:t>
            </w:r>
            <w:r>
              <w:rPr>
                <w:rFonts w:ascii="Times New Roman;Times;Serif" w:hAnsi="Times New Roman;Times;Serif"/>
                <w:b w:val="false"/>
                <w:i w:val="false"/>
                <w:caps w:val="false"/>
                <w:smallCaps w:val="false"/>
                <w:sz w:val="20"/>
              </w:rPr>
              <w:t xml:space="preserve">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3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cash flow information: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23" w:type="dxa"/>
            <w:tcBorders/>
            <w:vAlign w:val="center"/>
          </w:tcPr>
          <w:p>
            <w:pPr>
              <w:pStyle w:val="TableContents"/>
              <w:bidi w:val="0"/>
              <w:spacing w:before="0" w:after="283"/>
              <w:jc w:val="center"/>
              <w:rPr>
                <w:caps w:val="false"/>
                <w:smallCaps w:val="false"/>
              </w:rPr>
            </w:pPr>
            <w:r>
              <w:rPr>
                <w:caps w:val="false"/>
                <w:smallCaps w:val="false"/>
              </w:rPr>
              <w:t> </w:t>
            </w:r>
          </w:p>
        </w:tc>
        <w:tc>
          <w:tcPr>
            <w:tcW w:w="92" w:type="dxa"/>
            <w:tcBorders/>
            <w:vAlign w:val="center"/>
          </w:tcPr>
          <w:p>
            <w:pPr>
              <w:pStyle w:val="TableContents"/>
              <w:bidi w:val="0"/>
              <w:spacing w:before="0" w:after="283"/>
              <w:jc w:val="center"/>
              <w:rPr>
                <w:caps w:val="false"/>
                <w:smallCaps w:val="false"/>
              </w:rPr>
            </w:pPr>
            <w:r>
              <w:rPr>
                <w:caps w:val="false"/>
                <w:smallCaps w:val="false"/>
              </w:rPr>
              <w:t> </w:t>
            </w:r>
          </w:p>
        </w:tc>
        <w:tc>
          <w:tcPr>
            <w:tcW w:w="13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6"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6"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 (operating cash flow)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173,245</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impairment of right to use assets (operating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(303,327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lease liabilities (operating cash flow)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(284,963</w:t>
            </w:r>
          </w:p>
        </w:tc>
        <w:tc>
          <w:tcPr>
            <w:tcW w:w="1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obtained in exchange for lease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762,603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Balance Sheet Information Related to Leases </w:t>
      </w:r>
    </w:p>
    <w:tbl>
      <w:tblPr>
        <w:tblW w:w="5488" w:type="dxa"/>
        <w:jc w:val="left"/>
        <w:tblInd w:w="0" w:type="dxa"/>
        <w:tblLayout w:type="fixed"/>
        <w:tblCellMar>
          <w:top w:w="0" w:type="dxa"/>
          <w:left w:w="0" w:type="dxa"/>
          <w:bottom w:w="0" w:type="dxa"/>
          <w:right w:w="0" w:type="dxa"/>
        </w:tblCellMar>
      </w:tblPr>
      <w:tblGrid>
        <w:gridCol w:w="2885"/>
        <w:gridCol w:w="60"/>
        <w:gridCol w:w="178"/>
        <w:gridCol w:w="996"/>
        <w:gridCol w:w="60"/>
        <w:gridCol w:w="60"/>
        <w:gridCol w:w="178"/>
        <w:gridCol w:w="996"/>
        <w:gridCol w:w="75"/>
      </w:tblGrid>
      <w:tr>
        <w:trPr/>
        <w:tc>
          <w:tcPr>
            <w:tcW w:w="28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br/>
              <w:t>2023</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br/>
              <w:t>2022</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284,963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 long-term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500"/>
        <w:gridCol w:w="60"/>
        <w:gridCol w:w="159"/>
        <w:gridCol w:w="1015"/>
        <w:gridCol w:w="60"/>
        <w:gridCol w:w="60"/>
        <w:gridCol w:w="159"/>
        <w:gridCol w:w="1015"/>
        <w:gridCol w:w="75"/>
      </w:tblGrid>
      <w:tr>
        <w:trPr/>
        <w:tc>
          <w:tcPr>
            <w:tcW w:w="3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remaining lease term: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br/>
              <w:t>2023</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br/>
              <w:t>2022</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leases (in years)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648" w:type="dxa"/>
        <w:jc w:val="left"/>
        <w:tblInd w:w="0" w:type="dxa"/>
        <w:tblLayout w:type="fixed"/>
        <w:tblCellMar>
          <w:top w:w="0" w:type="dxa"/>
          <w:left w:w="0" w:type="dxa"/>
          <w:bottom w:w="0" w:type="dxa"/>
          <w:right w:w="0" w:type="dxa"/>
        </w:tblCellMar>
      </w:tblPr>
      <w:tblGrid>
        <w:gridCol w:w="2795"/>
        <w:gridCol w:w="60"/>
        <w:gridCol w:w="159"/>
        <w:gridCol w:w="1015"/>
        <w:gridCol w:w="185"/>
        <w:gridCol w:w="60"/>
        <w:gridCol w:w="159"/>
        <w:gridCol w:w="1015"/>
        <w:gridCol w:w="200"/>
      </w:tblGrid>
      <w:tr>
        <w:trPr/>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discount rate: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br/>
              <w:t>2023</w:t>
            </w:r>
            <w:r>
              <w:rPr>
                <w:rFonts w:ascii="Times New Roman;Times;Serif" w:hAnsi="Times New Roman;Times;Serif"/>
                <w:b w:val="false"/>
                <w:i w:val="false"/>
                <w:caps w:val="false"/>
                <w:smallCaps w:val="false"/>
                <w:sz w:val="20"/>
              </w:rPr>
              <w:t xml:space="preserve">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w:t>
              <w:br/>
              <w:t>2022</w:t>
            </w:r>
            <w:r>
              <w:rPr>
                <w:rFonts w:ascii="Times New Roman;Times;Serif" w:hAnsi="Times New Roman;Times;Serif"/>
                <w:b w:val="false"/>
                <w:i w:val="false"/>
                <w:caps w:val="false"/>
                <w:smallCaps w:val="false"/>
                <w:sz w:val="20"/>
              </w:rPr>
              <w:t xml:space="preserve"> </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non-cancellable lease as of December 31, 2023,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Minimum Lease Payments Under Non-Cancellable Lease </w:t>
      </w:r>
    </w:p>
    <w:tbl>
      <w:tblPr>
        <w:tblW w:w="3650" w:type="dxa"/>
        <w:jc w:val="left"/>
        <w:tblInd w:w="0" w:type="dxa"/>
        <w:tblLayout w:type="fixed"/>
        <w:tblCellMar>
          <w:top w:w="0" w:type="dxa"/>
          <w:left w:w="0" w:type="dxa"/>
          <w:bottom w:w="0" w:type="dxa"/>
          <w:right w:w="0" w:type="dxa"/>
        </w:tblCellMar>
      </w:tblPr>
      <w:tblGrid>
        <w:gridCol w:w="2675"/>
        <w:gridCol w:w="60"/>
        <w:gridCol w:w="125"/>
        <w:gridCol w:w="695"/>
        <w:gridCol w:w="95"/>
      </w:tblGrid>
      <w:tr>
        <w:trPr/>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Maturities of lease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Maturities of lease liabilities: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Ending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undiscounted cash flows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discounting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value of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Cantor Fee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7GC previously agreed to pay Cantor an Original Deferred Fee of $8,050,000 as deferred underwriting commissions. On November 8, 2023, Cantor and 7GC entered into a Fee Reduction Agreement, pursuant to which Cantor agreed to forfeit $4,050,000 of the $8,050,000 Original Deferred Fee, with the remaining $4,000,000 Reduced Deferred Fee payable by Banzai to Cantor following the Closing of the Merger. Pursuant to the Fee Reduction Agreement, the Reduced Deferred Fee will be payable in the form of the Cantor Fee Shares, which will be calculated as a number of Class A Common Stock equal to the greater of (a) 400,000 or (b) the quotient obtained by dividing (x) the Reduced Deferred Fee by (y) the dollar volume-weighted average price for Class A Common Stock on Nasdaq, over the five trading days immediately preceding the date of filing of a resale registration statement on Form S-1, as reported by Bloomberg through its “AQR” function (as adjusted for any stock dividend, split, combination, recapitalization or other similar transaction). In connection with the merger discussed in </w:t>
      </w:r>
      <w:r>
        <w:rPr>
          <w:rFonts w:ascii="Times New Roman;Times;Serif" w:hAnsi="Times New Roman;Times;Serif"/>
          <w:b w:val="false"/>
          <w:i/>
          <w:caps w:val="false"/>
          <w:smallCaps w:val="false"/>
          <w:sz w:val="20"/>
        </w:rPr>
        <w:t>Note 4-Merger</w:t>
      </w:r>
      <w:r>
        <w:rPr>
          <w:rFonts w:ascii="Times New Roman;Times;Serif" w:hAnsi="Times New Roman;Times;Serif"/>
          <w:b w:val="false"/>
          <w:i w:val="false"/>
          <w:caps w:val="false"/>
          <w:smallCaps w:val="false"/>
          <w:sz w:val="20"/>
        </w:rPr>
        <w:t>, the Company assumed the outstanding liabilities of 7GC, including the above discussed deferred underwriting fee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Fee Reduction Agreement, the Company also agreed to use its reasonable best efforts to have the registration statement declared effective by the SEC by the 120th calendar day after December 29, 2023, the date of the initial filing thereof,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2023, the Company and Cantor amended the Fee Reduction Agreement to provide that the Reduced Deferred Fee was payable in the form of 22,279 shares of Class A Common Stock and to provide that Cantor is subject to a 12-month lock-up with respect to the Cantor Fee Shares. On December 28, 2023, the Company issued the Cantor Fee Shares to Cantor, covering the Reduced Deferred Fee in accordance with the Fee Reduction Agreement. The fair value of the 22,279 shares of Class A Common Stock was determined to be $2,450,639 on December 28, 2023 based on the Company’s opening stock price of $110.00. Although the Company issued the Cantor Fee Shares, as of December 31, 2023, the Company has not satisfied its Cantor Registration Rights Obligations. As such, the Company cannot conclude that it has settled its outstanding obligations to Cantor. Therefore, neither criteria under ASC 405 for extinguishment and derecognition of the liability were satisfied and the $4,000,000 Reduced Deferred Fee remained outstanding as a current liability on the Company’s December 31, 2023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interim period after December 31, 2023, the Company will monitor its compliance with the Cantor Registration Rights Obligations to determine whether the entire amount of the Reduced Deferred Fee has become due and payable in cash, or the Company’s obligations have been satisfied and the remaining liability should be derecognized. At such time as the Company’s obligations under the Fee Reduction Agreement have been satisfied the relief of the liability will be recorded through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Legal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we are subject to possible loss contingencies arising from third-party litigation and federal, state, and local environmental, labor, health and safety laws and regulations. We assess the probability that we could incur liability in connection with certain of these lawsuits. Our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we do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Class A and B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up to 275,000,000 shares, consisting of 250,000,000 Class A Common Stock, and 25,000,000 shares of Class B Common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val="false"/>
          <w:i/>
          <w:caps w:val="false"/>
          <w:smallCaps w:val="false"/>
          <w:sz w:val="20"/>
        </w:rPr>
        <w:t>Note 4-Reverse Merger Capitalization with 7GC &amp; Co. Holdings Inc.</w:t>
      </w:r>
      <w:r>
        <w:rPr>
          <w:rFonts w:ascii="Times New Roman;Times;Serif" w:hAnsi="Times New Roman;Times;Serif"/>
          <w:b w:val="false"/>
          <w:i w:val="false"/>
          <w:caps w:val="false"/>
          <w:smallCaps w:val="false"/>
          <w:sz w:val="20"/>
        </w:rPr>
        <w:t>, the Company has retroactively adjusted the shares issued and outstanding prior to December 14, 2023 to give effect to the Exchange Ratio to determine the number of shares of Company Common Stock into which they were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December 31, 2023, no shares of preferred stock were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pursuant to the Merger, 2,328,823 outstanding shares of Preferred Stock were automatically converted into 28,629 shares of the Company’s Class A Common Stock pursuant to the Exchange Ratio. Refer to </w:t>
      </w:r>
      <w:r>
        <w:rPr>
          <w:rFonts w:ascii="Times New Roman;Times;Serif" w:hAnsi="Times New Roman;Times;Serif"/>
          <w:b w:val="false"/>
          <w:i/>
          <w:caps w:val="false"/>
          <w:smallCaps w:val="false"/>
          <w:sz w:val="20"/>
        </w:rPr>
        <w:t>Note 4-Reverse Merger Capitalization with 7GC &amp; Co. Holdings Inc.</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Restricted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Demio and High Attendance, the Company issued restricted stock to the selling securityholders and founders of Demio. 14,916 shares of the Company’s restricted Class A common stock were issued to the selling securityholders and founders of Demio and 1,638 shares of the Company’s restricted Class A common stock were issued to the High Attendance securityholder. All shares issued to the selling securityholders and founders of Demio vested and are outstanding as of December 31, 2023. On July 1, 2022, all shares issued to the High Attendance securityholder were cancelled and are not outstanding as of December 31, 2023 and 2022. Upon the closing of the Merger, the restrictions on the outstanding shares were lifted and the shares became freely tradeable.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95% of the average daily Volume Weighted Average Price (“VWAP”) of Class A Common Stock on the Nasdaq Stock Market (“Nasdaq”), subject to certain conditions per the SEPA (the “Option 1 Pricing Period;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96% of the lowest daily VWAP of Class A Common Stock during the three trading days commencing on the Advance Notice date, subject to certain conditions per the SEPA (the “Option 2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securityholder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SEPA Option was determined to be a freestanding financial instrument which did not meet the criteria to be accounted for as a derivative instrument or to be recognized within equity. Pursuant to ASC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(“ASC 815”), the Company will therefore recognize the SEPA Option as an asset or liability, measured at fair value at the date of issuance, December 14, 2023, and in subsequent reporting periods, with changes in fair value recognized in earnings. The SEPA Option was determined to have a fair value of $0 at December 14, 2023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paid a cash structuring fee to Yorkville in the amount of $35,000 (the “Structuring Fee”). Additionally, (a) Legacy Banzai issued to Yorkville immediately prior to the Closing of the Merger on December 14, 2023 such number of shares of Legacy Banzai’s Class A common stock such that upon the Closing, Yorkville received 6,000 shares of Class A common stock (the “Closing Shares”) having an aggregate fair value of $3,288,000 at issuance, as a holder of shares of Class A common stock of Legacy Banzai, and (b) the Company agreed to pay a commitment fee of $500,000 to Yorkville at the earlier of (i) March 14, 2024 or (ii) the termination of the SEPA, which will be payable, at the option of the Company, in cash or shares of Class A common stock through an Advance (the “Deferred Fee”). The aggregate fair value of the Structuring Fee, the Closing Shares, and the Deferred Fee of $3,823,000 was recorded to general and administrative expense upon execution of the SEPA.</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SEPA, at any time that there is a balance outstanding under the Yorkville Convertible Note, Yorkville has the right to receive shares to pay down the principal balance, and may select the timing and delivery of such shares (via an “Investor Notice”), in an amount up to the outstanding principal balance on the Yorkville Convertible Note at a purchase price equal to the lower of (i) $10.00 per share of Class A common stock (the “Fixed Price”), or (ii) 90% of the lowest daily Volume Weighted Average Price (“VWAP”) of Class A common stock on Nasdaq during the 10 consecutive Trading Days immediately preceding the Investor Notice date or other date of determination (the “Variable Price”). The Variable Price shall not be lower than $2.00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 per share of Class A common stock (the “Conversion Price”). At any time that there is a balance outstanding under the Yorkville Convertible Note, the Company is not permitted to issue Advance Notices under the SEPA unless an Amortization Event has occurred under the terms of the Yorkville Convertible Note agreement. Refer to </w:t>
      </w:r>
      <w:r>
        <w:rPr>
          <w:rFonts w:ascii="Times New Roman;Times;Serif" w:hAnsi="Times New Roman;Times;Serif"/>
          <w:b w:val="false"/>
          <w:i/>
          <w:caps w:val="false"/>
          <w:smallCaps w:val="false"/>
          <w:sz w:val="20"/>
        </w:rPr>
        <w:t>Note 21 Subsequent Events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Advance Notices issued pursuant to the SEPA during the year ended December 31, 2023 or as of the date that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Cantor Fee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28, 2023, the Company issued 22,279 shares of Class A Common Stock to Cantor pursuant to the Fee Reduction Agreement. See </w:t>
      </w:r>
      <w:r>
        <w:rPr>
          <w:rFonts w:ascii="Times New Roman;Times;Serif" w:hAnsi="Times New Roman;Times;Serif"/>
          <w:b w:val="false"/>
          <w:i/>
          <w:caps w:val="false"/>
          <w:smallCaps w:val="false"/>
          <w:sz w:val="20"/>
        </w:rPr>
        <w:t xml:space="preserve">Note 17-Commitments and Contingencies </w:t>
      </w:r>
      <w:r>
        <w:rPr>
          <w:rFonts w:ascii="Times New Roman;Times;Serif" w:hAnsi="Times New Roman;Times;Serif"/>
          <w:b w:val="false"/>
          <w:i w:val="false"/>
          <w:caps w:val="false"/>
          <w:smallCaps w:val="false"/>
          <w:sz w:val="20"/>
        </w:rPr>
        <w:t>for further details of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19. 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the Company established the Banzai International, Inc. 2016 Equity Incentive Plan (“the 2016 Plan”) on April 26, 2016, to enable the Company to attract, incentivize and retain eligible individuals through the granting of awards in the Company. The maximum number of options that may be issued over the term of the Plan were initially set at 8,000 shares of common stock. On July 19, 2017, the 2016 Plan was amended to increase the maximum number of options that may be issued to 48,000 shares of common stock. Accordingly, the Company has reserved a sufficient number of shares to permit the exercise of options in accordance with the terms of the 2016 Plan. The term of each award under the 2016 Plan shall be no more than ten years from the date of grant thereof. The Company’s Board of Directors is responsible for the administration of the 2016 Plan and has the sole discretion to determine which grantees will be granted awards and the terms and conditions of the awards granted. As of December 31, 2023, 11,443 stock options remain available to be awarded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Equity Incentive Plan (the “2023 Plan”). The 2023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In addition, the aggregate number of shares of common stock will automatically increase on January 1 of each year for a period of ten years commencing on January 1, 2024 and ending on January 1, 2033, in an amount equal to 5% of the total number of shares of the fully diluted common stock determined as of the day prior to such increase. The aggregate maximum number of shares of common stock that may be issued pursuant to the exercise of incentive stock options is approximately three times the total number of shares of common stock initially reserved for issuance. As of December 31, 2023, no shares have been awarded under the 2023 Plan.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2023, the Board of Directors of Banzai approved the repricing of 7,193 outstanding stock options held by current employees to an exercise price of $257.50. No other changes to the original stock option grant terms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compensation cost was measured as the fair value of the stock options immediately before and immediately after the modification. The Company determined the total incremental compensation cost from the modification to be $113,475, of which $23,849 related to fully vested options and was expensed as stock-based compensation expense, and $89,626 related to unvested options and will be recognized over the remaining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each option of Banzai that was outstanding and unexercised immediately prior to the Effective Time (whether vested or unvested) was assumed by 7GC and converted into an option to acquire an adjusted number of shares of Common Stock at an adjusted exercise price per share (the “Substitute Options”), based on the Option Exchange Ratio (of 0.6147), and will continue to be governed by substantially the same terms and conditions, including vesting, as were applicable to the former option. Each Substitute Option will be exercisable for a number of whole shares of Common Stock equal to the product of the number of shares of Banzai common stock underlying such Banzai option multiplied by the Option Exchange Ratio, and the per share exercise price of such Substitute Option will be equal to the quotient determined by dividing the exercise price per share of Banzai common stock by the Option Exchange Ratio. The percentage of total shares of Common Stock subject to each Substitute Option that is vested immediately following the Effective Time will equal the percentage of total shares of Banzai common stock subject to each Banzai option that is vested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Merger, the outstanding and unexercised Banzai stock options became options to purchase an aggregate 14,962 shares of the Company’s Common Stock at a weighted average exercise price of $293.50 per share. The Company accounted for the Substitute Options as a modification of the existing options. Incremental compensation costs, measured as the excess, if any, of the fair value of the modified options over the fair value of the original options immediately before its terms are modified, is measured based on the fair value of the underlying shares and other pertinent factors at the modification date. The change to the award effected only the number of options and strike price by the same exchange ratio, the Company determined the change would not impact the fair value of the awards. As such, no incremental compensation costs relating to the Substitute Options was recorded at the date of modification.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Assumptions Used to Compute Fair Value</w:t>
      </w:r>
    </w:p>
    <w:tbl>
      <w:tblPr>
        <w:tblW w:w="5060" w:type="dxa"/>
        <w:jc w:val="left"/>
        <w:tblInd w:w="0" w:type="dxa"/>
        <w:tblLayout w:type="fixed"/>
        <w:tblCellMar>
          <w:top w:w="0" w:type="dxa"/>
          <w:left w:w="0" w:type="dxa"/>
          <w:bottom w:w="0" w:type="dxa"/>
          <w:right w:w="0" w:type="dxa"/>
        </w:tblCellMar>
      </w:tblPr>
      <w:tblGrid>
        <w:gridCol w:w="2000"/>
        <w:gridCol w:w="60"/>
        <w:gridCol w:w="125"/>
        <w:gridCol w:w="1205"/>
        <w:gridCol w:w="185"/>
        <w:gridCol w:w="60"/>
        <w:gridCol w:w="125"/>
        <w:gridCol w:w="1100"/>
        <w:gridCol w:w="200"/>
      </w:tblGrid>
      <w:tr>
        <w:trPr/>
        <w:tc>
          <w:tcPr>
            <w:tcW w:w="20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2023</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2022</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8.38 - 11.98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8.38 - 11.98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80.00 - 110.95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53.61 - 55.30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5.00 - 6.08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5.94 - 6.08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3.46 - 4.31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1.95 - 2.85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Stock Option Activity</w:t>
      </w:r>
    </w:p>
    <w:tbl>
      <w:tblPr>
        <w:tblW w:w="9680" w:type="dxa"/>
        <w:jc w:val="left"/>
        <w:tblInd w:w="0" w:type="dxa"/>
        <w:tblLayout w:type="fixed"/>
        <w:tblCellMar>
          <w:top w:w="0" w:type="dxa"/>
          <w:left w:w="0" w:type="dxa"/>
          <w:bottom w:w="0" w:type="dxa"/>
          <w:right w:w="0" w:type="dxa"/>
        </w:tblCellMar>
      </w:tblPr>
      <w:tblGrid>
        <w:gridCol w:w="5345"/>
        <w:gridCol w:w="60"/>
        <w:gridCol w:w="90"/>
        <w:gridCol w:w="890"/>
        <w:gridCol w:w="80"/>
        <w:gridCol w:w="60"/>
        <w:gridCol w:w="145"/>
        <w:gridCol w:w="685"/>
        <w:gridCol w:w="60"/>
        <w:gridCol w:w="60"/>
        <w:gridCol w:w="141"/>
        <w:gridCol w:w="899"/>
        <w:gridCol w:w="60"/>
        <w:gridCol w:w="60"/>
        <w:gridCol w:w="125"/>
        <w:gridCol w:w="845"/>
        <w:gridCol w:w="75"/>
      </w:tblGrid>
      <w:tr>
        <w:trPr/>
        <w:tc>
          <w:tcPr>
            <w:tcW w:w="5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br/>
              <w:t>Underlying</w:t>
              <w:br/>
              <w:t>Options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Exercise</w:t>
              <w:br/>
              <w:t>Price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Remaining</w:t>
              <w:br/>
              <w:t>Contractual</w:t>
              <w:br/>
              <w:t>Term (in</w:t>
              <w:br/>
              <w:t>years)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br/>
              <w:t>Value</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Retroactive application of recapitalization (Note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2021, after effect of Merger (Note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3,433,946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of $1,245,796 and $770,336, which is included in general and administrative expense for the years ended December 31, 2023 and 2022, respectively. The weighted-average grant-date fair value per option granted during the years ended December 31, 2023 and 2022 was $4.86 and $0.77, respectively. As of December 31, 2023 and 2022, $2,594,571 and $160,203 of unrecognized compensation expense related to non-vested awards is expected to be recognized over the weighted average period of 2.73 and 2.74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US Federal Income Tax Rate to the Company's Effective Tax Rate</w:t>
      </w:r>
    </w:p>
    <w:tbl>
      <w:tblPr>
        <w:tblW w:w="7645" w:type="dxa"/>
        <w:jc w:val="left"/>
        <w:tblInd w:w="0" w:type="dxa"/>
        <w:tblLayout w:type="fixed"/>
        <w:tblCellMar>
          <w:top w:w="0" w:type="dxa"/>
          <w:left w:w="0" w:type="dxa"/>
          <w:bottom w:w="0" w:type="dxa"/>
          <w:right w:w="0" w:type="dxa"/>
        </w:tblCellMar>
      </w:tblPr>
      <w:tblGrid>
        <w:gridCol w:w="3800"/>
        <w:gridCol w:w="60"/>
        <w:gridCol w:w="125"/>
        <w:gridCol w:w="905"/>
        <w:gridCol w:w="80"/>
        <w:gridCol w:w="60"/>
        <w:gridCol w:w="60"/>
        <w:gridCol w:w="440"/>
        <w:gridCol w:w="185"/>
        <w:gridCol w:w="60"/>
        <w:gridCol w:w="125"/>
        <w:gridCol w:w="905"/>
        <w:gridCol w:w="80"/>
        <w:gridCol w:w="60"/>
        <w:gridCol w:w="60"/>
        <w:gridCol w:w="440"/>
        <w:gridCol w:w="200"/>
      </w:tblGrid>
      <w:tr>
        <w:trPr/>
        <w:tc>
          <w:tcPr>
            <w:tcW w:w="3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federal 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(3,025,315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(3,248,385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net of federal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state 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estimates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1,610,993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interest-IRC 163(j)</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738,993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transaction/restructuring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warrant issuance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552,321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non-deductible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Income Tax Provision (Benefit)</w:t>
      </w:r>
    </w:p>
    <w:tbl>
      <w:tblPr>
        <w:tblW w:w="3253" w:type="dxa"/>
        <w:jc w:val="left"/>
        <w:tblInd w:w="0" w:type="dxa"/>
        <w:tblLayout w:type="fixed"/>
        <w:tblCellMar>
          <w:top w:w="0" w:type="dxa"/>
          <w:left w:w="0" w:type="dxa"/>
          <w:bottom w:w="0" w:type="dxa"/>
          <w:right w:w="0" w:type="dxa"/>
        </w:tblCellMar>
      </w:tblPr>
      <w:tblGrid>
        <w:gridCol w:w="1355"/>
        <w:gridCol w:w="60"/>
        <w:gridCol w:w="125"/>
        <w:gridCol w:w="641"/>
        <w:gridCol w:w="87"/>
        <w:gridCol w:w="87"/>
        <w:gridCol w:w="182"/>
        <w:gridCol w:w="641"/>
        <w:gridCol w:w="75"/>
      </w:tblGrid>
      <w:tr>
        <w:trPr/>
        <w:tc>
          <w:tcPr>
            <w:tcW w:w="13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8"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Local: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Temporary Differences that Give Rise to Deferred Tax Assets and Liabilities</w:t>
      </w:r>
    </w:p>
    <w:tbl>
      <w:tblPr>
        <w:tblW w:w="5315" w:type="dxa"/>
        <w:jc w:val="left"/>
        <w:tblInd w:w="0" w:type="dxa"/>
        <w:tblLayout w:type="fixed"/>
        <w:tblCellMar>
          <w:top w:w="0" w:type="dxa"/>
          <w:left w:w="0" w:type="dxa"/>
          <w:bottom w:w="0" w:type="dxa"/>
          <w:right w:w="0" w:type="dxa"/>
        </w:tblCellMar>
      </w:tblPr>
      <w:tblGrid>
        <w:gridCol w:w="2960"/>
        <w:gridCol w:w="60"/>
        <w:gridCol w:w="125"/>
        <w:gridCol w:w="905"/>
        <w:gridCol w:w="80"/>
        <w:gridCol w:w="60"/>
        <w:gridCol w:w="125"/>
        <w:gridCol w:w="905"/>
        <w:gridCol w:w="95"/>
      </w:tblGrid>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6,368,669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3,744,512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carryforwards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to cash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482,109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R&amp;D costs (Sec. 174)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451,195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Deferred tax assets gross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9,184,149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4,773,512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(9,184,149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(4,773,512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net of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federal and state net operating loss carryforwards of approximately $26,705,200 and $13,043,900, respectively. As of December 31, 2022, the Company had federal and state net operating loss carryforwards of approximately $15,325,300 and $9,175,400, respectively. Federal losses of $124,500 begin to expire in 2036 and $26,580,700 of the federal losses carryforward indefinitely. State losses of $10,666,100 begin to expire in 2031 and $2,377,800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the net deferred tax assets will not be realized and, accordingly, has provided a full valuation allowance against its net deferred tax asset. Management considers the scheduled reversal of deferred tax liabilities, projected future taxable income, net operating loss carryback potential, and tax planning strategies in making these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had no material uncertain tax benefits for the year ended December 31, 2023 and 2022. The Company recognizes interest accrued related to unrecognized tax benefits and penalties in interest expense and penalties in operating expense. No amounts were accrued for the payment of interest and penalties at December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as prescribed by the tax laws of the jurisdictions in which they operate. In the normal course of business, the Company is subject to examination by federal and state jurisdictions where applicable based on the statute of limitations that apply in each jurisdiction. As of December 31, 2023, the 2016 and subsequent tax years related to all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open tax audits with any taxing authority as of December 31, 2023.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SEPA Supplemental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pursuant to the SEPA, dated December 14, 2023, between the Company and Yorkville, Yorkville agreed to advance to the Company, in exchange for convertible promissory notes, a Pre-Paid Advance for an aggregate principal amount of up to $3.5 million, $2.0 million (less a 10% discount) of which was funded at the closing of the Company’s Merger and $1.5 million (less a 10% discount) of which was to be funded when the Company’s Registration Statement on Form S-1, originally filed with the U.S. Securities and Exchange Commission on December 29, 2023, and amended on February 5, 2024, becomes effective and the Company obtains stockholder approval for the issuance of shares in excess of 19.99% of the aggregate number of shares of the Company’s Class A common stock issued and outstanding as of the date of the SEPA in accordance with the applicable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the Pre-Paid Advance under the SEPA by $1.0 million (the “Additional Pre-Paid Advance Amount”), for an aggregate principal amount of $4.5 million to be advanced by Yorkville to the Company under the SEPA and SEPA Supplemental Agreement. The Additional Pre-Paid Advance Amount (less a 10% discount) was funded on February 5, 2024 in exchange for a promissory note in the principal amount of $1.0 million (the “Yorkville Promissory Note”). The Yorkville Promissory Note matures on June 14, 2024 and bears interest at a rate of 0%,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the Company and Yorkville entered into a supplemental agreement (the “SEPA March Supplemental Agreement”) to increase the amount of the Pre-Paid Advance under the SEPA by $1.5 million (the “March Additional Pre-Paid Advance Amount”), for an aggregate principal amount of $4.5 million to be advanced by Yorkville to the Company under the SEPA, SEPA Supplemental Agreement, and SEPA March Supplemental Agreement. The March Additional Pre-Paid Advance Amount (less a 10% discount) was 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in exchange for a promissory note in the principal amount of $1.5 million (the “March Yorkville Promissory Note”). The March Yorkville Promissory Note matures on June 14, 2024 and bears interest at a rate of 0%,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Advance Agreement Amortization Event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2024, Yorkville provided the Company with a waiver with respect to the triggering of an amortization event in January 2024, in terms of the Yorkville Convertible Note Agreement, which would have required the Company to make monthly repayments of amounts outstanding under the Yorkville Convertible Note, with each monthly repayment to be in an amount equal to the sum of (x) $1,000,000, plus (y) 10% in respect of such amount, and (z) all outstanding accrued and unpaid interest as of each payment date. As a result of the waiver, no repayments were required by the Company, and the floor price trigger underlying the amortization event was reset on February 15, 2023, at which point the amortization event trigger was 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SEPA Advance Purchase Notices and Yorkville Deferred Fee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Yorkville submitted two Advance Notice Investor Notices, related to the purchase of common shares of the Company, with the aggregate purchase price of those shares offset against amounts outstanding by the Company under the Pre-Paid Yorkville Convertible Notes. Yorkville purchased a total of 6,888 shares, for a total aggregate purchase consideration of $300,000. The conversion prices applicable to these purchases ranged from $38.08 to $61.15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Yorkville submitted six Advance Notice Investor Notices, related to the purchase of common shares of the Company, with the aggregate purchase price of those shares offset against amounts outstanding by the Company under the Pre-Paid Yorkville Convertible Notes and to settle the Deferred Fee payable to Yorkville. Yorkville purchased a total of 37,787 and 14,201 shares, for a total aggregate purchase consideration of $1,200,000 and $500,000 in settlement of the Yorkville Convertible Notes and Deferred Fee, respectively. The conversion prices applicable to these purchases ranged from $31.65 to $35.21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Roth Addendum to Letter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2022, Roth and Legacy Banzai entered into the Roth Engagement Letter, pursuant to which Legacy Banzai engaged Roth as a financial advisor in connection with the Merger and, on October 14, 2022, MKM and 7GC entered into the MKM Engagement Letter, pursuant to which 7GC engaged MKM as a financial advisor in connection with the Merger. In February 2023, Roth acquired MKM.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the Company and Roth entered into an addendum to (i) the engagement letter, dated October 13, 2022, by and between Roth and Legacy Banzai, and (ii) the engagement letter, dated October 14, 2022, by and between Roth (as successor to MKM Partners, LLC) and 7GC (such engagement agreements, collectively, the “Roth Engagement Agreements,” and such addendum, the “Roth Addendum”). Pursuant to the Roth Addendum, in lieu of payment in cash of the full amount of any advisory fees or other fees or expenses, incurred in 2024, and owed under the Roth Engagement Agreements (collectively, the “Roth Fee”), the Company (i) issued to Roth 3,500 shares (the “Roth Shares”) of the Company’s Class A Common Stock, and (ii) on or before June 30, 2024, will pay to Roth an amount in cash equal to $300,000 or, if the Company determines that such payment should not be made in cash due to the Company’s cash position at such time, issue to Roth a number of shares of Class A Common Stock equal to $300,000 divided by the daily VWAP for the trading day immediately preceding June 30, 2024 (any such shares, the “Additional Roth Shares”). The Company registered the Roth Shares and 12,000 shares of Class A Common Stock (in addition to the Roth Shares) on a registration statement to cover any issuances of Additional Roth Shares (which may be more or less than 12,000) that may occur pursuant to the Roth Addendum; such registration statement became effective on February 14, 2024. The $300,000 cash payment has not yet been made as of the date of filing of these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received a letter (the “Letter”) from the staff at Nasdaq notifying the Company that, for the 30 consecutive business days prior to the date of the Letter, the Company’s Minimum Value of Listed Securities (“MVLS”) was below the minimum of $50 million required for continued listing on The Nasdaq Global Market pursuant to Nasdaq Listing Rule 5450(b)(2)(A). The staff at Nasdaq also noted in the Letter that the Company is not in compliance with Nasdaq Listing Rule 5450(b)(3)(A), which requires listed companies to have total assets and total revenue of at least $50,000,000 each for the most recently completed fiscal year or for two of the three most recently completed fiscal years. The Letter is only a notification of deficiency, not of imminent delisting, and has no current effect on the listing or trading of the Company’s securities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5810(c)(3)(C), the Company has 180 calendar days, or until August 5, 2024, to regain compliance. The Letter notes that to regain compliance, the Company’s MVLS must close at or above $50 million for a minimum of ten consecutive business days during the compliance period. The Letter further notes that if the Company is unable to satisfy the MVLS requirement prior to such date, the Company may be eligible to transfer the listing of its securities to The Nasdaq Global Market (provided that the Company then satisfies the requirements for continued listing on that market).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August 5, 2024, Nasdaq staff will provide written notice to the Company that its securities are subject to delisting. At that time, the Company may appeal any such delisting determination to a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Company’s MVLS between now and August 5, 2024, and may, if appropriate, evaluate available options to resolve the deficiency and regain compliance with the MVLS requirement. While the Company is exercising diligent efforts to maintain the listing of its securities on Nasdaq, there can be no assurance that the Company will be able to regain or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this Annual Report, we have issued an aggregate of 2,789 shares of Class A Common Stock to GEM in lieu of monthly payment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per </w:t>
      </w:r>
      <w:r>
        <w:rPr>
          <w:rFonts w:ascii="Times New Roman;Times;Serif" w:hAnsi="Times New Roman;Times;Serif"/>
          <w:b w:val="false"/>
          <w:i/>
          <w:caps w:val="false"/>
          <w:smallCaps w:val="false"/>
          <w:sz w:val="20"/>
        </w:rPr>
        <w:t>Note 14-Debt</w:t>
      </w:r>
      <w:r>
        <w:rPr>
          <w:rFonts w:ascii="Times New Roman;Times;Serif" w:hAnsi="Times New Roman;Times;Serif"/>
          <w:b w:val="false"/>
          <w:i w:val="false"/>
          <w:caps w:val="false"/>
          <w:smallCaps w:val="false"/>
          <w:sz w:val="20"/>
        </w:rPr>
        <w:t>, On December 12, 2023, in connection with the Merger, the Sponsor came to a non-binding agreement with 7GC to amend the 7GC Promissory Notes, to provide that 7GC has the right to elect to convert up to the full amount of the principal balance of the 7GC Promissory Notes, in whole or in part, 30 days after the closing of the Merger at a conversion price equal to the average daily VWAP of Class A Common Stock for the 30 trading days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2024, pursuant to and in accordance with the First Amendment Conversion Provisions, the Sponsor exercised its right to convert the full principal amount under each of the 7GC Notes within 30 days after the Closing, and such conversions were completed on February 2, 2024, resulting in the issuance to the Sponsor of an aggregate of 17,812 shares of Class A Common Stock (collectively, the “Conversion and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 and Cancellation of 7GC Sponsor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and 7GC entered into an agreement whereby 7GC agreed to forfeit a total of 2,000 shares held by 7GC. These shares were transferred to the Company and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Shares as Compensation for 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2024, the Company entered into a Marketing Services Agreement with a vendor. This agreement was effective February 19, 2024, and relates to the provision of marketing and distribution services to the Company. Effective as of February 19, 2024, as compensation for these services, the Company agreed to issued to this vendor a total of 3,070 ordinary shares, with a market value as of the valuation date, of $200,000. As of the date of this annual report, these shares have not yet been issued to the vendor.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F-90</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143213</Words>
  <Characters>758668</Characters>
  <CharactersWithSpaces>906444</CharactersWithSpaces>
  <Paragraphs>20362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